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asked Saros' art director about the game's obsession with hands, and got a fascinating insight into how games are made: "I didn't set out to put so many hands in!"</w:t>
      </w:r>
    </w:p>
    <w:p>
      <w:r>
        <w:t>منبع: https://www.gamesradar.com/games/third-person-shooter/i-asked-saros-art-director-about-the-games-obsession-with-hands-and-got-a-fascinating-insight-into-how-games-are-made-i-didnt-set-out-to-put-so-many-hands-in/</w:t>
      </w:r>
    </w:p>
    <w:p>
      <w:r>
        <w:t>نویسنده: Andrew Brown, Features Editor, Social Links Navigation</w:t>
      </w:r>
    </w:p>
    <w:p>
      <w:r>
        <w:t>تاریخ انتشار: 2026-05-02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Hades 2 lead doesn't think about the game's legacy much because he just wants it not to "get forgotten right away"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