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Collectively, we chose a digital future for games – so why doesn’t it feel like our choice at all?</w:t>
      </w:r>
    </w:p>
    <w:p>
      <w:r>
        <w:t>منبع: https://www.gamesradar.com/games/collectively-we-chose-a-digital-future-for-games-so-why-doesnt-it-feel-like-our-choice-at-all/</w:t>
      </w:r>
    </w:p>
    <w:p>
      <w:r>
        <w:t>نویسنده: Serena Cherry, Social Media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2026-07-31 14:24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