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Brands keep promising sim racing ecosystems, but Nacon is one of the few starting to follow through</w:t>
      </w:r>
    </w:p>
    <w:p>
      <w:r>
        <w:t>منبع: https://www.gamesradar.com/hardware/gaming-controllers/brands-keep-promising-sim-racing-ecosystems-but-nacon-is-one-of-the-few-starting-to-follow-through/</w:t>
      </w:r>
    </w:p>
    <w:p>
      <w:r>
        <w:t>نویسنده: Alex Berry,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2026-08-28 14:25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