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Duskbloods: Why Nintendo Wanted It</w:t>
      </w:r>
    </w:p>
    <w:p>
      <w:r>
        <w:t>منبع: https://gamerant.com/video/the-duskbloods-why-nintendo-wanted-it/</w:t>
      </w:r>
    </w:p>
    <w:p>
      <w:r>
        <w:t>نویسنده: Fellipe Moica, Christian Buckley</w:t>
      </w:r>
    </w:p>
    <w:p>
      <w:r>
        <w:t>تاریخ انتشار: 2026-07-24 16:00</w:t>
      </w:r>
    </w:p>
    <w:p>
      <w:r>
        <w:t>──────────────────────────────────────────────────</w:t>
      </w:r>
    </w:p>
    <w:p>
      <w:r>
        <w:t>The Duskbloods is FromSoftware’s first console exclusive game since Bloodborne. It’s also Hidetaka Miyazaki’s first game acting as a director since Elden Ring. While nobody expected this game to focus on multiplayer over the classic Souls RPG formula, even fewer expected Nintendo to be tied to this upcoming action game’s existence. Ahead of its closed network test in August, what exactly is The Duskbloods, and why does Nintendo want it as a major Switch 2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