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Wireframe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this document we, the Salty Groundhogs, have broken down our wireframe layout into a universally communicable explanation of our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My Calendar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My Calendar Page is a centralized location for True Course professionals to Create and Manage events, and View upcoming sessions with clients. We are providing the True Course Professionals different scheduling views, color coded events, as well as an easy way to access client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Login Page/ Landing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Login Page is the first page True Course professionals will come into contact with when accessing the True Course website, and is responsible for authenticating True Course users. The Login Page also allows for password recovery and new user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Homepage is the first page True Course professionals will come into contact after authenticating on the Login Page. This page is a centralized view for the True Course professional and includes: Upcoming Sessions, Menu Bar for fast navigation, and a client Calendar.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Client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Client Page is a centralized page for all specific client information and navigation. This page displays a quick client bio, client calendar, client upcoming sessions, and navigation for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client life events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recent client sessions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client associates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client contact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delete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Client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Client List page is a centralized page for listing all of the True Course professional’s clients in an eye dropper format. This page allows for sharing of clients, viewing active clients, marking inactive clients, and creating new clients.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