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302F" w14:textId="77777777" w:rsidR="00564F61" w:rsidRPr="00564F61" w:rsidRDefault="00564F61" w:rsidP="00564F61">
      <w:r w:rsidRPr="00564F61">
        <w:t>Experiências que transformam conteúdo científico em conexão.</w:t>
      </w:r>
    </w:p>
    <w:p w14:paraId="3BAA7296" w14:textId="77777777" w:rsidR="00564F61" w:rsidRPr="00564F61" w:rsidRDefault="00564F61" w:rsidP="00564F61">
      <w:r w:rsidRPr="00564F61">
        <w:t xml:space="preserve">9 de junho de 2026|Estudos, Tecnologia e </w:t>
      </w:r>
      <w:proofErr w:type="spellStart"/>
      <w:r w:rsidRPr="00564F61">
        <w:t>Marketin</w:t>
      </w:r>
      <w:proofErr w:type="spellEnd"/>
      <w:r w:rsidRPr="00564F61">
        <w:t>, Feiras</w:t>
      </w:r>
    </w:p>
    <w:p w14:paraId="14FAB38B" w14:textId="77777777" w:rsidR="00564F61" w:rsidRPr="00564F61" w:rsidRDefault="00564F61" w:rsidP="00564F61">
      <w:r w:rsidRPr="00564F61">
        <w:rPr>
          <w:b/>
          <w:bCs/>
        </w:rPr>
        <w:t>No CBGO 2026, a RSTCOM </w:t>
      </w:r>
      <w:r w:rsidRPr="00564F61">
        <w:t>desenvolveu uma série de experiências imersivas e interativas para o estande da Libbs, unindo tecnologia, narrativa visual e inovação para transformar conteúdo científico em experiências mais humanas e memoráveis.</w:t>
      </w:r>
    </w:p>
    <w:p w14:paraId="70C6A72C" w14:textId="77777777" w:rsidR="00564F61" w:rsidRPr="00564F61" w:rsidRDefault="00564F61" w:rsidP="00564F61">
      <w:r w:rsidRPr="00564F61">
        <w:t>Entre os destaques do projeto esteve a experiência NEXTELA — TRÍADE DA INOVAÇÃO, desenvolvida a partir do conceito vitruviano para representar equilíbrio, evolução e inovação no cuidado feminino.</w:t>
      </w:r>
    </w:p>
    <w:p w14:paraId="10082E5C" w14:textId="77777777" w:rsidR="00564F61" w:rsidRPr="00564F61" w:rsidRDefault="00564F61" w:rsidP="00564F61">
      <w:r w:rsidRPr="00564F61">
        <w:br/>
      </w:r>
    </w:p>
    <w:p w14:paraId="24E73E24" w14:textId="65E59B83" w:rsidR="00564F61" w:rsidRPr="00564F61" w:rsidRDefault="00564F61" w:rsidP="00564F61">
      <w:r w:rsidRPr="00564F61">
        <w:drawing>
          <wp:inline distT="0" distB="0" distL="0" distR="0" wp14:anchorId="3F94F3CB" wp14:editId="2778F1EB">
            <wp:extent cx="5400040" cy="5549265"/>
            <wp:effectExtent l="0" t="0" r="0" b="0"/>
            <wp:docPr id="4305343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4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79FD4" w14:textId="77777777" w:rsidR="00564F61" w:rsidRPr="00564F61" w:rsidRDefault="00564F61" w:rsidP="00564F61">
      <w:r w:rsidRPr="00564F61">
        <w:lastRenderedPageBreak/>
        <w:t xml:space="preserve">A ativação utilizava tecnologia RFID integrada à experiência física. Ao encaixar as peças na personagem, conteúdos específicos eram ativados automaticamente, revelando personagens digitais desenvolvidas em </w:t>
      </w:r>
      <w:proofErr w:type="spellStart"/>
      <w:r w:rsidRPr="00564F61">
        <w:t>MetaHuman</w:t>
      </w:r>
      <w:proofErr w:type="spellEnd"/>
      <w:r w:rsidRPr="00564F61">
        <w:t>.</w:t>
      </w:r>
    </w:p>
    <w:p w14:paraId="14CB5D10" w14:textId="77777777" w:rsidR="00564F61" w:rsidRPr="00564F61" w:rsidRDefault="00564F61" w:rsidP="00564F61">
      <w:r w:rsidRPr="00564F61">
        <w:br/>
      </w:r>
    </w:p>
    <w:p w14:paraId="58BDE882" w14:textId="77777777" w:rsidR="00564F61" w:rsidRPr="00564F61" w:rsidRDefault="00564F61" w:rsidP="00564F61">
      <w:r w:rsidRPr="00564F61">
        <w:t>Foram criadas 3 personagens em IA que representavam diferentes perfis de pacientes, compartilhando suas jornadas e os motivos da escolha do medicamento de forma mais próxima, tecnológica e interativa.</w:t>
      </w:r>
    </w:p>
    <w:p w14:paraId="088D97D3" w14:textId="77777777" w:rsidR="00564F61" w:rsidRPr="00564F61" w:rsidRDefault="00564F61" w:rsidP="00564F61">
      <w:r w:rsidRPr="00564F61">
        <w:br/>
      </w:r>
    </w:p>
    <w:p w14:paraId="3B062FE7" w14:textId="3E1B6CD9" w:rsidR="00564F61" w:rsidRPr="00564F61" w:rsidRDefault="00564F61" w:rsidP="00564F61">
      <w:r w:rsidRPr="00564F61">
        <w:drawing>
          <wp:inline distT="0" distB="0" distL="0" distR="0" wp14:anchorId="50597DD3" wp14:editId="744CB728">
            <wp:extent cx="3267075" cy="6010275"/>
            <wp:effectExtent l="0" t="0" r="9525" b="9525"/>
            <wp:docPr id="149033349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77DF" w14:textId="77777777" w:rsidR="00564F61" w:rsidRPr="00564F61" w:rsidRDefault="00564F61" w:rsidP="00564F61">
      <w:r w:rsidRPr="00564F61">
        <w:lastRenderedPageBreak/>
        <w:t>Outro destaque do espaço foi a IMERSÃO ZAILA, uma experiência criada para apresentar o universo da microbiota feminina através de ambientação, conteúdo visual e tecnologia imersiva.</w:t>
      </w:r>
    </w:p>
    <w:p w14:paraId="7DCBA6BC" w14:textId="77777777" w:rsidR="00564F61" w:rsidRPr="00564F61" w:rsidRDefault="00564F61" w:rsidP="00564F61">
      <w:r w:rsidRPr="00564F61">
        <w:br/>
      </w:r>
    </w:p>
    <w:p w14:paraId="08C87CE7" w14:textId="77777777" w:rsidR="00564F61" w:rsidRPr="00564F61" w:rsidRDefault="00564F61" w:rsidP="00564F61">
      <w:r w:rsidRPr="00564F61">
        <w:t>Também desenvolvemos a experiência CICLOS DO CUIDADO, conectando diferentes fases da jornada feminina ao portfólio Libbs de forma visual, intuitiva e estratégica.</w:t>
      </w:r>
    </w:p>
    <w:p w14:paraId="0E6C4E1D" w14:textId="77777777" w:rsidR="00564F61" w:rsidRPr="00564F61" w:rsidRDefault="00564F61" w:rsidP="00564F61">
      <w:r w:rsidRPr="00564F61">
        <w:br/>
      </w:r>
    </w:p>
    <w:p w14:paraId="6BFD57BE" w14:textId="5D81EA25" w:rsidR="00564F61" w:rsidRPr="00564F61" w:rsidRDefault="00564F61" w:rsidP="00564F61">
      <w:r w:rsidRPr="00564F61">
        <w:lastRenderedPageBreak/>
        <w:drawing>
          <wp:inline distT="0" distB="0" distL="0" distR="0" wp14:anchorId="143CE1A5" wp14:editId="1D158451">
            <wp:extent cx="5400040" cy="7201535"/>
            <wp:effectExtent l="0" t="0" r="0" b="0"/>
            <wp:docPr id="15861534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107A" w14:textId="77777777" w:rsidR="00564F61" w:rsidRPr="00564F61" w:rsidRDefault="00564F61" w:rsidP="00564F61">
      <w:r w:rsidRPr="00564F61">
        <w:t>Além das experiências interativas, a RSTCOM foi responsável pelo desenvolvimento da comunicação visual do estande e conteúdos institucionais, conectando branding, arquitetura e experiência em uma linguagem única.</w:t>
      </w:r>
    </w:p>
    <w:p w14:paraId="5CB10D48" w14:textId="77777777" w:rsidR="00564F61" w:rsidRPr="00564F61" w:rsidRDefault="00564F61" w:rsidP="00564F61">
      <w:r w:rsidRPr="00564F61">
        <w:t>Tecnologia, criatividade e execução estratégica trabalhando juntas para transformar conteúdo em experiência.</w:t>
      </w:r>
    </w:p>
    <w:p w14:paraId="0F5771D4" w14:textId="77777777" w:rsidR="00564F61" w:rsidRPr="00564F61" w:rsidRDefault="00564F61" w:rsidP="00564F61">
      <w:r w:rsidRPr="00564F61">
        <w:lastRenderedPageBreak/>
        <w:br/>
      </w:r>
    </w:p>
    <w:p w14:paraId="28B6905C" w14:textId="77777777" w:rsidR="00564F61" w:rsidRPr="00564F61" w:rsidRDefault="00564F61" w:rsidP="00564F61">
      <w:r w:rsidRPr="00564F61">
        <w:rPr>
          <w:b/>
          <w:bCs/>
          <w:i/>
          <w:iCs/>
        </w:rPr>
        <w:t>RSTCOM</w:t>
      </w:r>
    </w:p>
    <w:p w14:paraId="7ECCD1B1" w14:textId="77777777" w:rsidR="00564F61" w:rsidRPr="00564F61" w:rsidRDefault="00564F61" w:rsidP="00564F61">
      <w:r w:rsidRPr="00564F61">
        <w:t>Experiências que conectam marcas, pessoas e inovação.</w:t>
      </w:r>
    </w:p>
    <w:p w14:paraId="1A11D592" w14:textId="77777777" w:rsidR="00564F61" w:rsidRDefault="00564F61"/>
    <w:sectPr w:rsidR="00564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F61"/>
    <w:rsid w:val="00564F61"/>
    <w:rsid w:val="006E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D6A66"/>
  <w15:chartTrackingRefBased/>
  <w15:docId w15:val="{2A6C20AC-7C01-4430-B943-5A906902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4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4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4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4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4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4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4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4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4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4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4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4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4F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4F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4F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4F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4F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4F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4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4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4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4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4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4F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4F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4F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4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4F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4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268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2026-09-15T21:21:00Z</dcterms:created>
  <dcterms:modified xsi:type="dcterms:W3CDTF">2026-09-15T21:21:00Z</dcterms:modified>
</cp:coreProperties>
</file>