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8A25" w14:textId="77777777" w:rsidR="007B1923" w:rsidRDefault="007B1923">
      <w:r w:rsidRPr="007B1923">
        <w:t xml:space="preserve">FINCLASS — REALIDADE AUMENTADA + HOLOGRAFIA </w:t>
      </w:r>
    </w:p>
    <w:p w14:paraId="681CBE91" w14:textId="77777777" w:rsidR="007B1923" w:rsidRDefault="007B1923">
      <w:r w:rsidRPr="007B1923">
        <w:t xml:space="preserve">Tecnologia integrada ao conteúdo para transformar uma transmissão em uma experiência digital imersiva. No lançamento da </w:t>
      </w:r>
      <w:proofErr w:type="spellStart"/>
      <w:r w:rsidRPr="007B1923">
        <w:t>Finclass</w:t>
      </w:r>
      <w:proofErr w:type="spellEnd"/>
      <w:r w:rsidRPr="007B1923">
        <w:t xml:space="preserve">, a RSTCOM combinou cenário digital em realidade aumentada, holografia, conteúdo audiovisual e transmissão ao vivo para criar uma linguagem visual mais dinâmica e inovadora. </w:t>
      </w:r>
    </w:p>
    <w:p w14:paraId="5328F87C" w14:textId="77777777" w:rsidR="007B1923" w:rsidRDefault="007B1923">
      <w:r w:rsidRPr="007B1923">
        <w:t xml:space="preserve">Além da tecnologia aplicada à cena, o projeto envolveu roteirização, gravação e operação de transmissão, conectando conteúdo e recursos digitais em uma única experiência. </w:t>
      </w:r>
    </w:p>
    <w:p w14:paraId="0688BC2B" w14:textId="77777777" w:rsidR="007B1923" w:rsidRPr="007B1923" w:rsidRDefault="007B1923">
      <w:pPr>
        <w:rPr>
          <w:b/>
          <w:bCs/>
        </w:rPr>
      </w:pPr>
      <w:r w:rsidRPr="007B1923">
        <w:rPr>
          <w:b/>
          <w:bCs/>
        </w:rPr>
        <w:t xml:space="preserve">O que fizemos: </w:t>
      </w:r>
    </w:p>
    <w:p w14:paraId="203D6564" w14:textId="77777777" w:rsidR="007B1923" w:rsidRDefault="007B1923">
      <w:r w:rsidRPr="007B1923">
        <w:t>Roteirização</w:t>
      </w:r>
      <w:r>
        <w:t>;</w:t>
      </w:r>
    </w:p>
    <w:p w14:paraId="46498C01" w14:textId="77777777" w:rsidR="007B1923" w:rsidRDefault="007B1923">
      <w:r w:rsidRPr="007B1923">
        <w:t>Gravação</w:t>
      </w:r>
      <w:r>
        <w:t>;</w:t>
      </w:r>
    </w:p>
    <w:p w14:paraId="39164C21" w14:textId="77777777" w:rsidR="007B1923" w:rsidRDefault="007B1923">
      <w:r w:rsidRPr="007B1923">
        <w:t>Transmissão ao vivo</w:t>
      </w:r>
      <w:r>
        <w:t>;</w:t>
      </w:r>
    </w:p>
    <w:p w14:paraId="517CE6EA" w14:textId="77777777" w:rsidR="007B1923" w:rsidRDefault="007B1923">
      <w:r w:rsidRPr="007B1923">
        <w:t>Cenário digital em realidade aumentada</w:t>
      </w:r>
      <w:r>
        <w:t>;</w:t>
      </w:r>
    </w:p>
    <w:p w14:paraId="7D5514B8" w14:textId="77777777" w:rsidR="007B1923" w:rsidRDefault="007B1923">
      <w:r w:rsidRPr="007B1923">
        <w:t>Holografia</w:t>
      </w:r>
      <w:r>
        <w:t>;</w:t>
      </w:r>
    </w:p>
    <w:p w14:paraId="01090D85" w14:textId="77777777" w:rsidR="007B1923" w:rsidRDefault="007B1923">
      <w:r w:rsidRPr="007B1923">
        <w:t>Conteúdo audiovisual</w:t>
      </w:r>
      <w:r>
        <w:t>;</w:t>
      </w:r>
    </w:p>
    <w:p w14:paraId="54DFA31B" w14:textId="53586236" w:rsidR="000A7444" w:rsidRDefault="007B1923">
      <w:r w:rsidRPr="007B1923">
        <w:t>Integração de tecnologia à transmissão</w:t>
      </w:r>
      <w:r>
        <w:t>.</w:t>
      </w:r>
    </w:p>
    <w:sectPr w:rsidR="000A74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444"/>
    <w:rsid w:val="00094B63"/>
    <w:rsid w:val="000A7444"/>
    <w:rsid w:val="007B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4CE24"/>
  <w15:chartTrackingRefBased/>
  <w15:docId w15:val="{8DC83D52-CB32-4707-9F40-F34879001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7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7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7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7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7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7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7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7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7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7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7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74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74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74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74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74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74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7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7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7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7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7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74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74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74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7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74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74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587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</dc:creator>
  <cp:keywords/>
  <dc:description/>
  <cp:lastModifiedBy>Arthur Souza</cp:lastModifiedBy>
  <cp:revision>2</cp:revision>
  <dcterms:created xsi:type="dcterms:W3CDTF">2026-09-14T18:20:00Z</dcterms:created>
  <dcterms:modified xsi:type="dcterms:W3CDTF">2026-09-14T18:21:00Z</dcterms:modified>
</cp:coreProperties>
</file>