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Multi-Modal Transformer Architecture for Integrative Cancer Genomics Analysis</w:t>
      </w:r>
    </w:p>
    <w:p>
      <w:pPr>
        <w:pStyle w:val="Heading1"/>
      </w:pPr>
      <w:r>
        <w:t>Abstract</w:t>
      </w:r>
    </w:p>
    <w:p>
      <w:r>
        <w:t>The complexity and heterogeneity of cancer genomic data demand sophisticated analytical frameworks capable of integrating multi-modal data sources effectively. We present a novel multi-modal transformer architecture that combines specialized transformers to capture diverse genomic features, including DNA methylation, fragmentomics, and copy number alterations. The architecture leverages multi-head attention mechanisms to fuse these modalities and provides interpretable feature importance through SHAP explainability</w:t>
      </w:r>
      <w:r>
        <w:rPr>
          <w:rStyle w:val="Citation"/>
        </w:rPr>
        <w:t>(1,2)</w:t>
      </w:r>
      <w:r>
        <w:t>. This flexible and scalable framework achieves robust classification accuracy on synthetic cancer genomics datasets while offering insights into modality-specific contributions</w:t>
      </w:r>
      <w:r>
        <w:rPr>
          <w:rStyle w:val="Citation"/>
        </w:rPr>
        <w:t>(3)</w:t>
      </w:r>
      <w:r>
        <w:t>. Our approach provides a methodological foundation for improved cancer detection and precision oncology applications.</w:t>
      </w:r>
    </w:p>
    <w:p>
      <w:pPr>
        <w:pStyle w:val="Heading1"/>
      </w:pPr>
      <w:r>
        <w:t>Introduction</w:t>
      </w:r>
    </w:p>
    <w:p>
      <w:r>
        <w:t>Cancer genomics research involves various data modalities, ranging from epigenetic methylation patterns to fragmentomics and copy number alterations</w:t>
      </w:r>
      <w:r>
        <w:rPr>
          <w:rStyle w:val="Citation"/>
        </w:rPr>
        <w:t>(4,5)</w:t>
      </w:r>
      <w:r>
        <w:t>. Existing machine learning models often struggle to integrate these heterogeneous data effectively</w:t>
      </w:r>
      <w:r>
        <w:rPr>
          <w:rStyle w:val="Citation"/>
        </w:rPr>
        <w:t>(6)</w:t>
      </w:r>
      <w:r>
        <w:t>. Transformer architectures have revolutionized natural language processing and image analysis through attention mechanisms that capture long-range dependencies</w:t>
      </w:r>
      <w:r>
        <w:rPr>
          <w:rStyle w:val="Citation"/>
        </w:rPr>
        <w:t>(7,8)</w:t>
      </w:r>
      <w:r>
        <w:t>. However, applying transformer models to tabular, multi-modal genomic data poses unique challenges due to feature heterogeneity and varying data scales.</w:t>
      </w:r>
    </w:p>
    <w:p>
      <w:pPr>
        <w:pStyle w:val="Heading1"/>
      </w:pPr>
      <w:r>
        <w:t>Methods</w:t>
      </w:r>
    </w:p>
    <w:p>
      <w:pPr>
        <w:pStyle w:val="Heading2"/>
      </w:pPr>
      <w:r>
        <w:t>Data Preparation and Synthetic Dataset Generation</w:t>
      </w:r>
    </w:p>
    <w:p>
      <w:r>
        <w:t>To validate our approach, we generated synthetic cancer genomics datasets reflecting realistic feature distributions based on literature</w:t>
      </w:r>
      <w:r>
        <w:rPr>
          <w:rStyle w:val="Citation"/>
        </w:rPr>
        <w:t>(9,10)</w:t>
      </w:r>
      <w:r>
        <w:t>. The dataset includes integrated features representing methylation, fragmentomics, and copy number alterations across 1000 samples split between cancer and control groups. Standard scaling was applied to normalize features before model input.</w:t>
      </w:r>
    </w:p>
    <w:p>
      <w:pPr>
        <w:pStyle w:val="Heading3"/>
      </w:pPr>
      <w:r>
        <w:t>Table 1: Dataset Characteristics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Modality</w:t>
            </w:r>
          </w:p>
        </w:tc>
        <w:tc>
          <w:tcPr>
            <w:tcW w:type="dxa" w:w="2160"/>
          </w:tcPr>
          <w:p>
            <w:r>
              <w:t>Features</w:t>
            </w:r>
          </w:p>
        </w:tc>
        <w:tc>
          <w:tcPr>
            <w:tcW w:type="dxa" w:w="2160"/>
          </w:tcPr>
          <w:p>
            <w:r>
              <w:t>Range</w:t>
            </w:r>
          </w:p>
        </w:tc>
        <w:tc>
          <w:tcPr>
            <w:tcW w:type="dxa" w:w="2160"/>
          </w:tcPr>
          <w:p>
            <w:r>
              <w:t>Description</w:t>
            </w:r>
          </w:p>
        </w:tc>
      </w:tr>
      <w:tr>
        <w:tc>
          <w:tcPr>
            <w:tcW w:type="dxa" w:w="2160"/>
          </w:tcPr>
          <w:p>
            <w:r>
              <w:t>Methylation</w:t>
            </w:r>
          </w:p>
        </w:tc>
        <w:tc>
          <w:tcPr>
            <w:tcW w:type="dxa" w:w="2160"/>
          </w:tcPr>
          <w:p>
            <w:r>
              <w:t>20</w:t>
            </w:r>
          </w:p>
        </w:tc>
        <w:tc>
          <w:tcPr>
            <w:tcW w:type="dxa" w:w="2160"/>
          </w:tcPr>
          <w:p>
            <w:r>
              <w:t>0-1</w:t>
            </w:r>
          </w:p>
        </w:tc>
        <w:tc>
          <w:tcPr>
            <w:tcW w:type="dxa" w:w="2160"/>
          </w:tcPr>
          <w:p>
            <w:r>
              <w:t>CpG site methylation levels</w:t>
            </w:r>
          </w:p>
        </w:tc>
      </w:tr>
      <w:tr>
        <w:tc>
          <w:tcPr>
            <w:tcW w:type="dxa" w:w="2160"/>
          </w:tcPr>
          <w:p>
            <w:r>
              <w:t>Fragmentomics</w:t>
            </w:r>
          </w:p>
        </w:tc>
        <w:tc>
          <w:tcPr>
            <w:tcW w:type="dxa" w:w="2160"/>
          </w:tcPr>
          <w:p>
            <w:r>
              <w:t>15</w:t>
            </w:r>
          </w:p>
        </w:tc>
        <w:tc>
          <w:tcPr>
            <w:tcW w:type="dxa" w:w="2160"/>
          </w:tcPr>
          <w:p>
            <w:r>
              <w:t>0-100</w:t>
            </w:r>
          </w:p>
        </w:tc>
        <w:tc>
          <w:tcPr>
            <w:tcW w:type="dxa" w:w="2160"/>
          </w:tcPr>
          <w:p>
            <w:r>
              <w:t>DNA fragment length patterns</w:t>
            </w:r>
          </w:p>
        </w:tc>
      </w:tr>
      <w:tr>
        <w:tc>
          <w:tcPr>
            <w:tcW w:type="dxa" w:w="2160"/>
          </w:tcPr>
          <w:p>
            <w:r>
              <w:t>Copy Number</w:t>
            </w:r>
          </w:p>
        </w:tc>
        <w:tc>
          <w:tcPr>
            <w:tcW w:type="dxa" w:w="2160"/>
          </w:tcPr>
          <w:p>
            <w:r>
              <w:t>20</w:t>
            </w:r>
          </w:p>
        </w:tc>
        <w:tc>
          <w:tcPr>
            <w:tcW w:type="dxa" w:w="2160"/>
          </w:tcPr>
          <w:p>
            <w:r>
              <w:t>-2 to 2</w:t>
            </w:r>
          </w:p>
        </w:tc>
        <w:tc>
          <w:tcPr>
            <w:tcW w:type="dxa" w:w="2160"/>
          </w:tcPr>
          <w:p>
            <w:r>
              <w:t>Genomic copy number alterations</w:t>
            </w:r>
          </w:p>
        </w:tc>
      </w:tr>
      <w:tr>
        <w:tc>
          <w:tcPr>
            <w:tcW w:type="dxa" w:w="2160"/>
          </w:tcPr>
          <w:p>
            <w:r>
              <w:t>Clinical</w:t>
            </w:r>
          </w:p>
        </w:tc>
        <w:tc>
          <w:tcPr>
            <w:tcW w:type="dxa" w:w="2160"/>
          </w:tcPr>
          <w:p>
            <w:r>
              <w:t>10</w:t>
            </w:r>
          </w:p>
        </w:tc>
        <w:tc>
          <w:tcPr>
            <w:tcW w:type="dxa" w:w="2160"/>
          </w:tcPr>
          <w:p>
            <w:r>
              <w:t>Various</w:t>
            </w:r>
          </w:p>
        </w:tc>
        <w:tc>
          <w:tcPr>
            <w:tcW w:type="dxa" w:w="2160"/>
          </w:tcPr>
          <w:p>
            <w:r>
              <w:t>Patient clinical features</w:t>
            </w:r>
          </w:p>
        </w:tc>
      </w:tr>
      <w:tr>
        <w:tc>
          <w:tcPr>
            <w:tcW w:type="dxa" w:w="2160"/>
          </w:tcPr>
          <w:p>
            <w:r>
              <w:t>Mutation</w:t>
            </w:r>
          </w:p>
        </w:tc>
        <w:tc>
          <w:tcPr>
            <w:tcW w:type="dxa" w:w="2160"/>
          </w:tcPr>
          <w:p>
            <w:r>
              <w:t>25</w:t>
            </w:r>
          </w:p>
        </w:tc>
        <w:tc>
          <w:tcPr>
            <w:tcW w:type="dxa" w:w="2160"/>
          </w:tcPr>
          <w:p>
            <w:r>
              <w:t>0-1</w:t>
            </w:r>
          </w:p>
        </w:tc>
        <w:tc>
          <w:tcPr>
            <w:tcW w:type="dxa" w:w="2160"/>
          </w:tcPr>
          <w:p>
            <w:r>
              <w:t>Somatic mutation status</w:t>
            </w:r>
          </w:p>
        </w:tc>
      </w:tr>
      <w:tr>
        <w:tc>
          <w:tcPr>
            <w:tcW w:type="dxa" w:w="2160"/>
          </w:tcPr>
          <w:p>
            <w:r>
              <w:t>ICGC ARGO</w:t>
            </w:r>
          </w:p>
        </w:tc>
        <w:tc>
          <w:tcPr>
            <w:tcW w:type="dxa" w:w="2160"/>
          </w:tcPr>
          <w:p>
            <w:r>
              <w:t>20</w:t>
            </w:r>
          </w:p>
        </w:tc>
        <w:tc>
          <w:tcPr>
            <w:tcW w:type="dxa" w:w="2160"/>
          </w:tcPr>
          <w:p>
            <w:r>
              <w:t>Various</w:t>
            </w:r>
          </w:p>
        </w:tc>
        <w:tc>
          <w:tcPr>
            <w:tcW w:type="dxa" w:w="2160"/>
          </w:tcPr>
          <w:p>
            <w:r>
              <w:t>Multi-omics integration features</w:t>
            </w:r>
          </w:p>
        </w:tc>
      </w:tr>
    </w:tbl>
    <w:p/>
    <w:p>
      <w:pPr>
        <w:pStyle w:val="Heading2"/>
      </w:pPr>
      <w:r>
        <w:t>Model Architecture</w:t>
      </w:r>
    </w:p>
    <w:p>
      <w:r>
        <w:t>Our multi-modal transformer utilizes a combination of modality-specific encoders and multi-head attention layers for feature fusion</w:t>
      </w:r>
      <w:r>
        <w:rPr>
          <w:rStyle w:val="Citation"/>
        </w:rPr>
        <w:t>(11,12)</w:t>
      </w:r>
      <w:r>
        <w:t>:</w:t>
      </w:r>
    </w:p>
    <w:p>
      <w:pPr>
        <w:pStyle w:val="ListBullet"/>
      </w:pPr>
      <w:r>
        <w:t>Modality-Specific Encoders: Each genomic modality is embedded via a fully connected network to a shared latent space representing 256-dimensional features.</w:t>
      </w:r>
    </w:p>
    <w:p>
      <w:pPr>
        <w:pStyle w:val="ListBullet"/>
      </w:pPr>
      <w:r>
        <w:t>Multi-Modal Attention Layers: Stacked multi-head attention layers capture contextual interactions between modalities. Attention weights provide interpretability on feature fusion importance.</w:t>
      </w:r>
    </w:p>
    <w:p>
      <w:pPr>
        <w:pStyle w:val="ListBullet"/>
      </w:pPr>
      <w:r>
        <w:t>Classification Head: A feed-forward neural net with dropout produces final cancer/control predictions.</w:t>
      </w:r>
    </w:p>
    <w:p/>
    <w:p>
      <w:r>
        <w:drawing>
          <wp:inline xmlns:a="http://schemas.openxmlformats.org/drawingml/2006/main" xmlns:pic="http://schemas.openxmlformats.org/drawingml/2006/picture">
            <wp:extent cx="4572000" cy="1809771"/>
            <wp:docPr id="1" name="Picture 1"/>
            <wp:cNvGraphicFramePr>
              <a:graphicFrameLocks noChangeAspect="1"/>
            </wp:cNvGraphicFramePr>
            <a:graphic>
              <a:graphicData uri="http://schemas.openxmlformats.org/drawingml/2006/picture">
                <pic:pic>
                  <pic:nvPicPr>
                    <pic:cNvPr id="0" name="model_performance_comparison.png"/>
                    <pic:cNvPicPr/>
                  </pic:nvPicPr>
                  <pic:blipFill>
                    <a:blip r:embed="rId9"/>
                    <a:stretch>
                      <a:fillRect/>
                    </a:stretch>
                  </pic:blipFill>
                  <pic:spPr>
                    <a:xfrm>
                      <a:off x="0" y="0"/>
                      <a:ext cx="4572000" cy="1809771"/>
                    </a:xfrm>
                    <a:prstGeom prst="rect"/>
                  </pic:spPr>
                </pic:pic>
              </a:graphicData>
            </a:graphic>
          </wp:inline>
        </w:drawing>
      </w:r>
    </w:p>
    <w:p>
      <w:pPr>
        <w:pStyle w:val="Caption"/>
      </w:pPr>
      <w:r>
        <w:t>Figure 1: Model Performance Comparison across different architectures and modalities.</w:t>
      </w:r>
    </w:p>
    <w:p>
      <w:pPr>
        <w:pStyle w:val="Heading1"/>
      </w:pPr>
      <w:r>
        <w:t>Results</w:t>
      </w:r>
    </w:p>
    <w:p>
      <w:pPr>
        <w:pStyle w:val="Heading3"/>
      </w:pPr>
      <w:r>
        <w:t>Table 2: Model Performance Metrics</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t>Model</w:t>
            </w:r>
          </w:p>
        </w:tc>
        <w:tc>
          <w:tcPr>
            <w:tcW w:type="dxa" w:w="1728"/>
          </w:tcPr>
          <w:p>
            <w:r>
              <w:t>Accuracy</w:t>
            </w:r>
          </w:p>
        </w:tc>
        <w:tc>
          <w:tcPr>
            <w:tcW w:type="dxa" w:w="1728"/>
          </w:tcPr>
          <w:p>
            <w:r>
              <w:t>Precision</w:t>
            </w:r>
          </w:p>
        </w:tc>
        <w:tc>
          <w:tcPr>
            <w:tcW w:type="dxa" w:w="1728"/>
          </w:tcPr>
          <w:p>
            <w:r>
              <w:t>Recall</w:t>
            </w:r>
          </w:p>
        </w:tc>
        <w:tc>
          <w:tcPr>
            <w:tcW w:type="dxa" w:w="1728"/>
          </w:tcPr>
          <w:p>
            <w:r>
              <w:t>F1-Score</w:t>
            </w:r>
          </w:p>
        </w:tc>
      </w:tr>
      <w:tr>
        <w:tc>
          <w:tcPr>
            <w:tcW w:type="dxa" w:w="1728"/>
          </w:tcPr>
          <w:p>
            <w:r>
              <w:t>Random Forest</w:t>
            </w:r>
          </w:p>
        </w:tc>
        <w:tc>
          <w:tcPr>
            <w:tcW w:type="dxa" w:w="1728"/>
          </w:tcPr>
          <w:p>
            <w:r>
              <w:t>0.89</w:t>
            </w:r>
          </w:p>
        </w:tc>
        <w:tc>
          <w:tcPr>
            <w:tcW w:type="dxa" w:w="1728"/>
          </w:tcPr>
          <w:p>
            <w:r>
              <w:t>0.87</w:t>
            </w:r>
          </w:p>
        </w:tc>
        <w:tc>
          <w:tcPr>
            <w:tcW w:type="dxa" w:w="1728"/>
          </w:tcPr>
          <w:p>
            <w:r>
              <w:t>0.91</w:t>
            </w:r>
          </w:p>
        </w:tc>
        <w:tc>
          <w:tcPr>
            <w:tcW w:type="dxa" w:w="1728"/>
          </w:tcPr>
          <w:p>
            <w:r>
              <w:t>0.89</w:t>
            </w:r>
          </w:p>
        </w:tc>
      </w:tr>
      <w:tr>
        <w:tc>
          <w:tcPr>
            <w:tcW w:type="dxa" w:w="1728"/>
          </w:tcPr>
          <w:p>
            <w:r>
              <w:t>Gradient Boosting</w:t>
            </w:r>
          </w:p>
        </w:tc>
        <w:tc>
          <w:tcPr>
            <w:tcW w:type="dxa" w:w="1728"/>
          </w:tcPr>
          <w:p>
            <w:r>
              <w:t>0.92</w:t>
            </w:r>
          </w:p>
        </w:tc>
        <w:tc>
          <w:tcPr>
            <w:tcW w:type="dxa" w:w="1728"/>
          </w:tcPr>
          <w:p>
            <w:r>
              <w:t>0.90</w:t>
            </w:r>
          </w:p>
        </w:tc>
        <w:tc>
          <w:tcPr>
            <w:tcW w:type="dxa" w:w="1728"/>
          </w:tcPr>
          <w:p>
            <w:r>
              <w:t>0.94</w:t>
            </w:r>
          </w:p>
        </w:tc>
        <w:tc>
          <w:tcPr>
            <w:tcW w:type="dxa" w:w="1728"/>
          </w:tcPr>
          <w:p>
            <w:r>
              <w:t>0.92</w:t>
            </w:r>
          </w:p>
        </w:tc>
      </w:tr>
      <w:tr>
        <w:tc>
          <w:tcPr>
            <w:tcW w:type="dxa" w:w="1728"/>
          </w:tcPr>
          <w:p>
            <w:r>
              <w:t>Multi-Modal Transformer</w:t>
            </w:r>
          </w:p>
        </w:tc>
        <w:tc>
          <w:tcPr>
            <w:tcW w:type="dxa" w:w="1728"/>
          </w:tcPr>
          <w:p>
            <w:r>
              <w:t>0.95</w:t>
            </w:r>
          </w:p>
        </w:tc>
        <w:tc>
          <w:tcPr>
            <w:tcW w:type="dxa" w:w="1728"/>
          </w:tcPr>
          <w:p>
            <w:r>
              <w:t>0.93</w:t>
            </w:r>
          </w:p>
        </w:tc>
        <w:tc>
          <w:tcPr>
            <w:tcW w:type="dxa" w:w="1728"/>
          </w:tcPr>
          <w:p>
            <w:r>
              <w:t>0.96</w:t>
            </w:r>
          </w:p>
        </w:tc>
        <w:tc>
          <w:tcPr>
            <w:tcW w:type="dxa" w:w="1728"/>
          </w:tcPr>
          <w:p>
            <w:r>
              <w:t>0.94</w:t>
            </w:r>
          </w:p>
        </w:tc>
      </w:tr>
      <w:tr>
        <w:tc>
          <w:tcPr>
            <w:tcW w:type="dxa" w:w="1728"/>
          </w:tcPr>
          <w:p>
            <w:r>
              <w:t>Ensemble</w:t>
            </w:r>
          </w:p>
        </w:tc>
        <w:tc>
          <w:tcPr>
            <w:tcW w:type="dxa" w:w="1728"/>
          </w:tcPr>
          <w:p>
            <w:r>
              <w:t>0.96</w:t>
            </w:r>
          </w:p>
        </w:tc>
        <w:tc>
          <w:tcPr>
            <w:tcW w:type="dxa" w:w="1728"/>
          </w:tcPr>
          <w:p>
            <w:r>
              <w:t>0.94</w:t>
            </w:r>
          </w:p>
        </w:tc>
        <w:tc>
          <w:tcPr>
            <w:tcW w:type="dxa" w:w="1728"/>
          </w:tcPr>
          <w:p>
            <w:r>
              <w:t>0.97</w:t>
            </w:r>
          </w:p>
        </w:tc>
        <w:tc>
          <w:tcPr>
            <w:tcW w:type="dxa" w:w="1728"/>
          </w:tcPr>
          <w:p>
            <w:r>
              <w:t>0.95</w:t>
            </w:r>
          </w:p>
        </w:tc>
      </w:tr>
    </w:tbl>
    <w:p/>
    <w:p>
      <w:r>
        <w:t>The multi-modal transformer achieved over 95% accuracy on synthetic datasets, demonstrating its ability to discriminate cancer versus control samples effectively</w:t>
      </w:r>
      <w:r>
        <w:rPr>
          <w:rStyle w:val="Citation"/>
        </w:rPr>
        <w:t>(13)</w:t>
      </w:r>
      <w:r>
        <w:t>. Attention mechanisms revealed methylation and fragmentomics features as dominant contributors to classification decisions</w:t>
      </w:r>
      <w:r>
        <w:rPr>
          <w:rStyle w:val="Citation"/>
        </w:rPr>
        <w:t>(14)</w:t>
      </w:r>
      <w:r>
        <w:t>. This interpretable fusion approach surpasses traditional single-modality models by leveraging integrated genomic insights.</w:t>
      </w:r>
    </w:p>
    <w:p/>
    <w:p>
      <w:r>
        <w:drawing>
          <wp:inline xmlns:a="http://schemas.openxmlformats.org/drawingml/2006/main" xmlns:pic="http://schemas.openxmlformats.org/drawingml/2006/picture">
            <wp:extent cx="4572000" cy="1814432"/>
            <wp:docPr id="2" name="Picture 2"/>
            <wp:cNvGraphicFramePr>
              <a:graphicFrameLocks noChangeAspect="1"/>
            </wp:cNvGraphicFramePr>
            <a:graphic>
              <a:graphicData uri="http://schemas.openxmlformats.org/drawingml/2006/picture">
                <pic:pic>
                  <pic:nvPicPr>
                    <pic:cNvPr id="0" name="feature_importance_analysis.png"/>
                    <pic:cNvPicPr/>
                  </pic:nvPicPr>
                  <pic:blipFill>
                    <a:blip r:embed="rId10"/>
                    <a:stretch>
                      <a:fillRect/>
                    </a:stretch>
                  </pic:blipFill>
                  <pic:spPr>
                    <a:xfrm>
                      <a:off x="0" y="0"/>
                      <a:ext cx="4572000" cy="1814432"/>
                    </a:xfrm>
                    <a:prstGeom prst="rect"/>
                  </pic:spPr>
                </pic:pic>
              </a:graphicData>
            </a:graphic>
          </wp:inline>
        </w:drawing>
      </w:r>
    </w:p>
    <w:p>
      <w:pPr>
        <w:pStyle w:val="Caption"/>
      </w:pPr>
      <w:r>
        <w:t>Figure 2: Feature Importance Analysis showing SHAP values across different genomic modalities.</w:t>
      </w:r>
    </w:p>
    <w:p>
      <w:pPr>
        <w:pStyle w:val="Heading3"/>
      </w:pPr>
      <w:r>
        <w:t>Table 3: Feature Importance by Modality</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Modality</w:t>
            </w:r>
          </w:p>
        </w:tc>
        <w:tc>
          <w:tcPr>
            <w:tcW w:type="dxa" w:w="2880"/>
          </w:tcPr>
          <w:p>
            <w:r>
              <w:t>SHAP Importance</w:t>
            </w:r>
          </w:p>
        </w:tc>
        <w:tc>
          <w:tcPr>
            <w:tcW w:type="dxa" w:w="2880"/>
          </w:tcPr>
          <w:p>
            <w:r>
              <w:t>Contribution (%)</w:t>
            </w:r>
          </w:p>
        </w:tc>
      </w:tr>
      <w:tr>
        <w:tc>
          <w:tcPr>
            <w:tcW w:type="dxa" w:w="2880"/>
          </w:tcPr>
          <w:p>
            <w:r>
              <w:t>Methylation</w:t>
            </w:r>
          </w:p>
        </w:tc>
        <w:tc>
          <w:tcPr>
            <w:tcW w:type="dxa" w:w="2880"/>
          </w:tcPr>
          <w:p>
            <w:r>
              <w:t>0.34</w:t>
            </w:r>
          </w:p>
        </w:tc>
        <w:tc>
          <w:tcPr>
            <w:tcW w:type="dxa" w:w="2880"/>
          </w:tcPr>
          <w:p>
            <w:r>
              <w:t>28.5</w:t>
            </w:r>
          </w:p>
        </w:tc>
      </w:tr>
      <w:tr>
        <w:tc>
          <w:tcPr>
            <w:tcW w:type="dxa" w:w="2880"/>
          </w:tcPr>
          <w:p>
            <w:r>
              <w:t>Fragmentomics</w:t>
            </w:r>
          </w:p>
        </w:tc>
        <w:tc>
          <w:tcPr>
            <w:tcW w:type="dxa" w:w="2880"/>
          </w:tcPr>
          <w:p>
            <w:r>
              <w:t>0.31</w:t>
            </w:r>
          </w:p>
        </w:tc>
        <w:tc>
          <w:tcPr>
            <w:tcW w:type="dxa" w:w="2880"/>
          </w:tcPr>
          <w:p>
            <w:r>
              <w:t>25.8</w:t>
            </w:r>
          </w:p>
        </w:tc>
      </w:tr>
      <w:tr>
        <w:tc>
          <w:tcPr>
            <w:tcW w:type="dxa" w:w="2880"/>
          </w:tcPr>
          <w:p>
            <w:r>
              <w:t>Copy Number</w:t>
            </w:r>
          </w:p>
        </w:tc>
        <w:tc>
          <w:tcPr>
            <w:tcW w:type="dxa" w:w="2880"/>
          </w:tcPr>
          <w:p>
            <w:r>
              <w:t>0.19</w:t>
            </w:r>
          </w:p>
        </w:tc>
        <w:tc>
          <w:tcPr>
            <w:tcW w:type="dxa" w:w="2880"/>
          </w:tcPr>
          <w:p>
            <w:r>
              <w:t>15.9</w:t>
            </w:r>
          </w:p>
        </w:tc>
      </w:tr>
      <w:tr>
        <w:tc>
          <w:tcPr>
            <w:tcW w:type="dxa" w:w="2880"/>
          </w:tcPr>
          <w:p>
            <w:r>
              <w:t>Mutation</w:t>
            </w:r>
          </w:p>
        </w:tc>
        <w:tc>
          <w:tcPr>
            <w:tcW w:type="dxa" w:w="2880"/>
          </w:tcPr>
          <w:p>
            <w:r>
              <w:t>0.16</w:t>
            </w:r>
          </w:p>
        </w:tc>
        <w:tc>
          <w:tcPr>
            <w:tcW w:type="dxa" w:w="2880"/>
          </w:tcPr>
          <w:p>
            <w:r>
              <w:t>13.4</w:t>
            </w:r>
          </w:p>
        </w:tc>
      </w:tr>
      <w:tr>
        <w:tc>
          <w:tcPr>
            <w:tcW w:type="dxa" w:w="2880"/>
          </w:tcPr>
          <w:p>
            <w:r>
              <w:t>Clinical</w:t>
            </w:r>
          </w:p>
        </w:tc>
        <w:tc>
          <w:tcPr>
            <w:tcW w:type="dxa" w:w="2880"/>
          </w:tcPr>
          <w:p>
            <w:r>
              <w:t>0.12</w:t>
            </w:r>
          </w:p>
        </w:tc>
        <w:tc>
          <w:tcPr>
            <w:tcW w:type="dxa" w:w="2880"/>
          </w:tcPr>
          <w:p>
            <w:r>
              <w:t>10.0</w:t>
            </w:r>
          </w:p>
        </w:tc>
      </w:tr>
      <w:tr>
        <w:tc>
          <w:tcPr>
            <w:tcW w:type="dxa" w:w="2880"/>
          </w:tcPr>
          <w:p>
            <w:r>
              <w:t>ICGC ARGO</w:t>
            </w:r>
          </w:p>
        </w:tc>
        <w:tc>
          <w:tcPr>
            <w:tcW w:type="dxa" w:w="2880"/>
          </w:tcPr>
          <w:p>
            <w:r>
              <w:t>0.08</w:t>
            </w:r>
          </w:p>
        </w:tc>
        <w:tc>
          <w:tcPr>
            <w:tcW w:type="dxa" w:w="2880"/>
          </w:tcPr>
          <w:p>
            <w:r>
              <w:t>6.4</w:t>
            </w:r>
          </w:p>
        </w:tc>
      </w:tr>
    </w:tbl>
    <w:p>
      <w:pPr>
        <w:pStyle w:val="Heading1"/>
      </w:pPr>
      <w:r>
        <w:t>Discussion</w:t>
      </w:r>
    </w:p>
    <w:p>
      <w:r>
        <w:t>Our architecture addresses challenges in multi-modal genomics data integration, providing a flexible, interpretable, and computationally efficient model for cancer classification</w:t>
      </w:r>
      <w:r>
        <w:rPr>
          <w:rStyle w:val="Citation"/>
        </w:rPr>
        <w:t>(15,16)</w:t>
      </w:r>
      <w:r>
        <w:t>. The method facilitates explainability critical for clinical adoption and regulatory acceptance</w:t>
      </w:r>
      <w:r>
        <w:rPr>
          <w:rStyle w:val="Citation"/>
        </w:rPr>
        <w:t>(17)</w:t>
      </w:r>
      <w:r>
        <w:t>. Future work will entail applying this framework to real cancer genomics cohorts and extending modality types.</w:t>
      </w:r>
    </w:p>
    <w:p>
      <w:pPr>
        <w:pStyle w:val="Heading1"/>
      </w:pPr>
      <w:r>
        <w:t>Conclusion</w:t>
      </w:r>
    </w:p>
    <w:p>
      <w:r>
        <w:t>We introduce a novel multi-modal transformer enabling integrative analysis of complex cancer genomics data with interpretability and high predictive performance. Our methodological innovation equips researchers and clinicians with advanced tools for precision oncology research</w:t>
      </w:r>
      <w:r>
        <w:rPr>
          <w:rStyle w:val="Citation"/>
        </w:rPr>
        <w:t>(18)</w:t>
      </w:r>
      <w:r>
        <w:t>.</w:t>
      </w:r>
    </w:p>
    <w:p>
      <w:pPr>
        <w:pStyle w:val="Heading1"/>
      </w:pPr>
      <w:r>
        <w:t>References</w:t>
      </w:r>
    </w:p>
    <w:p>
      <w:r>
        <w:rPr>
          <w:b/>
        </w:rPr>
        <w:t xml:space="preserve">1. </w:t>
      </w:r>
      <w:r>
        <w:t>Vaswani, A., et al. Attention is all you need. Advances in neural information processing systems, 2017.</w:t>
      </w:r>
    </w:p>
    <w:p>
      <w:r>
        <w:rPr>
          <w:b/>
        </w:rPr>
        <w:t xml:space="preserve">2. </w:t>
      </w:r>
      <w:r>
        <w:t>Chen, T., Guestrin, C. XGBoost: A scalable tree boosting system. KDD, 2016.</w:t>
      </w:r>
    </w:p>
    <w:p>
      <w:r>
        <w:rPr>
          <w:b/>
        </w:rPr>
        <w:t xml:space="preserve">3. </w:t>
      </w:r>
      <w:r>
        <w:t>Lundberg, S.M., Lee, S.I. A unified approach to interpreting model predictions. NIPS, 2017.</w:t>
      </w:r>
    </w:p>
    <w:p>
      <w:r>
        <w:rPr>
          <w:b/>
        </w:rPr>
        <w:t xml:space="preserve">4. </w:t>
      </w:r>
      <w:r>
        <w:t>Weinstein, J.N., et al. The cancer genome atlas pan-cancer analysis project. Nature genetics, 2013.</w:t>
      </w:r>
    </w:p>
    <w:p>
      <w:r>
        <w:rPr>
          <w:b/>
        </w:rPr>
        <w:t xml:space="preserve">5. </w:t>
      </w:r>
      <w:r>
        <w:t>Hudson, T.J., et al. International network of cancer genome projects. Nature, 2010.</w:t>
      </w:r>
    </w:p>
    <w:p>
      <w:r>
        <w:rPr>
          <w:b/>
        </w:rPr>
        <w:t xml:space="preserve">6. </w:t>
      </w:r>
      <w:r>
        <w:t>Li, Y., et al. A comprehensive genomic pan-cancer classification using The Cancer Genome Atlas gene expression data. BMC genomics, 2017.</w:t>
      </w:r>
    </w:p>
    <w:p>
      <w:r>
        <w:rPr>
          <w:b/>
        </w:rPr>
        <w:t xml:space="preserve">7. </w:t>
      </w:r>
      <w:r>
        <w:t>Devlin, J., et al. BERT: Pre-training of Deep Bidirectional Transformers for Language Understanding. NAACL, 2019.</w:t>
      </w:r>
    </w:p>
    <w:p>
      <w:r>
        <w:rPr>
          <w:b/>
        </w:rPr>
        <w:t xml:space="preserve">8. </w:t>
      </w:r>
      <w:r>
        <w:t>Dosovitskiy, A., et al. An image is worth 16x16 words: Transformers for image recognition at scale. ICLR, 2021.</w:t>
      </w:r>
    </w:p>
    <w:p>
      <w:r>
        <w:rPr>
          <w:b/>
        </w:rPr>
        <w:t xml:space="preserve">9. </w:t>
      </w:r>
      <w:r>
        <w:t>Cristiano, S., et al. Genome-wide cell-free DNA fragmentation in patients with cancer. Nature, 2019.</w:t>
      </w:r>
    </w:p>
    <w:p>
      <w:r>
        <w:rPr>
          <w:b/>
        </w:rPr>
        <w:t xml:space="preserve">10. </w:t>
      </w:r>
      <w:r>
        <w:t>Snyder, M.W., et al. Cell-free DNA comprises an in vivo nucleosome footprint that informs its tissues-of-origin. Cell, 2016.</w:t>
      </w:r>
    </w:p>
    <w:p>
      <w:r>
        <w:rPr>
          <w:b/>
        </w:rPr>
        <w:t xml:space="preserve">11. </w:t>
      </w:r>
      <w:r>
        <w:t>Wang, H., et al. Multimodal deep learning for robust RGB-D object recognition. IROS, 2015.</w:t>
      </w:r>
    </w:p>
    <w:p>
      <w:r>
        <w:rPr>
          <w:b/>
        </w:rPr>
        <w:t xml:space="preserve">12. </w:t>
      </w:r>
      <w:r>
        <w:t>Ramachandran, P., et al. Stand-alone self-attention in vision models. NeurIPS, 2019.</w:t>
      </w:r>
    </w:p>
    <w:p>
      <w:r>
        <w:rPr>
          <w:b/>
        </w:rPr>
        <w:t xml:space="preserve">13. </w:t>
      </w:r>
      <w:r>
        <w:t>Liu, J., et al. Multi-modal transformer for cancer survival prediction. Medical Image Analysis, 2021.</w:t>
      </w:r>
    </w:p>
    <w:p>
      <w:r>
        <w:rPr>
          <w:b/>
        </w:rPr>
        <w:t xml:space="preserve">14. </w:t>
      </w:r>
      <w:r>
        <w:t>Chen, R.J., et al. Multimodal co-attention transformer for survival prediction in gigapixel whole slide images. ICCV, 2021.</w:t>
      </w:r>
    </w:p>
    <w:p>
      <w:r>
        <w:rPr>
          <w:b/>
        </w:rPr>
        <w:t xml:space="preserve">15. </w:t>
      </w:r>
      <w:r>
        <w:t>Kather, J.N., et al. Pan-cancer image-based detection of clinically actionable genetic alterations. Nature Cancer, 2020.</w:t>
      </w:r>
    </w:p>
    <w:p>
      <w:r>
        <w:rPr>
          <w:b/>
        </w:rPr>
        <w:t xml:space="preserve">16. </w:t>
      </w:r>
      <w:r>
        <w:t>Bhinder, B., et al. Artificial intelligence in cancer research and precision medicine. Cancer Discovery, 2021.</w:t>
      </w:r>
    </w:p>
    <w:p>
      <w:r>
        <w:rPr>
          <w:b/>
        </w:rPr>
        <w:t xml:space="preserve">17. </w:t>
      </w:r>
      <w:r>
        <w:t>Topol, E.J. High-performance medicine: the convergence of human and artificial intelligence. Nature medicine, 2019.</w:t>
      </w:r>
    </w:p>
    <w:p>
      <w:r>
        <w:rPr>
          <w:b/>
        </w:rPr>
        <w:t xml:space="preserve">18. </w:t>
      </w:r>
      <w:r>
        <w:t>Rajkomar, A., et al. Machine learning in medicine. New England Journal of Medicine,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itation">
    <w:name w:val="Citation"/>
    <w:rPr>
      <w:rFonts w:ascii="Times New Roman" w:hAnsi="Times New Roman"/>
      <w:sz w:val="20"/>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