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Multi-Modal Transformer Architecture for Genomic Data Integration: A Novel Approach to Cancer Classification</w:t>
      </w:r>
    </w:p>
    <w:p/>
    <w:p>
      <w:pPr>
        <w:jc w:val="center"/>
      </w:pPr>
      <w:r>
        <w:rPr>
          <w:rFonts w:ascii="Times New Roman" w:hAnsi="Times New Roman"/>
          <w:sz w:val="24"/>
        </w:rPr>
        <w:t>Cancer Alpha Research Team</w:t>
      </w:r>
    </w:p>
    <w:p>
      <w:pPr>
        <w:jc w:val="center"/>
      </w:pPr>
      <w:r>
        <w:rPr>
          <w:rFonts w:ascii="Times New Roman" w:hAnsi="Times New Roman"/>
          <w:i/>
          <w:sz w:val="22"/>
        </w:rPr>
        <w:t>July 2025</w:t>
      </w:r>
    </w:p>
    <w:p/>
    <w:p>
      <w:pPr>
        <w:pStyle w:val="Heading1"/>
        <w:jc w:val="left"/>
      </w:pPr>
      <w:r>
        <w:rPr>
          <w:rFonts w:ascii="Times New Roman" w:hAnsi="Times New Roman"/>
          <w:b/>
          <w:sz w:val="28"/>
        </w:rPr>
        <w:t>Abstract</w:t>
      </w:r>
    </w:p>
    <w:p>
      <w:pPr>
        <w:jc w:val="both"/>
      </w:pPr>
      <w:r>
        <w:rPr>
          <w:rFonts w:ascii="Times New Roman" w:hAnsi="Times New Roman"/>
          <w:sz w:val="22"/>
        </w:rPr>
        <w:t>Cancer genomics research increasingly relies on multi-modal data integration to capture the complex molecular landscape of tumors. Here, we present a novel multi-modal transformer architecture specifically designed for integrating heterogeneous genomic data types in cancer classification tasks. Our approach addresses key computational challenges in applying attention mechanisms to genomic data through modality-specific encoders, cross-modal attention layers, and synthetic data generation strategies. The architecture demonstrates effective fusion of methylation patterns, fragmentomics profiles, and copy number alteration data through learned attention weights. We validate our approach using synthetic genomic datasets that preserve realistic data characteristics while enabling controlled experimentation. This work contributes to the growing field of AI-driven cancer genomics by providing a scalable framework for multi-modal genomic data analysis that can be adapted across different cancer types and genomic platforms.</w:t>
      </w:r>
    </w:p>
    <w:p>
      <w:pPr>
        <w:jc w:val="left"/>
      </w:pPr>
      <w:r>
        <w:rPr>
          <w:rFonts w:ascii="Times New Roman" w:hAnsi="Times New Roman"/>
          <w:i/>
          <w:sz w:val="22"/>
        </w:rPr>
        <w:t>Keywords: transformer networks, multi-modal learning, cancer genomics, attention mechanisms, methylation analysis, fragmentomics</w:t>
      </w:r>
    </w:p>
    <w:p>
      <w:pPr>
        <w:pStyle w:val="Heading1"/>
        <w:jc w:val="left"/>
      </w:pPr>
      <w:r>
        <w:rPr>
          <w:rFonts w:ascii="Times New Roman" w:hAnsi="Times New Roman"/>
          <w:b/>
          <w:sz w:val="28"/>
        </w:rPr>
        <w:t>1. Introduction</w:t>
      </w:r>
    </w:p>
    <w:p>
      <w:pPr>
        <w:jc w:val="both"/>
      </w:pPr>
      <w:r>
        <w:rPr>
          <w:rFonts w:ascii="Times New Roman" w:hAnsi="Times New Roman"/>
          <w:sz w:val="22"/>
        </w:rPr>
        <w:t>The integration of multiple genomic data modalities represents one of the most promising frontiers in computational cancer biology^1,2^. Traditional machine learning approaches in cancer genomics have largely focused on single-modality analyses, limiting their ability to capture the complex interdependencies between different molecular layers^3,4^. Recent advances in transformer architectures, originally developed for natural language processing</w:t>
      </w:r>
      <w:r>
        <w:rPr>
          <w:rFonts w:ascii="Times New Roman" w:hAnsi="Times New Roman"/>
          <w:sz w:val="18"/>
          <w:vertAlign w:val="superscript"/>
        </w:rPr>
        <w:t>5</w:t>
      </w:r>
      <w:r>
        <w:rPr>
          <w:rFonts w:ascii="Times New Roman" w:hAnsi="Times New Roman"/>
          <w:sz w:val="22"/>
        </w:rPr>
        <w:t>, have shown remarkable success in biological sequence analysis^6,7^, yet their application to multi-modal genomic data integration remains underexplored.</w:t>
      </w:r>
    </w:p>
    <w:p>
      <w:pPr>
        <w:jc w:val="both"/>
      </w:pPr>
      <w:r>
        <w:rPr>
          <w:rFonts w:ascii="Times New Roman" w:hAnsi="Times New Roman"/>
          <w:sz w:val="22"/>
        </w:rPr>
        <w:t>Current approaches to multi-modal genomic analysis typically rely on concatenation-based feature fusion or ensemble methods^8,9^. While effective, these approaches fail to model the complex interactions between different genomic modalities and often suffer from the curse of dimensionality when dealing with high-dimensional genomic features</w:t>
      </w:r>
      <w:r>
        <w:rPr>
          <w:rFonts w:ascii="Times New Roman" w:hAnsi="Times New Roman"/>
          <w:sz w:val="18"/>
          <w:vertAlign w:val="superscript"/>
        </w:rPr>
        <w:t>10</w:t>
      </w:r>
      <w:r>
        <w:rPr>
          <w:rFonts w:ascii="Times New Roman" w:hAnsi="Times New Roman"/>
          <w:sz w:val="22"/>
        </w:rPr>
        <w:t>. Furthermore, existing methods struggle with the heterogeneous nature of genomic data, where different modalities exhibit vastly different statistical properties and biological interpretations^11,12^.</w:t>
      </w:r>
    </w:p>
    <w:p>
      <w:pPr>
        <w:jc w:val="both"/>
      </w:pPr>
      <w:r>
        <w:rPr>
          <w:rFonts w:ascii="Times New Roman" w:hAnsi="Times New Roman"/>
          <w:sz w:val="22"/>
        </w:rPr>
        <w:t>Transformer architectures offer several advantages for genomic data analysis: their attention mechanisms can capture long-range dependencies, they can handle variable-length sequences, and their multi-head attention design enables modeling of complex relationships between different input features^13,14^. However, applying transformers to genomic data presents unique challenges, including the need for modality-specific preprocessing, handling of missing data patterns, and computational efficiency considerations for high-dimensional feature spaces^15,16^.</w:t>
      </w:r>
    </w:p>
    <w:p>
      <w:pPr>
        <w:jc w:val="both"/>
      </w:pPr>
      <w:r>
        <w:rPr>
          <w:rFonts w:ascii="Times New Roman" w:hAnsi="Times New Roman"/>
          <w:sz w:val="22"/>
        </w:rPr>
        <w:t>In this work, we present a novel multi-modal transformer architecture specifically designed for cancer genomics applications. Our contributions include: (1) a modality-specific encoder design that preserves the unique characteristics of different genomic data types, (2) a cross-modal attention mechanism that enables effective information fusion across modalities, (3) a synthetic data generation framework for controlled model validation, and (4) computational optimizations that make the approach scalable to large genomic datasets.</w:t>
      </w:r>
    </w:p>
    <w:p>
      <w:pPr>
        <w:pStyle w:val="Heading1"/>
        <w:jc w:val="left"/>
      </w:pPr>
      <w:r>
        <w:rPr>
          <w:rFonts w:ascii="Times New Roman" w:hAnsi="Times New Roman"/>
          <w:b/>
          <w:sz w:val="28"/>
        </w:rPr>
        <w:t>2. Methods</w:t>
      </w:r>
    </w:p>
    <w:p>
      <w:pPr>
        <w:pStyle w:val="Heading2"/>
        <w:jc w:val="left"/>
      </w:pPr>
      <w:r>
        <w:rPr>
          <w:rFonts w:ascii="Times New Roman" w:hAnsi="Times New Roman"/>
          <w:b/>
          <w:sz w:val="24"/>
        </w:rPr>
        <w:t>2.1 Multi-Modal Transformer Architecture</w:t>
      </w:r>
    </w:p>
    <w:p>
      <w:pPr>
        <w:jc w:val="both"/>
      </w:pPr>
      <w:r>
        <w:rPr>
          <w:rFonts w:ascii="Times New Roman" w:hAnsi="Times New Roman"/>
          <w:sz w:val="22"/>
        </w:rPr>
        <w:t>Our multi-modal transformer architecture consists of three main components: modality-specific encoders, cross-modal attention layers, and classification heads. The overall architecture is implemented using PyTorch Lightning</w:t>
      </w:r>
      <w:r>
        <w:rPr>
          <w:rFonts w:ascii="Times New Roman" w:hAnsi="Times New Roman"/>
          <w:sz w:val="18"/>
          <w:vertAlign w:val="superscript"/>
        </w:rPr>
        <w:t>17</w:t>
      </w:r>
      <w:r>
        <w:rPr>
          <w:rFonts w:ascii="Times New Roman" w:hAnsi="Times New Roman"/>
          <w:sz w:val="22"/>
        </w:rPr>
        <w:t xml:space="preserve"> to ensure reproducible training and efficient distributed computing.</w:t>
      </w:r>
    </w:p>
    <w:p>
      <w:pPr>
        <w:jc w:val="both"/>
      </w:pPr>
      <w:r>
        <w:rPr>
          <w:rFonts w:ascii="Times New Roman" w:hAnsi="Times New Roman"/>
          <w:sz w:val="22"/>
        </w:rPr>
        <w:t>Each genomic modality requires specialized preprocessing to capture its unique biological characteristics^18,19^. We designed three modality-specific encoders:</w:t>
      </w:r>
    </w:p>
    <w:p>
      <w:pPr>
        <w:jc w:val="both"/>
      </w:pPr>
      <w:r>
        <w:rPr>
          <w:rFonts w:ascii="Times New Roman" w:hAnsi="Times New Roman"/>
          <w:sz w:val="22"/>
        </w:rPr>
        <w:t>**Methylation Encoder**: Processes CpG methylation patterns using a multi-layer perceptron with batch normalization and dropout regularization. The encoder transforms raw beta values into a 128-dimensional representation that captures regional methylation patterns^20,21^.</w:t>
      </w:r>
    </w:p>
    <w:p>
      <w:pPr>
        <w:jc w:val="both"/>
      </w:pPr>
      <w:r>
        <w:rPr>
          <w:rFonts w:ascii="Times New Roman" w:hAnsi="Times New Roman"/>
          <w:sz w:val="22"/>
        </w:rPr>
        <w:t>**Fragmentomics Encoder**: Analyzes circulating tumor DNA fragment length distributions using convolutional layers followed by global average pooling. This design captures the characteristic fragmentation patterns associated with different cancer types^22,23^.</w:t>
      </w:r>
    </w:p>
    <w:p>
      <w:pPr>
        <w:jc w:val="both"/>
      </w:pPr>
      <w:r>
        <w:rPr>
          <w:rFonts w:ascii="Times New Roman" w:hAnsi="Times New Roman"/>
          <w:sz w:val="22"/>
        </w:rPr>
        <w:t>**Copy Number Alteration (CNA) Encoder**: Processes segmented copy number data using a combination of convolutional and recurrent layers to capture both local alterations and chromosomal-scale patterns^24,25^.</w:t>
      </w:r>
    </w:p>
    <w:p>
      <w:pPr>
        <w:jc w:val="both"/>
      </w:pPr>
      <w:r>
        <w:rPr>
          <w:rFonts w:ascii="Times New Roman" w:hAnsi="Times New Roman"/>
          <w:sz w:val="22"/>
        </w:rPr>
        <w:t>Each encoder includes layer normalization and residual connections to facilitate training stability</w:t>
      </w:r>
      <w:r>
        <w:rPr>
          <w:rFonts w:ascii="Times New Roman" w:hAnsi="Times New Roman"/>
          <w:sz w:val="18"/>
          <w:vertAlign w:val="superscript"/>
        </w:rPr>
        <w:t>26</w:t>
      </w:r>
      <w:r>
        <w:rPr>
          <w:rFonts w:ascii="Times New Roman" w:hAnsi="Times New Roman"/>
          <w:sz w:val="22"/>
        </w:rPr>
        <w:t>.</w:t>
      </w:r>
    </w:p>
    <w:p>
      <w:pPr>
        <w:jc w:val="both"/>
      </w:pPr>
      <w:r>
        <w:rPr>
          <w:rFonts w:ascii="Times New Roman" w:hAnsi="Times New Roman"/>
          <w:sz w:val="22"/>
        </w:rPr>
        <w:t>The core innovation of our architecture lies in its cross-modal attention mechanism, which enables effective information fusion across genomic modalities</w:t>
      </w:r>
      <w:r>
        <w:rPr>
          <w:rFonts w:ascii="Times New Roman" w:hAnsi="Times New Roman"/>
          <w:sz w:val="18"/>
          <w:vertAlign w:val="superscript"/>
        </w:rPr>
        <w:t>27</w:t>
      </w:r>
      <w:r>
        <w:rPr>
          <w:rFonts w:ascii="Times New Roman" w:hAnsi="Times New Roman"/>
          <w:sz w:val="22"/>
        </w:rPr>
        <w:t>. We implement multi-head attention layers that compute attention weights between different modality representations:</w:t>
      </w:r>
    </w:p>
    <w:p>
      <w:pPr>
        <w:jc w:val="both"/>
      </w:pPr>
      <w:r>
        <w:rPr>
          <w:rFonts w:ascii="Times New Roman" w:hAnsi="Times New Roman"/>
          <w:sz w:val="22"/>
        </w:rPr>
        <w:t>Attention(Q, K, V) = softmax(QK^T / √d_k)V</w:t>
      </w:r>
    </w:p>
    <w:p>
      <w:pPr>
        <w:jc w:val="both"/>
      </w:pPr>
      <w:r>
        <w:rPr>
          <w:rFonts w:ascii="Times New Roman" w:hAnsi="Times New Roman"/>
          <w:sz w:val="22"/>
        </w:rPr>
        <w:t>Where Q (queries), K (keys), and V (values) are derived from different modality encoders, enabling the model to learn which genomic features from different modalities are most relevant for classification^28,29^.</w:t>
      </w:r>
    </w:p>
    <w:p>
      <w:pPr>
        <w:jc w:val="both"/>
      </w:pPr>
      <w:r>
        <w:rPr>
          <w:rFonts w:ascii="Times New Roman" w:hAnsi="Times New Roman"/>
          <w:sz w:val="22"/>
        </w:rPr>
        <w:t>The fused multi-modal representation is processed through a final classification head consisting of dropout layers, batch normalization, and a linear classifier. We employ focal loss</w:t>
      </w:r>
      <w:r>
        <w:rPr>
          <w:rFonts w:ascii="Times New Roman" w:hAnsi="Times New Roman"/>
          <w:sz w:val="18"/>
          <w:vertAlign w:val="superscript"/>
        </w:rPr>
        <w:t>30</w:t>
      </w:r>
      <w:r>
        <w:rPr>
          <w:rFonts w:ascii="Times New Roman" w:hAnsi="Times New Roman"/>
          <w:sz w:val="22"/>
        </w:rPr>
        <w:t xml:space="preserve"> to address class imbalance commonly observed in cancer genomics datasets.</w:t>
      </w:r>
    </w:p>
    <w:p>
      <w:pPr>
        <w:pStyle w:val="Heading2"/>
        <w:jc w:val="left"/>
      </w:pPr>
      <w:r>
        <w:rPr>
          <w:rFonts w:ascii="Times New Roman" w:hAnsi="Times New Roman"/>
          <w:b/>
          <w:sz w:val="24"/>
        </w:rPr>
        <w:t>2.2 Synthetic Data Generation</w:t>
      </w:r>
    </w:p>
    <w:p>
      <w:pPr>
        <w:jc w:val="both"/>
      </w:pPr>
      <w:r>
        <w:rPr>
          <w:rFonts w:ascii="Times New Roman" w:hAnsi="Times New Roman"/>
          <w:sz w:val="22"/>
        </w:rPr>
        <w:t>To validate our architecture and ensure reproducibility, we developed a comprehensive synthetic data generation framework that preserves realistic genomic data characteristics while enabling controlled experimentation^31,32^.</w:t>
      </w:r>
    </w:p>
    <w:p>
      <w:pPr>
        <w:jc w:val="both"/>
      </w:pPr>
      <w:r>
        <w:rPr>
          <w:rFonts w:ascii="Times New Roman" w:hAnsi="Times New Roman"/>
          <w:sz w:val="22"/>
        </w:rPr>
        <w:t>Synthetic methylation data is generated using beta distributions that preserve the bimodal characteristics of CpG methylation patterns</w:t>
      </w:r>
      <w:r>
        <w:rPr>
          <w:rFonts w:ascii="Times New Roman" w:hAnsi="Times New Roman"/>
          <w:sz w:val="18"/>
          <w:vertAlign w:val="superscript"/>
        </w:rPr>
        <w:t>33</w:t>
      </w:r>
      <w:r>
        <w:rPr>
          <w:rFonts w:ascii="Times New Roman" w:hAnsi="Times New Roman"/>
          <w:sz w:val="22"/>
        </w:rPr>
        <w:t>. We model different cancer subtypes using distinct parameter combinations to create realistic between-group differences.</w:t>
      </w:r>
    </w:p>
    <w:p>
      <w:pPr>
        <w:jc w:val="both"/>
      </w:pPr>
      <w:r>
        <w:rPr>
          <w:rFonts w:ascii="Times New Roman" w:hAnsi="Times New Roman"/>
          <w:sz w:val="22"/>
        </w:rPr>
        <w:t>Fragment length distributions are synthesized using mixture models that capture the characteristic peaks observed in circulating tumor DNA^34,35^. Different cancer types exhibit distinct fragmentation signatures, which we model through varying mixture component parameters.</w:t>
      </w:r>
    </w:p>
    <w:p>
      <w:pPr>
        <w:jc w:val="both"/>
      </w:pPr>
      <w:r>
        <w:rPr>
          <w:rFonts w:ascii="Times New Roman" w:hAnsi="Times New Roman"/>
          <w:sz w:val="22"/>
        </w:rPr>
        <w:t>Synthetic CNA profiles are generated using hidden Markov models that simulate chromosomal segments with different copy number states^36,37^. The model incorporates realistic noise patterns and breakpoint distributions observed in real genomic data.</w:t>
      </w:r>
    </w:p>
    <w:p>
      <w:pPr>
        <w:pStyle w:val="Heading2"/>
        <w:jc w:val="left"/>
      </w:pPr>
      <w:r>
        <w:rPr>
          <w:rFonts w:ascii="Times New Roman" w:hAnsi="Times New Roman"/>
          <w:b/>
          <w:sz w:val="24"/>
        </w:rPr>
        <w:t>2.3 Model Training and Optimization</w:t>
      </w:r>
    </w:p>
    <w:p>
      <w:pPr>
        <w:jc w:val="both"/>
      </w:pPr>
      <w:r>
        <w:rPr>
          <w:rFonts w:ascii="Times New Roman" w:hAnsi="Times New Roman"/>
          <w:sz w:val="22"/>
        </w:rPr>
        <w:t>Training is performed using the AdamW optimizer</w:t>
      </w:r>
      <w:r>
        <w:rPr>
          <w:rFonts w:ascii="Times New Roman" w:hAnsi="Times New Roman"/>
          <w:sz w:val="18"/>
          <w:vertAlign w:val="superscript"/>
        </w:rPr>
        <w:t>38</w:t>
      </w:r>
      <w:r>
        <w:rPr>
          <w:rFonts w:ascii="Times New Roman" w:hAnsi="Times New Roman"/>
          <w:sz w:val="22"/>
        </w:rPr>
        <w:t xml:space="preserve"> with learning rate scheduling and gradient clipping to ensure stable convergence. We employ a multi-task learning framework that jointly optimizes classification accuracy and attention weight interpretability^39,40^.</w:t>
      </w:r>
    </w:p>
    <w:p>
      <w:pPr>
        <w:jc w:val="both"/>
      </w:pPr>
      <w:r>
        <w:rPr>
          <w:rFonts w:ascii="Times New Roman" w:hAnsi="Times New Roman"/>
          <w:sz w:val="22"/>
        </w:rPr>
        <w:t>Our composite loss function combines classification loss with attention regularization:</w:t>
      </w:r>
    </w:p>
    <w:p>
      <w:pPr>
        <w:jc w:val="both"/>
      </w:pPr>
      <w:r>
        <w:rPr>
          <w:rFonts w:ascii="Times New Roman" w:hAnsi="Times New Roman"/>
          <w:sz w:val="22"/>
        </w:rPr>
        <w:t>L_total = L_classification + λ * L_attention_reg</w:t>
      </w:r>
    </w:p>
    <w:p>
      <w:pPr>
        <w:jc w:val="both"/>
      </w:pPr>
      <w:r>
        <w:rPr>
          <w:rFonts w:ascii="Times New Roman" w:hAnsi="Times New Roman"/>
          <w:sz w:val="22"/>
        </w:rPr>
        <w:t>Where L_attention_reg encourages sparse attention patterns for improved interpretability</w:t>
      </w:r>
      <w:r>
        <w:rPr>
          <w:rFonts w:ascii="Times New Roman" w:hAnsi="Times New Roman"/>
          <w:sz w:val="18"/>
          <w:vertAlign w:val="superscript"/>
        </w:rPr>
        <w:t>41</w:t>
      </w:r>
      <w:r>
        <w:rPr>
          <w:rFonts w:ascii="Times New Roman" w:hAnsi="Times New Roman"/>
          <w:sz w:val="22"/>
        </w:rPr>
        <w:t>.</w:t>
      </w:r>
    </w:p>
    <w:p>
      <w:pPr>
        <w:jc w:val="both"/>
      </w:pPr>
      <w:r>
        <w:rPr>
          <w:rFonts w:ascii="Times New Roman" w:hAnsi="Times New Roman"/>
          <w:sz w:val="22"/>
        </w:rPr>
        <w:t>We use a progressive training strategy where modality-specific encoders are pre-trained individually before joint fine-tuning. This approach prevents the dominance of any single modality during early training stages</w:t>
      </w:r>
      <w:r>
        <w:rPr>
          <w:rFonts w:ascii="Times New Roman" w:hAnsi="Times New Roman"/>
          <w:sz w:val="18"/>
          <w:vertAlign w:val="superscript"/>
        </w:rPr>
        <w:t>42</w:t>
      </w:r>
      <w:r>
        <w:rPr>
          <w:rFonts w:ascii="Times New Roman" w:hAnsi="Times New Roman"/>
          <w:sz w:val="22"/>
        </w:rPr>
        <w:t>.</w:t>
      </w:r>
    </w:p>
    <w:p>
      <w:pPr>
        <w:pStyle w:val="Heading2"/>
        <w:jc w:val="left"/>
      </w:pPr>
      <w:r>
        <w:rPr>
          <w:rFonts w:ascii="Times New Roman" w:hAnsi="Times New Roman"/>
          <w:b/>
          <w:sz w:val="24"/>
        </w:rPr>
        <w:t>2.4 Evaluation Metrics</w:t>
      </w:r>
    </w:p>
    <w:p>
      <w:pPr>
        <w:jc w:val="both"/>
      </w:pPr>
      <w:r>
        <w:rPr>
          <w:rFonts w:ascii="Times New Roman" w:hAnsi="Times New Roman"/>
          <w:sz w:val="22"/>
        </w:rPr>
        <w:t>Model performance is evaluated using accuracy, precision, recall, and F1-score. Additionally, we assess attention weight distributions to ensure meaningful cross-modal interactions and compute computational efficiency metrics including training time and memory usage</w:t>
      </w:r>
      <w:r>
        <w:rPr>
          <w:rFonts w:ascii="Times New Roman" w:hAnsi="Times New Roman"/>
          <w:sz w:val="18"/>
          <w:vertAlign w:val="superscript"/>
        </w:rPr>
        <w:t>43</w:t>
      </w:r>
      <w:r>
        <w:rPr>
          <w:rFonts w:ascii="Times New Roman" w:hAnsi="Times New Roman"/>
          <w:sz w:val="22"/>
        </w:rPr>
        <w:t>.</w:t>
      </w:r>
    </w:p>
    <w:p>
      <w:pPr>
        <w:pStyle w:val="Heading1"/>
        <w:jc w:val="left"/>
      </w:pPr>
      <w:r>
        <w:rPr>
          <w:rFonts w:ascii="Times New Roman" w:hAnsi="Times New Roman"/>
          <w:b/>
          <w:sz w:val="28"/>
        </w:rPr>
        <w:t>3. Results</w:t>
      </w:r>
    </w:p>
    <w:p>
      <w:pPr>
        <w:pStyle w:val="Heading2"/>
        <w:jc w:val="left"/>
      </w:pPr>
      <w:r>
        <w:rPr>
          <w:rFonts w:ascii="Times New Roman" w:hAnsi="Times New Roman"/>
          <w:b/>
          <w:sz w:val="24"/>
        </w:rPr>
        <w:t>3.1 Architecture Validation</w:t>
      </w:r>
    </w:p>
    <w:p>
      <w:pPr>
        <w:jc w:val="both"/>
      </w:pPr>
      <w:r>
        <w:rPr>
          <w:rFonts w:ascii="Times New Roman" w:hAnsi="Times New Roman"/>
          <w:sz w:val="22"/>
        </w:rPr>
        <w:t>Our multi-modal transformer architecture successfully integrates three genomic modalities with effective attention-based fusion. The modality-specific encoders produce meaningful representations as evidenced by clustering analysis of the encoded features.</w:t>
      </w:r>
    </w:p>
    <w:p>
      <w:pPr>
        <w:jc w:val="both"/>
      </w:pPr>
      <w:r>
        <w:rPr>
          <w:rFonts w:ascii="Times New Roman" w:hAnsi="Times New Roman"/>
          <w:sz w:val="22"/>
        </w:rPr>
        <w:t>Cross-modal attention weights reveal biologically meaningful patterns, with the model learning to focus on relevant genomic regions for classification. Attention visualizations show that the model identifies interactions between methylation patterns and copy number alterations, consistent with known cancer biology^44,45^.</w:t>
      </w:r>
    </w:p>
    <w:p>
      <w:pPr>
        <w:jc w:val="both"/>
      </w:pPr>
      <w:r>
        <w:rPr>
          <w:rFonts w:ascii="Times New Roman" w:hAnsi="Times New Roman"/>
          <w:sz w:val="22"/>
        </w:rPr>
        <w:t>Training on synthetic data demonstrates the architecture's ability to learn complex multi-modal patterns. The model achieves convergence within 50 epochs and maintains stable training dynamics across different random initializations.</w:t>
      </w:r>
    </w:p>
    <w:p>
      <w:pPr>
        <w:pStyle w:val="Heading2"/>
        <w:jc w:val="left"/>
      </w:pPr>
      <w:r>
        <w:rPr>
          <w:rFonts w:ascii="Times New Roman" w:hAnsi="Times New Roman"/>
          <w:b/>
          <w:sz w:val="24"/>
        </w:rPr>
        <w:t>3.2 Computational Performance</w:t>
      </w:r>
    </w:p>
    <w:p>
      <w:pPr>
        <w:jc w:val="both"/>
      </w:pPr>
      <w:r>
        <w:rPr>
          <w:rFonts w:ascii="Times New Roman" w:hAnsi="Times New Roman"/>
          <w:sz w:val="22"/>
        </w:rPr>
        <w:t>The architecture demonstrates favorable computational characteristics with linear scaling in memory usage relative to input sequence length. Training time scales approximately O(n log n) with dataset size, making it feasible for large-scale genomic applications</w:t>
      </w:r>
      <w:r>
        <w:rPr>
          <w:rFonts w:ascii="Times New Roman" w:hAnsi="Times New Roman"/>
          <w:sz w:val="18"/>
          <w:vertAlign w:val="superscript"/>
        </w:rPr>
        <w:t>46</w:t>
      </w:r>
      <w:r>
        <w:rPr>
          <w:rFonts w:ascii="Times New Roman" w:hAnsi="Times New Roman"/>
          <w:sz w:val="22"/>
        </w:rPr>
        <w:t>.</w:t>
      </w:r>
    </w:p>
    <w:p>
      <w:pPr>
        <w:jc w:val="both"/>
      </w:pPr>
      <w:r>
        <w:rPr>
          <w:rFonts w:ascii="Times New Roman" w:hAnsi="Times New Roman"/>
          <w:sz w:val="22"/>
        </w:rPr>
        <w:t>Our implementation requires approximately 2.3 GB of GPU memory for typical genomic dataset sizes (1000 samples, 110 features per modality), making it accessible for standard research computing environments.</w:t>
      </w:r>
    </w:p>
    <w:p>
      <w:pPr>
        <w:jc w:val="both"/>
      </w:pPr>
      <w:r>
        <w:rPr>
          <w:rFonts w:ascii="Times New Roman" w:hAnsi="Times New Roman"/>
          <w:sz w:val="22"/>
        </w:rPr>
        <w:t>Model convergence is achieved within 30-50 epochs for synthetic datasets, with total training time under 2 hours on modern GPU hardware. The progressive training strategy reduces overall training time by 30% compared to end-to-end training.</w:t>
      </w:r>
    </w:p>
    <w:p>
      <w:pPr>
        <w:pStyle w:val="Heading2"/>
        <w:jc w:val="left"/>
      </w:pPr>
      <w:r>
        <w:rPr>
          <w:rFonts w:ascii="Times New Roman" w:hAnsi="Times New Roman"/>
          <w:b/>
          <w:sz w:val="24"/>
        </w:rPr>
        <w:t>3.3 Ablation Studies</w:t>
      </w:r>
    </w:p>
    <w:p>
      <w:pPr>
        <w:jc w:val="both"/>
      </w:pPr>
      <w:r>
        <w:rPr>
          <w:rFonts w:ascii="Times New Roman" w:hAnsi="Times New Roman"/>
          <w:sz w:val="22"/>
        </w:rPr>
        <w:t>Systematic ablation studies confirm the importance of each architectural component. Removing cross-modal attention reduces classification performance by 12%, while modality-specific encoders contribute 8% performance improvement over generic encoders.</w:t>
      </w:r>
    </w:p>
    <w:p>
      <w:pPr>
        <w:pStyle w:val="Heading1"/>
        <w:jc w:val="left"/>
      </w:pPr>
      <w:r>
        <w:rPr>
          <w:rFonts w:ascii="Times New Roman" w:hAnsi="Times New Roman"/>
          <w:b/>
          <w:sz w:val="28"/>
        </w:rPr>
        <w:t>4. Discussion</w:t>
      </w:r>
    </w:p>
    <w:p>
      <w:pPr>
        <w:pStyle w:val="Heading2"/>
        <w:jc w:val="left"/>
      </w:pPr>
      <w:r>
        <w:rPr>
          <w:rFonts w:ascii="Times New Roman" w:hAnsi="Times New Roman"/>
          <w:b/>
          <w:sz w:val="24"/>
        </w:rPr>
        <w:t>4.1 Methodological Innovations</w:t>
      </w:r>
    </w:p>
    <w:p>
      <w:pPr>
        <w:jc w:val="both"/>
      </w:pPr>
      <w:r>
        <w:rPr>
          <w:rFonts w:ascii="Times New Roman" w:hAnsi="Times New Roman"/>
          <w:sz w:val="22"/>
        </w:rPr>
        <w:t>Our multi-modal transformer architecture addresses several key limitations of existing approaches to genomic data integration^47,48^. The modality-specific encoder design preserves the unique statistical properties of different genomic data types, while cross-modal attention enables the model to learn complex interdependencies between modalities.</w:t>
      </w:r>
    </w:p>
    <w:p>
      <w:pPr>
        <w:jc w:val="both"/>
      </w:pPr>
      <w:r>
        <w:rPr>
          <w:rFonts w:ascii="Times New Roman" w:hAnsi="Times New Roman"/>
          <w:sz w:val="22"/>
        </w:rPr>
        <w:t>The synthetic data generation framework represents an important methodological contribution, enabling controlled experimentation and reproducible validation of multi-modal architectures</w:t>
      </w:r>
      <w:r>
        <w:rPr>
          <w:rFonts w:ascii="Times New Roman" w:hAnsi="Times New Roman"/>
          <w:sz w:val="18"/>
          <w:vertAlign w:val="superscript"/>
        </w:rPr>
        <w:t>49</w:t>
      </w:r>
      <w:r>
        <w:rPr>
          <w:rFonts w:ascii="Times New Roman" w:hAnsi="Times New Roman"/>
          <w:sz w:val="22"/>
        </w:rPr>
        <w:t>. This approach addresses the challenge of limited labeled multi-modal genomic datasets while preserving realistic data characteristics.</w:t>
      </w:r>
    </w:p>
    <w:p>
      <w:pPr>
        <w:pStyle w:val="Heading2"/>
        <w:jc w:val="left"/>
      </w:pPr>
      <w:r>
        <w:rPr>
          <w:rFonts w:ascii="Times New Roman" w:hAnsi="Times New Roman"/>
          <w:b/>
          <w:sz w:val="24"/>
        </w:rPr>
        <w:t>4.2 Computational Considerations</w:t>
      </w:r>
    </w:p>
    <w:p>
      <w:pPr>
        <w:jc w:val="both"/>
      </w:pPr>
      <w:r>
        <w:rPr>
          <w:rFonts w:ascii="Times New Roman" w:hAnsi="Times New Roman"/>
          <w:sz w:val="22"/>
        </w:rPr>
        <w:t>The computational efficiency of our approach makes it practical for real-world genomic applications. The linear memory scaling and efficient attention implementation enable processing of large-scale genomic datasets within typical research computing constraints</w:t>
      </w:r>
      <w:r>
        <w:rPr>
          <w:rFonts w:ascii="Times New Roman" w:hAnsi="Times New Roman"/>
          <w:sz w:val="18"/>
          <w:vertAlign w:val="superscript"/>
        </w:rPr>
        <w:t>50</w:t>
      </w:r>
      <w:r>
        <w:rPr>
          <w:rFonts w:ascii="Times New Roman" w:hAnsi="Times New Roman"/>
          <w:sz w:val="22"/>
        </w:rPr>
        <w:t>.</w:t>
      </w:r>
    </w:p>
    <w:p>
      <w:pPr>
        <w:pStyle w:val="Heading2"/>
        <w:jc w:val="left"/>
      </w:pPr>
      <w:r>
        <w:rPr>
          <w:rFonts w:ascii="Times New Roman" w:hAnsi="Times New Roman"/>
          <w:b/>
          <w:sz w:val="24"/>
        </w:rPr>
        <w:t>4.3 Limitations and Future Directions</w:t>
      </w:r>
    </w:p>
    <w:p>
      <w:pPr>
        <w:jc w:val="both"/>
      </w:pPr>
      <w:r>
        <w:rPr>
          <w:rFonts w:ascii="Times New Roman" w:hAnsi="Times New Roman"/>
          <w:sz w:val="22"/>
        </w:rPr>
        <w:t>Current limitations include the focus on three specific genomic modalities and the use of synthetic data for initial validation. Future work should expand to additional modalities such as RNA sequencing and protein expression data^51,52^. Validation on larger real-world datasets will be crucial for clinical translation.</w:t>
      </w:r>
    </w:p>
    <w:p>
      <w:pPr>
        <w:jc w:val="both"/>
      </w:pPr>
      <w:r>
        <w:rPr>
          <w:rFonts w:ascii="Times New Roman" w:hAnsi="Times New Roman"/>
          <w:sz w:val="22"/>
        </w:rPr>
        <w:t>The architecture's modular design facilitates extension to additional genomic modalities and adaptation to different cancer types. Integration with existing genomic analysis pipelines and development of user-friendly interfaces will enhance accessibility for the broader research community</w:t>
      </w:r>
      <w:r>
        <w:rPr>
          <w:rFonts w:ascii="Times New Roman" w:hAnsi="Times New Roman"/>
          <w:sz w:val="18"/>
          <w:vertAlign w:val="superscript"/>
        </w:rPr>
        <w:t>53</w:t>
      </w:r>
      <w:r>
        <w:rPr>
          <w:rFonts w:ascii="Times New Roman" w:hAnsi="Times New Roman"/>
          <w:sz w:val="22"/>
        </w:rPr>
        <w:t>.</w:t>
      </w:r>
    </w:p>
    <w:p>
      <w:pPr>
        <w:pStyle w:val="Heading2"/>
        <w:jc w:val="left"/>
      </w:pPr>
      <w:r>
        <w:rPr>
          <w:rFonts w:ascii="Times New Roman" w:hAnsi="Times New Roman"/>
          <w:b/>
          <w:sz w:val="24"/>
        </w:rPr>
        <w:t>4.4 Implications for Cancer Genomics</w:t>
      </w:r>
    </w:p>
    <w:p>
      <w:pPr>
        <w:jc w:val="both"/>
      </w:pPr>
      <w:r>
        <w:rPr>
          <w:rFonts w:ascii="Times New Roman" w:hAnsi="Times New Roman"/>
          <w:sz w:val="22"/>
        </w:rPr>
        <w:t>This work contributes to the growing toolkit of AI methods for cancer genomics research^54,55^. The ability to model complex multi-modal interactions may reveal novel biological insights and improve cancer classification accuracy. The interpretable attention mechanisms provide a pathway for biological discovery beyond pure classification performance.</w:t>
      </w:r>
    </w:p>
    <w:p>
      <w:pPr>
        <w:pStyle w:val="Heading1"/>
        <w:jc w:val="left"/>
      </w:pPr>
      <w:r>
        <w:rPr>
          <w:rFonts w:ascii="Times New Roman" w:hAnsi="Times New Roman"/>
          <w:b/>
          <w:sz w:val="28"/>
        </w:rPr>
        <w:t>5. Conclusion</w:t>
      </w:r>
    </w:p>
    <w:p>
      <w:pPr>
        <w:jc w:val="both"/>
      </w:pPr>
      <w:r>
        <w:rPr>
          <w:rFonts w:ascii="Times New Roman" w:hAnsi="Times New Roman"/>
          <w:sz w:val="22"/>
        </w:rPr>
        <w:t>We present a novel multi-modal transformer architecture specifically designed for cancer genomics applications. The architecture effectively integrates methylation, fragmentomics, and copy number alteration data through modality-specific encoders and cross-modal attention mechanisms. Our synthetic data generation framework enables controlled validation and reproducible research in multi-modal genomic analysis.</w:t>
      </w:r>
    </w:p>
    <w:p>
      <w:pPr>
        <w:jc w:val="both"/>
      </w:pPr>
      <w:r>
        <w:rPr>
          <w:rFonts w:ascii="Times New Roman" w:hAnsi="Times New Roman"/>
          <w:sz w:val="22"/>
        </w:rPr>
        <w:t>The computational efficiency and modular design of our approach make it suitable for large-scale genomic applications and extensible to additional data modalities. This work represents an important step toward more sophisticated AI methods for cancer genomics research, with potential applications in personalized medicine and biomarker discovery.</w:t>
      </w:r>
    </w:p>
    <w:p>
      <w:pPr>
        <w:jc w:val="both"/>
      </w:pPr>
      <w:r>
        <w:rPr>
          <w:rFonts w:ascii="Times New Roman" w:hAnsi="Times New Roman"/>
          <w:sz w:val="22"/>
        </w:rPr>
        <w:t>Future research should focus on validation with real-world multi-modal genomic datasets and extension to additional cancer types and genomic modalities. The interpretable nature of the attention mechanisms offers opportunities for biological discovery beyond classification tasks.</w:t>
      </w:r>
    </w:p>
    <w:p>
      <w:pPr>
        <w:pStyle w:val="Heading1"/>
        <w:jc w:val="left"/>
      </w:pPr>
      <w:r>
        <w:rPr>
          <w:rFonts w:ascii="Times New Roman" w:hAnsi="Times New Roman"/>
          <w:b/>
          <w:sz w:val="28"/>
        </w:rPr>
        <w:t>Acknowledgments</w:t>
      </w:r>
    </w:p>
    <w:p>
      <w:pPr>
        <w:jc w:val="both"/>
      </w:pPr>
      <w:r>
        <w:rPr>
          <w:rFonts w:ascii="Times New Roman" w:hAnsi="Times New Roman"/>
          <w:sz w:val="22"/>
        </w:rPr>
        <w:t>We acknowledge the computational resources provided by institutional high-performance computing facilities and thank the open-source community for the development of PyTorch Lightning and related frameworks.</w:t>
      </w:r>
    </w:p>
    <w:p>
      <w:pPr>
        <w:pStyle w:val="Heading1"/>
        <w:jc w:val="left"/>
      </w:pPr>
      <w:r>
        <w:rPr>
          <w:rFonts w:ascii="Times New Roman" w:hAnsi="Times New Roman"/>
          <w:b/>
          <w:sz w:val="28"/>
        </w:rPr>
        <w:t>Data Availability</w:t>
      </w:r>
    </w:p>
    <w:p>
      <w:pPr>
        <w:jc w:val="both"/>
      </w:pPr>
      <w:r>
        <w:rPr>
          <w:rFonts w:ascii="Times New Roman" w:hAnsi="Times New Roman"/>
          <w:sz w:val="22"/>
        </w:rPr>
        <w:t>Synthetic data generation code and model architecture implementations are available in the project repository. The synthetic datasets used in this study can be regenerated using the provided code.</w:t>
      </w:r>
    </w:p>
    <w:p>
      <w:pPr>
        <w:pStyle w:val="Heading1"/>
        <w:jc w:val="left"/>
      </w:pPr>
      <w:r>
        <w:rPr>
          <w:rFonts w:ascii="Times New Roman" w:hAnsi="Times New Roman"/>
          <w:b/>
          <w:sz w:val="28"/>
        </w:rPr>
        <w:t>Code Availability</w:t>
      </w:r>
    </w:p>
    <w:p>
      <w:pPr>
        <w:jc w:val="both"/>
      </w:pPr>
      <w:r>
        <w:rPr>
          <w:rFonts w:ascii="Times New Roman" w:hAnsi="Times New Roman"/>
          <w:sz w:val="22"/>
        </w:rPr>
        <w:t>All code for the multi-modal transformer architecture, synthetic data generation, and evaluation scripts is available in the associated GitHub repository under appropriate open-source licensing.</w:t>
      </w:r>
    </w:p>
    <w:p>
      <w:pPr>
        <w:pStyle w:val="Heading1"/>
        <w:jc w:val="left"/>
      </w:pPr>
      <w:r>
        <w:rPr>
          <w:rFonts w:ascii="Times New Roman" w:hAnsi="Times New Roman"/>
          <w:b/>
          <w:sz w:val="28"/>
        </w:rPr>
        <w:t>References</w:t>
      </w:r>
    </w:p>
    <w:p>
      <w:pPr>
        <w:jc w:val="both"/>
      </w:pPr>
      <w:r>
        <w:rPr>
          <w:rFonts w:ascii="Times New Roman" w:hAnsi="Times New Roman"/>
          <w:sz w:val="22"/>
        </w:rPr>
        <w:t>1. Hasin, Y., Seldin, M. &amp; Lusis, A. Multi-omics approaches to disease. *Genome Biol.* **18**, 83 (2017).</w:t>
      </w:r>
    </w:p>
    <w:p>
      <w:pPr>
        <w:jc w:val="both"/>
      </w:pPr>
      <w:r>
        <w:rPr>
          <w:rFonts w:ascii="Times New Roman" w:hAnsi="Times New Roman"/>
          <w:sz w:val="22"/>
        </w:rPr>
        <w:t>2. Subramanian, I. et al. Multi-omics data integration, interpretation, and its application. *Bioinform. Biol. Insights* **14**, 1177932219899051 (2020).</w:t>
      </w:r>
    </w:p>
    <w:p>
      <w:pPr>
        <w:jc w:val="both"/>
      </w:pPr>
      <w:r>
        <w:rPr>
          <w:rFonts w:ascii="Times New Roman" w:hAnsi="Times New Roman"/>
          <w:sz w:val="22"/>
        </w:rPr>
        <w:t>3. Rappoport, N. &amp; Shamir, R. Multi-omic and multi-view clustering algorithms: review and cancer benchmark. *Nucleic Acids Res.* **46**, 10546–10562 (2018).</w:t>
      </w:r>
    </w:p>
    <w:p>
      <w:pPr>
        <w:jc w:val="both"/>
      </w:pPr>
      <w:r>
        <w:rPr>
          <w:rFonts w:ascii="Times New Roman" w:hAnsi="Times New Roman"/>
          <w:sz w:val="22"/>
        </w:rPr>
        <w:t>4. Ritchie, M. D., Holzinger, E. R., Li, R., Pendergrass, S. A. &amp; Kim, D. Methods of integrating data to uncover genotype–phenotype interactions. *Nat. Rev. Genet.* **16**, 85–97 (2015).</w:t>
      </w:r>
    </w:p>
    <w:p>
      <w:pPr>
        <w:jc w:val="both"/>
      </w:pPr>
      <w:r>
        <w:rPr>
          <w:rFonts w:ascii="Times New Roman" w:hAnsi="Times New Roman"/>
          <w:sz w:val="22"/>
        </w:rPr>
        <w:t>5. Vaswani, A. et al. Attention is all you need. *Advances in Neural Information Processing Systems* **30** (2017).</w:t>
      </w:r>
    </w:p>
    <w:p>
      <w:pPr>
        <w:jc w:val="both"/>
      </w:pPr>
      <w:r>
        <w:rPr>
          <w:rFonts w:ascii="Times New Roman" w:hAnsi="Times New Roman"/>
          <w:sz w:val="22"/>
        </w:rPr>
        <w:t>6. Vig, J. et al. BERTology meets biology: interpreting attention in protein language models. *Bioinformatics* **37**, 3540–3546 (2021).</w:t>
      </w:r>
    </w:p>
    <w:p>
      <w:pPr>
        <w:jc w:val="both"/>
      </w:pPr>
      <w:r>
        <w:rPr>
          <w:rFonts w:ascii="Times New Roman" w:hAnsi="Times New Roman"/>
          <w:sz w:val="22"/>
        </w:rPr>
        <w:t>7. Rives, A. et al. Biological structure and function emerge from scaling unsupervised learning to 250 million protein sequences. *Proc. Natl. Acad. Sci.* **118**, e2016239118 (2021).</w:t>
      </w:r>
    </w:p>
    <w:p>
      <w:pPr>
        <w:jc w:val="both"/>
      </w:pPr>
      <w:r>
        <w:rPr>
          <w:rFonts w:ascii="Times New Roman" w:hAnsi="Times New Roman"/>
          <w:sz w:val="22"/>
        </w:rPr>
        <w:t>8. Huang, Z. et al. SALMON: Survival Analysis Learning With Multi-Omics Neural Networks on Breast Cancer. *Front. Genet.* **10**, 166 (2019).</w:t>
      </w:r>
    </w:p>
    <w:p>
      <w:pPr>
        <w:jc w:val="both"/>
      </w:pPr>
      <w:r>
        <w:rPr>
          <w:rFonts w:ascii="Times New Roman" w:hAnsi="Times New Roman"/>
          <w:sz w:val="22"/>
        </w:rPr>
        <w:t>9. Chaudhary, K., Poirion, O. B., Lu, L. &amp; Garmire, L. X. Deep learning–based multi-omics integration robustly predicts survival in liver cancer. *Clin. Cancer Res.* **24**, 1248–1259 (2018).</w:t>
      </w:r>
    </w:p>
    <w:p>
      <w:pPr>
        <w:jc w:val="both"/>
      </w:pPr>
      <w:r>
        <w:rPr>
          <w:rFonts w:ascii="Times New Roman" w:hAnsi="Times New Roman"/>
          <w:sz w:val="22"/>
        </w:rPr>
        <w:t>10. Bellman, R. *Dynamic programming* (Princeton University Press, 1957).</w:t>
      </w:r>
    </w:p>
    <w:p>
      <w:pPr>
        <w:jc w:val="both"/>
      </w:pPr>
      <w:r>
        <w:rPr>
          <w:rFonts w:ascii="Times New Roman" w:hAnsi="Times New Roman"/>
          <w:sz w:val="22"/>
        </w:rPr>
        <w:t>11. The Cancer Genome Atlas Research Network. The Cancer Genome Atlas Pan-Cancer analysis project. *Nat. Genet.* **45**, 1113–1120 (2013).</w:t>
      </w:r>
    </w:p>
    <w:p>
      <w:pPr>
        <w:jc w:val="both"/>
      </w:pPr>
      <w:r>
        <w:rPr>
          <w:rFonts w:ascii="Times New Roman" w:hAnsi="Times New Roman"/>
          <w:sz w:val="22"/>
        </w:rPr>
        <w:t>12. International Cancer Genome Consortium. International network of cancer genome projects. *Nature* **464**, 993–998 (2010).</w:t>
      </w:r>
    </w:p>
    <w:p>
      <w:pPr>
        <w:jc w:val="both"/>
      </w:pPr>
      <w:r>
        <w:rPr>
          <w:rFonts w:ascii="Times New Roman" w:hAnsi="Times New Roman"/>
          <w:sz w:val="22"/>
        </w:rPr>
        <w:t>13. Rogers, A. &amp; Kovaleva, O. A primer on neural network models for natural language processing. *J. Artif. Intell. Res.* **57**, 345–420 (2016).</w:t>
      </w:r>
    </w:p>
    <w:p>
      <w:pPr>
        <w:jc w:val="both"/>
      </w:pPr>
      <w:r>
        <w:rPr>
          <w:rFonts w:ascii="Times New Roman" w:hAnsi="Times New Roman"/>
          <w:sz w:val="22"/>
        </w:rPr>
        <w:t>14. Qiu, X. et al. Pre-trained models for natural language processing: A survey. *Sci. China Technol. Sci.* **63**, 1872–1897 (2020).</w:t>
      </w:r>
    </w:p>
    <w:p>
      <w:pPr>
        <w:jc w:val="both"/>
      </w:pPr>
      <w:r>
        <w:rPr>
          <w:rFonts w:ascii="Times New Roman" w:hAnsi="Times New Roman"/>
          <w:sz w:val="22"/>
        </w:rPr>
        <w:t>15. Jumper, J. et al. Highly accurate protein structure prediction with AlphaFold. *Nature* **596**, 583–589 (2021).</w:t>
      </w:r>
    </w:p>
    <w:p>
      <w:pPr>
        <w:jc w:val="both"/>
      </w:pPr>
      <w:r>
        <w:rPr>
          <w:rFonts w:ascii="Times New Roman" w:hAnsi="Times New Roman"/>
          <w:sz w:val="22"/>
        </w:rPr>
        <w:t>16. Senior, A. W. et al. Improved protein structure prediction using potentials from deep learning. *Nature* **577**, 706–710 (2020).</w:t>
      </w:r>
    </w:p>
    <w:p>
      <w:pPr>
        <w:jc w:val="both"/>
      </w:pPr>
      <w:r>
        <w:rPr>
          <w:rFonts w:ascii="Times New Roman" w:hAnsi="Times New Roman"/>
          <w:sz w:val="22"/>
        </w:rPr>
        <w:t>17. Falcon, W. et al. PyTorch Lightning. *GitHub repository* (2019).</w:t>
      </w:r>
    </w:p>
    <w:p>
      <w:pPr>
        <w:jc w:val="both"/>
      </w:pPr>
      <w:r>
        <w:rPr>
          <w:rFonts w:ascii="Times New Roman" w:hAnsi="Times New Roman"/>
          <w:sz w:val="22"/>
        </w:rPr>
        <w:t>18. Laird, P. W. Principles and challenges of genome-wide DNA methylation analysis. *Nat. Rev. Genet.* **11**, 191–203 (2010).</w:t>
      </w:r>
    </w:p>
    <w:p>
      <w:pPr>
        <w:jc w:val="both"/>
      </w:pPr>
      <w:r>
        <w:rPr>
          <w:rFonts w:ascii="Times New Roman" w:hAnsi="Times New Roman"/>
          <w:sz w:val="22"/>
        </w:rPr>
        <w:t>19. Jones, P. A. Functions of DNA methylation: islands, start sites, gene bodies and beyond. *Nat. Rev. Genet.* **13**, 484–492 (2012).</w:t>
      </w:r>
    </w:p>
    <w:p>
      <w:pPr>
        <w:jc w:val="both"/>
      </w:pPr>
      <w:r>
        <w:rPr>
          <w:rFonts w:ascii="Times New Roman" w:hAnsi="Times New Roman"/>
          <w:sz w:val="22"/>
        </w:rPr>
        <w:t>20. Bibikova, M. et al. High density DNA methylation array with single CpG site resolution. *Genomics* **98**, 288–295 (2011).</w:t>
      </w:r>
    </w:p>
    <w:p>
      <w:pPr>
        <w:jc w:val="both"/>
      </w:pPr>
      <w:r>
        <w:rPr>
          <w:rFonts w:ascii="Times New Roman" w:hAnsi="Times New Roman"/>
          <w:sz w:val="22"/>
        </w:rPr>
        <w:t>21. Dedeurwaerder, S. et al. Evaluation of the Infinium Methylation 450K technology. *Epigenomics* **3**, 771–784 (2011).</w:t>
      </w:r>
    </w:p>
    <w:p>
      <w:pPr>
        <w:jc w:val="both"/>
      </w:pPr>
      <w:r>
        <w:rPr>
          <w:rFonts w:ascii="Times New Roman" w:hAnsi="Times New Roman"/>
          <w:sz w:val="22"/>
        </w:rPr>
        <w:t>22. Cristiano, S. et al. Genome-wide cell-free DNA fragmentation in patients with cancer. *Nature* **570**, 385–389 (2019).</w:t>
      </w:r>
    </w:p>
    <w:p>
      <w:pPr>
        <w:jc w:val="both"/>
      </w:pPr>
      <w:r>
        <w:rPr>
          <w:rFonts w:ascii="Times New Roman" w:hAnsi="Times New Roman"/>
          <w:sz w:val="22"/>
        </w:rPr>
        <w:t>23. Underhill, H. R. et al. Fragment length of circulating tumor DNA. *PLoS Genet.* **12**, e1006162 (2016).</w:t>
      </w:r>
    </w:p>
    <w:p>
      <w:pPr>
        <w:jc w:val="both"/>
      </w:pPr>
      <w:r>
        <w:rPr>
          <w:rFonts w:ascii="Times New Roman" w:hAnsi="Times New Roman"/>
          <w:sz w:val="22"/>
        </w:rPr>
        <w:t>24. Beroukhim, R. et al. The landscape of somatic copy-number alteration across human cancers. *Nature* **463**, 899–905 (2010).</w:t>
      </w:r>
    </w:p>
    <w:p>
      <w:pPr>
        <w:jc w:val="both"/>
      </w:pPr>
      <w:r>
        <w:rPr>
          <w:rFonts w:ascii="Times New Roman" w:hAnsi="Times New Roman"/>
          <w:sz w:val="22"/>
        </w:rPr>
        <w:t>25. Zack, T. I. et al. Pan-cancer patterns of somatic copy number alteration. *Nat. Genet.* **45**, 1134–1140 (2013).</w:t>
      </w:r>
    </w:p>
    <w:p>
      <w:pPr>
        <w:jc w:val="both"/>
      </w:pPr>
      <w:r>
        <w:rPr>
          <w:rFonts w:ascii="Times New Roman" w:hAnsi="Times New Roman"/>
          <w:sz w:val="22"/>
        </w:rPr>
        <w:t>26. He, K., Zhang, X., Ren, S. &amp; Sun, J. Deep residual learning for image recognition. In *Proceedings of the IEEE Conference on Computer Vision and Pattern Recognition* 770–778 (2016).</w:t>
      </w:r>
    </w:p>
    <w:p>
      <w:pPr>
        <w:jc w:val="both"/>
      </w:pPr>
      <w:r>
        <w:rPr>
          <w:rFonts w:ascii="Times New Roman" w:hAnsi="Times New Roman"/>
          <w:sz w:val="22"/>
        </w:rPr>
        <w:t>27. Bahdanau, D., Cho, K. &amp; Bengio, Y. Neural machine translation by jointly learning to align and translate. *arXiv preprint arXiv:1409.0473* (2014).</w:t>
      </w:r>
    </w:p>
    <w:p>
      <w:pPr>
        <w:jc w:val="both"/>
      </w:pPr>
      <w:r>
        <w:rPr>
          <w:rFonts w:ascii="Times New Roman" w:hAnsi="Times New Roman"/>
          <w:sz w:val="22"/>
        </w:rPr>
        <w:t>28. Luong, M. T., Pham, H. &amp; Manning, C. D. Effective approaches to attention-based neural machine translation. *arXiv preprint arXiv:1508.04025* (2015).</w:t>
      </w:r>
    </w:p>
    <w:p>
      <w:pPr>
        <w:jc w:val="both"/>
      </w:pPr>
      <w:r>
        <w:rPr>
          <w:rFonts w:ascii="Times New Roman" w:hAnsi="Times New Roman"/>
          <w:sz w:val="22"/>
        </w:rPr>
        <w:t>29. Chorowski, J. K., Bahdanau, D., Serdyuk, D., Cho, K. &amp; Bengio, Y. Attention-based models for speech recognition. *Advances in Neural Information Processing Systems* **28** (2015).</w:t>
      </w:r>
    </w:p>
    <w:p>
      <w:pPr>
        <w:jc w:val="both"/>
      </w:pPr>
      <w:r>
        <w:rPr>
          <w:rFonts w:ascii="Times New Roman" w:hAnsi="Times New Roman"/>
          <w:sz w:val="22"/>
        </w:rPr>
        <w:t>30. Lin, T. Y., Goyal, P., Girshick, R., He, K. &amp; Dollár, P. Focal loss for dense object detection. In *Proceedings of the IEEE International Conference on Computer Vision* 2980–2999 (2017).</w:t>
      </w:r>
    </w:p>
    <w:p>
      <w:pPr>
        <w:jc w:val="both"/>
      </w:pPr>
      <w:r>
        <w:rPr>
          <w:rFonts w:ascii="Times New Roman" w:hAnsi="Times New Roman"/>
          <w:sz w:val="22"/>
        </w:rPr>
        <w:t>31. Emmert-Streib, F., Dehmer, M. &amp; Haibe-Kains, B. Gene regulatory networks and their applications: understanding biological and medical problems in terms of networks. *Front. Cell Dev. Biol.* **2**, 38 (2014).</w:t>
      </w:r>
    </w:p>
    <w:p>
      <w:pPr>
        <w:jc w:val="both"/>
      </w:pPr>
      <w:r>
        <w:rPr>
          <w:rFonts w:ascii="Times New Roman" w:hAnsi="Times New Roman"/>
          <w:sz w:val="22"/>
        </w:rPr>
        <w:t>32. Hutter, C. &amp; Zenklusen, J. C. The Cancer Genome Atlas: creating lasting value beyond its data. *Cell* **173**, 283–285 (2018).</w:t>
      </w:r>
    </w:p>
    <w:p>
      <w:pPr>
        <w:jc w:val="both"/>
      </w:pPr>
      <w:r>
        <w:rPr>
          <w:rFonts w:ascii="Times New Roman" w:hAnsi="Times New Roman"/>
          <w:sz w:val="22"/>
        </w:rPr>
        <w:t>33. Du, P. et al. Comparison of Beta-value and M-value methods for quantifying methylation levels by microarray analysis. *BMC Bioinformatics* **11**, 587 (2010).</w:t>
      </w:r>
    </w:p>
    <w:p>
      <w:pPr>
        <w:jc w:val="both"/>
      </w:pPr>
      <w:r>
        <w:rPr>
          <w:rFonts w:ascii="Times New Roman" w:hAnsi="Times New Roman"/>
          <w:sz w:val="22"/>
        </w:rPr>
        <w:t>34. Snyder, M. W., Kircher, M., Hill, A. J., Daza, R. M. &amp; Shendure, J. Cell-free DNA comprises an in vivo nucleosome footprint that informs its tissues-of-origin. *Cell* **164**, 57–68 (2016).</w:t>
      </w:r>
    </w:p>
    <w:p>
      <w:pPr>
        <w:jc w:val="both"/>
      </w:pPr>
      <w:r>
        <w:rPr>
          <w:rFonts w:ascii="Times New Roman" w:hAnsi="Times New Roman"/>
          <w:sz w:val="22"/>
        </w:rPr>
        <w:t>35. Ulz, P. et al. Inferring expressed genes by whole-genome sequencing of plasma DNA. *Nat. Genet.* **48**, 1273–1278 (2016).</w:t>
      </w:r>
    </w:p>
    <w:p>
      <w:pPr>
        <w:jc w:val="both"/>
      </w:pPr>
      <w:r>
        <w:rPr>
          <w:rFonts w:ascii="Times New Roman" w:hAnsi="Times New Roman"/>
          <w:sz w:val="22"/>
        </w:rPr>
        <w:t>36. Wang, K. et al. PennCNV: an integrated hidden Markov model designed for high-resolution copy number variation detection in whole-genome SNP genotyping data. *Genome Res.* **17**, 1665–1674 (2007).</w:t>
      </w:r>
    </w:p>
    <w:p>
      <w:pPr>
        <w:jc w:val="both"/>
      </w:pPr>
      <w:r>
        <w:rPr>
          <w:rFonts w:ascii="Times New Roman" w:hAnsi="Times New Roman"/>
          <w:sz w:val="22"/>
        </w:rPr>
        <w:t>37. Colella, S. et al. QuantiSNP: an Objective Bayes Hidden-Markov Model to detect and accurately map copy number variation using SNP genotyping data. *Nucleic Acids Res.* **35**, 2013–2025 (2007).</w:t>
      </w:r>
    </w:p>
    <w:p>
      <w:pPr>
        <w:jc w:val="both"/>
      </w:pPr>
      <w:r>
        <w:rPr>
          <w:rFonts w:ascii="Times New Roman" w:hAnsi="Times New Roman"/>
          <w:sz w:val="22"/>
        </w:rPr>
        <w:t>38. Loshchilov, I. &amp; Hutter, F. Decoupled weight decay regularization. *arXiv preprint arXiv:1711.05101* (2017).</w:t>
      </w:r>
    </w:p>
    <w:p>
      <w:pPr>
        <w:jc w:val="both"/>
      </w:pPr>
      <w:r>
        <w:rPr>
          <w:rFonts w:ascii="Times New Roman" w:hAnsi="Times New Roman"/>
          <w:sz w:val="22"/>
        </w:rPr>
        <w:t>39. Caruana, R. Multitask learning. *Mach. Learn.* **28**, 41–75 (1997).</w:t>
      </w:r>
    </w:p>
    <w:p>
      <w:pPr>
        <w:jc w:val="both"/>
      </w:pPr>
      <w:r>
        <w:rPr>
          <w:rFonts w:ascii="Times New Roman" w:hAnsi="Times New Roman"/>
          <w:sz w:val="22"/>
        </w:rPr>
        <w:t>40. Ruder, S. An overview of multi-task learning in deep neural networks. *arXiv preprint arXiv:1706.05098* (2017).</w:t>
      </w:r>
    </w:p>
    <w:p>
      <w:pPr>
        <w:jc w:val="both"/>
      </w:pPr>
      <w:r>
        <w:rPr>
          <w:rFonts w:ascii="Times New Roman" w:hAnsi="Times New Roman"/>
          <w:sz w:val="22"/>
        </w:rPr>
        <w:t>41. Wiegreffe, S. &amp; Pinter, Y. Attention is not not explanation. *arXiv preprint arXiv:1908.04626* (2019).</w:t>
      </w:r>
    </w:p>
    <w:p>
      <w:pPr>
        <w:jc w:val="both"/>
      </w:pPr>
      <w:r>
        <w:rPr>
          <w:rFonts w:ascii="Times New Roman" w:hAnsi="Times New Roman"/>
          <w:sz w:val="22"/>
        </w:rPr>
        <w:t>42. Bengio, Y., Louradour, J., Collobert, R. &amp; Weston, J. Curriculum learning. In *Proceedings of the 26th Annual International Conference on Machine Learning* 41–48 (2009).</w:t>
      </w:r>
    </w:p>
    <w:p>
      <w:pPr>
        <w:jc w:val="both"/>
      </w:pPr>
      <w:r>
        <w:rPr>
          <w:rFonts w:ascii="Times New Roman" w:hAnsi="Times New Roman"/>
          <w:sz w:val="22"/>
        </w:rPr>
        <w:t>43. Henderson, P. et al. Deep reinforcement learning that matters. In *Proceedings of the AAAI Conference on Artificial Intelligence* **32** (2018).</w:t>
      </w:r>
    </w:p>
    <w:p>
      <w:pPr>
        <w:jc w:val="both"/>
      </w:pPr>
      <w:r>
        <w:rPr>
          <w:rFonts w:ascii="Times New Roman" w:hAnsi="Times New Roman"/>
          <w:sz w:val="22"/>
        </w:rPr>
        <w:t>44. Baylin, S. B. &amp; Jones, P. A. Epigenetic determinants of cancer. *Cold Spring Harb. Perspect. Biol.* **8**, a019505 (2016).</w:t>
      </w:r>
    </w:p>
    <w:p>
      <w:pPr>
        <w:jc w:val="both"/>
      </w:pPr>
      <w:r>
        <w:rPr>
          <w:rFonts w:ascii="Times New Roman" w:hAnsi="Times New Roman"/>
          <w:sz w:val="22"/>
        </w:rPr>
        <w:t>45. Feinberg, A. P. &amp; Vogelstein, B. Hypomethylation distinguishes genes of some human cancers from their normal counterparts. *Nature* **301**, 89–92 (1983).</w:t>
      </w:r>
    </w:p>
    <w:p>
      <w:pPr>
        <w:jc w:val="both"/>
      </w:pPr>
      <w:r>
        <w:rPr>
          <w:rFonts w:ascii="Times New Roman" w:hAnsi="Times New Roman"/>
          <w:sz w:val="22"/>
        </w:rPr>
        <w:t>46. Cormen, T. H., Leiserson, C. E., Rivest, R. L. &amp; Stein, C. *Introduction to algorithms* (MIT press, 2009).</w:t>
      </w:r>
    </w:p>
    <w:p>
      <w:pPr>
        <w:jc w:val="both"/>
      </w:pPr>
      <w:r>
        <w:rPr>
          <w:rFonts w:ascii="Times New Roman" w:hAnsi="Times New Roman"/>
          <w:sz w:val="22"/>
        </w:rPr>
        <w:t>47. Bersanelli, M. et al. Methods for the integration of multi-omics data: mathematical aspects. *BMC Bioinformatics* **17**, 15 (2016).</w:t>
      </w:r>
    </w:p>
    <w:p>
      <w:pPr>
        <w:jc w:val="both"/>
      </w:pPr>
      <w:r>
        <w:rPr>
          <w:rFonts w:ascii="Times New Roman" w:hAnsi="Times New Roman"/>
          <w:sz w:val="22"/>
        </w:rPr>
        <w:t>48. Huang, S., Chaudhary, K. &amp; Garmire, L. X. More is better: recent progress in multi-omics data integration methods. *Front. Genet.* **8**, 84 (2017).</w:t>
      </w:r>
    </w:p>
    <w:p>
      <w:pPr>
        <w:jc w:val="both"/>
      </w:pPr>
      <w:r>
        <w:rPr>
          <w:rFonts w:ascii="Times New Roman" w:hAnsi="Times New Roman"/>
          <w:sz w:val="22"/>
        </w:rPr>
        <w:t>49. Krzywinski, M. &amp; Altman, N. Power and sample size. *Nat. Methods* **10**, 1139–1140 (2013).</w:t>
      </w:r>
    </w:p>
    <w:p>
      <w:pPr>
        <w:jc w:val="both"/>
      </w:pPr>
      <w:r>
        <w:rPr>
          <w:rFonts w:ascii="Times New Roman" w:hAnsi="Times New Roman"/>
          <w:sz w:val="22"/>
        </w:rPr>
        <w:t>50. Dean, J. &amp; Ghemawat, S. MapReduce: simplified data processing on large clusters. *Commun. ACM* **51**, 107–113 (2008).</w:t>
      </w:r>
    </w:p>
    <w:p>
      <w:pPr>
        <w:jc w:val="both"/>
      </w:pPr>
      <w:r>
        <w:rPr>
          <w:rFonts w:ascii="Times New Roman" w:hAnsi="Times New Roman"/>
          <w:sz w:val="22"/>
        </w:rPr>
        <w:t>51. Byron, S. A., Van Keuren-Jensen, K. R., Engelthaler, D. M., Carpten, J. D. &amp; Craig, D. W. Translating RNA sequencing into clinical diagnostics: opportunities and challenges. *Nat. Rev. Genet.* **17**, 257–271 (2016).</w:t>
      </w:r>
    </w:p>
    <w:p>
      <w:pPr>
        <w:jc w:val="both"/>
      </w:pPr>
      <w:r>
        <w:rPr>
          <w:rFonts w:ascii="Times New Roman" w:hAnsi="Times New Roman"/>
          <w:sz w:val="22"/>
        </w:rPr>
        <w:t>52. Aebersold, R. &amp; Mann, M. Mass-spectrometric exploration of proteome structure and function. *Nature* **537**, 347–355 (2016).</w:t>
      </w:r>
    </w:p>
    <w:p>
      <w:pPr>
        <w:jc w:val="both"/>
      </w:pPr>
      <w:r>
        <w:rPr>
          <w:rFonts w:ascii="Times New Roman" w:hAnsi="Times New Roman"/>
          <w:sz w:val="22"/>
        </w:rPr>
        <w:t>53. Wilkinson, M. D. et al. The FAIR Guiding Principles for scientific data management and stewardship. *Sci. Data* **3**, 160018 (2016).</w:t>
      </w:r>
    </w:p>
    <w:p>
      <w:pPr>
        <w:jc w:val="both"/>
      </w:pPr>
      <w:r>
        <w:rPr>
          <w:rFonts w:ascii="Times New Roman" w:hAnsi="Times New Roman"/>
          <w:sz w:val="22"/>
        </w:rPr>
        <w:t>54. Eraslan, G., Avsec, Ž., Gagneur, J. &amp; Theis, F. J. Deep learning: new computational modelling techniques for genomics. *Nat. Rev. Genet.* **20**, 389–403 (2019).</w:t>
      </w:r>
    </w:p>
    <w:p>
      <w:pPr>
        <w:jc w:val="both"/>
      </w:pPr>
      <w:r>
        <w:rPr>
          <w:rFonts w:ascii="Times New Roman" w:hAnsi="Times New Roman"/>
          <w:sz w:val="22"/>
        </w:rPr>
        <w:t>55. Zou, J. et al. A primer on deep learning in genomics. *Nat. Genet.* **51**, 12–18 (2019).</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Times New Roman" w:hAnsi="Times New Roman"/>
        <w:i/>
        <w:sz w:val="18"/>
      </w:rPr>
      <w:t>Cancer Alpha Research Team • Preprint • July 2025</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Times New Roman" w:hAnsi="Times New Roman"/>
        <w:i/>
        <w:sz w:val="20"/>
      </w:rPr>
      <w:t>Multi-Modal Transformer Architecture for Genomic Data Integration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