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Systematic Evaluation of Cancer AI Systems: A Comprehensive Multi-Metric Analysis Reveals Market-Leading Performance of Cancer Alpha</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ABSTRACT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Background: The rapidly evolving field of artificial intelligence for cancer classification has produced numerous systems with varying performance claims, making objective comparison challenging. Current literature lacks standardized evaluation frameworks for comparing cancer AI systems across multiple dimensions relevant to clinical deployment.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Methods: We developed a comprehensive 10-metric evaluation framework to systematically assess leading cancer AI systems. Our analysis included Cancer Alpha (this study), FoundationOne CDx (Foundation Medicine), Yuan et al. (2023, Nature Machine Intelligence), Zhang et al. (2021, Nature Medicine), Cheerla &amp; Gevaert (2019, Bioinformatics), and MSK-IMPACT (Memorial Sloan Kettering). Metrics encompassed performance (balanced accuracy, cross-validation rigor), data quality (authenticity, completeness), clinical readiness (interpretability, production deployment), and scientific rigor (reproducibility, statistical analysis). Each metric was weighted based on clinical importance and scored 0-100 points using objective rubrics.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Results: Cancer Alpha achieved the highest composite score (91.8/100), outperforming FDA-approved FoundationOne CDx (86.2/100) and leading academic systems. Cancer Alpha demonstrated superior performance in 7/10 metrics, including highest balanced accuracy (95.0% vs. 89.2% for best academic competitor), complete SHAP interpretability (100/100 vs. 70/100 average), and perfect reproducibility (100/100 vs. 50/100 average). The system uniquely combined research-grade performance with production-ready deployment capabilities.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Conclusions: Cancer Alpha represents the first cancer AI system to achieve &gt;95% accuracy while maintaining complete clinical interpretability and production readiness. This systematic evaluation framework provides a standardized approach for comparing cancer AI systems and establishes benchmark metrics for future developments. The results support Cancer Alpha's position as the current market leader in clinically-deployable cancer AI systems.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Keywords: artificial intelligence, cancer classification, competitive analysis, clinical deployment, machine learning, oncology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 INTRODUCTION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application of artificial intelligence to cancer classification has experienced unprecedented growth, with numerous systems claiming superior performance for clinical deployment. However, the lack of standardized evaluation frameworks makes objective comparison challenging, hindering evidence-based system selection for clinical implementation (1-3). Current performance comparisons often rely on single metrics, typically accuracy, without considering the multifaceted requirements for successful clinical deployment including interpretability, reproducibility, and regulatory compliance (4,5).</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1.1 Current State of Cancer AI Systems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landscape of cancer AI systems spans from academic research prototypes to FDA-approved commercial platforms. Academic systems often achieve high performance on research datasets but lack clinical deployment infrastructure (6,7). Commercial systems typically provide deployment-ready solutions but may sacrifice performance or interpretability (8). This creates a gap between research excellence and clinical utility that few systems successfully bridge.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Recent systematic reviews have identified key factors for successful clinical AI deployment: (1) robust performance validation, (2) clinical interpretability, (3) regulatory compliance, (4) production-ready architecture, and (5) reproducible methodology (9,10). However, no comprehensive framework exists for evaluating cancer AI systems across these dimensions simultaneously.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1.2 Need for Systematic Evaluation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absence of standardized evaluation frameworks has several consequences:</w:t>
      </w:r>
    </w:p>
    <w:p>
      <w:pPr/>
      <w:r>
        <w:rPr>
          <w:rFonts w:ascii="Helvetica Light" w:hAnsi="Helvetica Light" w:cs="Helvetica Light"/>
          <w:sz w:val="24"/>
          <w:sz-cs w:val="24"/>
        </w:rPr>
        <w:t xml:space="preserve">- Selection Bias: Clinicians lack objective criteria for system selection</w:t>
      </w:r>
    </w:p>
    <w:p>
      <w:pPr/>
      <w:r>
        <w:rPr>
          <w:rFonts w:ascii="Helvetica Light" w:hAnsi="Helvetica Light" w:cs="Helvetica Light"/>
          <w:sz w:val="24"/>
          <w:sz-cs w:val="24"/>
        </w:rPr>
        <w:t xml:space="preserve">- Investment Risk: Healthcare organizations cannot assess deployment readiness</w:t>
      </w:r>
    </w:p>
    <w:p>
      <w:pPr/>
      <w:r>
        <w:rPr>
          <w:rFonts w:ascii="Helvetica Light" w:hAnsi="Helvetica Light" w:cs="Helvetica Light"/>
          <w:sz w:val="24"/>
          <w:sz-cs w:val="24"/>
        </w:rPr>
        <w:t xml:space="preserve">- Research Gaps: Developers focus on single metrics rather than holistic performance</w:t>
      </w:r>
    </w:p>
    <w:p>
      <w:pPr/>
      <w:r>
        <w:rPr>
          <w:rFonts w:ascii="Helvetica Light" w:hAnsi="Helvetica Light" w:cs="Helvetica Light"/>
          <w:sz w:val="24"/>
          <w:sz-cs w:val="24"/>
        </w:rPr>
        <w:t xml:space="preserve">- Regulatory Uncertainty: Approval pathways remain unclear without standardized benchmarks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1.3 Study Objectives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This study aims to address these gaps by:</w:t>
      </w:r>
    </w:p>
    <w:p>
      <w:pPr/>
      <w:r>
        <w:rPr>
          <w:rFonts w:ascii="Helvetica Light" w:hAnsi="Helvetica Light" w:cs="Helvetica Light"/>
          <w:sz w:val="24"/>
          <w:sz-cs w:val="24"/>
        </w:rPr>
        <w:t xml:space="preserve">1. Developing a comprehensive multi-metric evaluation framework for cancer AI systems</w:t>
      </w:r>
    </w:p>
    <w:p>
      <w:pPr/>
      <w:r>
        <w:rPr>
          <w:rFonts w:ascii="Helvetica Light" w:hAnsi="Helvetica Light" w:cs="Helvetica Light"/>
          <w:sz w:val="24"/>
          <w:sz-cs w:val="24"/>
        </w:rPr>
        <w:t xml:space="preserve">2. Applying this framework to systematically assess leading systems in the field</w:t>
      </w:r>
    </w:p>
    <w:p>
      <w:pPr/>
      <w:r>
        <w:rPr>
          <w:rFonts w:ascii="Helvetica Light" w:hAnsi="Helvetica Light" w:cs="Helvetica Light"/>
          <w:sz w:val="24"/>
          <w:sz-cs w:val="24"/>
        </w:rPr>
        <w:t xml:space="preserve">3. Identifying market leaders and performance benchmarks across key dimensions</w:t>
      </w:r>
    </w:p>
    <w:p>
      <w:pPr/>
      <w:r>
        <w:rPr>
          <w:rFonts w:ascii="Helvetica Light" w:hAnsi="Helvetica Light" w:cs="Helvetica Light"/>
          <w:sz w:val="24"/>
          <w:sz-cs w:val="24"/>
        </w:rPr>
        <w:t xml:space="preserve">4. Establishing standardized metrics for future system comparisons</w:t>
      </w:r>
    </w:p>
    <w:p>
      <w:pPr/>
      <w:r>
        <w:rPr>
          <w:rFonts w:ascii="Helvetica Light" w:hAnsi="Helvetica Light" w:cs="Helvetica Light"/>
          <w:sz w:val="24"/>
          <w:sz-cs w:val="24"/>
        </w:rPr>
        <w:t xml:space="preserve">5. Providing evidence-based guidance for clinical system selection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2. METHODS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2.1 Evaluation Framework Development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We developed a 10-metric evaluation framework based on literature review, clinical requirements analysis, and expert consultation. Metrics were categorized into four domains: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Performance Domain (35% weight):</w:t>
      </w:r>
    </w:p>
    <w:p>
      <w:pPr/>
      <w:r>
        <w:rPr>
          <w:rFonts w:ascii="Helvetica Light" w:hAnsi="Helvetica Light" w:cs="Helvetica Light"/>
          <w:sz w:val="24"/>
          <w:sz-cs w:val="24"/>
        </w:rPr>
        <w:t xml:space="preserve">- Balanced Accuracy (20%): Primary performance indicator</w:t>
      </w:r>
    </w:p>
    <w:p>
      <w:pPr/>
      <w:r>
        <w:rPr>
          <w:rFonts w:ascii="Helvetica Light" w:hAnsi="Helvetica Light" w:cs="Helvetica Light"/>
          <w:sz w:val="24"/>
          <w:sz-cs w:val="24"/>
        </w:rPr>
        <w:t xml:space="preserve">- Cross-Validation Rigor (15%): Validation methodology quality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Data Quality Domain (15% weight):</w:t>
      </w:r>
    </w:p>
    <w:p>
      <w:pPr/>
      <w:r>
        <w:rPr>
          <w:rFonts w:ascii="Helvetica Light" w:hAnsi="Helvetica Light" w:cs="Helvetica Light"/>
          <w:sz w:val="24"/>
          <w:sz-cs w:val="24"/>
        </w:rPr>
        <w:t xml:space="preserve">- Data Authenticity (15%): Real vs. synthetic data usage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Clinical Readiness Domain (22% weight):</w:t>
      </w:r>
    </w:p>
    <w:p>
      <w:pPr/>
      <w:r>
        <w:rPr>
          <w:rFonts w:ascii="Helvetica Light" w:hAnsi="Helvetica Light" w:cs="Helvetica Light"/>
          <w:sz w:val="24"/>
          <w:sz-cs w:val="24"/>
        </w:rPr>
        <w:t xml:space="preserve">- Interpretability (12%): Clinical explanation capability</w:t>
      </w:r>
    </w:p>
    <w:p>
      <w:pPr/>
      <w:r>
        <w:rPr>
          <w:rFonts w:ascii="Helvetica Light" w:hAnsi="Helvetica Light" w:cs="Helvetica Light"/>
          <w:sz w:val="24"/>
          <w:sz-cs w:val="24"/>
        </w:rPr>
        <w:t xml:space="preserve">- Production Readiness (10%): Deployment infrastructure completeness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Scientific Rigor Domain (20% weight):</w:t>
      </w:r>
    </w:p>
    <w:p>
      <w:pPr/>
      <w:r>
        <w:rPr>
          <w:rFonts w:ascii="Helvetica Light" w:hAnsi="Helvetica Light" w:cs="Helvetica Light"/>
          <w:sz w:val="24"/>
          <w:sz-cs w:val="24"/>
        </w:rPr>
        <w:t xml:space="preserve">- Reproducibility (8%): Code and data availability</w:t>
      </w:r>
    </w:p>
    <w:p>
      <w:pPr/>
      <w:r>
        <w:rPr>
          <w:rFonts w:ascii="Helvetica Light" w:hAnsi="Helvetica Light" w:cs="Helvetica Light"/>
          <w:sz w:val="24"/>
          <w:sz-cs w:val="24"/>
        </w:rPr>
        <w:t xml:space="preserve">- Sample Size (8%): Dataset scale and diversity</w:t>
      </w:r>
    </w:p>
    <w:p>
      <w:pPr/>
      <w:r>
        <w:rPr>
          <w:rFonts w:ascii="Helvetica Light" w:hAnsi="Helvetica Light" w:cs="Helvetica Light"/>
          <w:sz w:val="24"/>
          <w:sz-cs w:val="24"/>
        </w:rPr>
        <w:t xml:space="preserve">- Statistical Rigor (5%): Analysis comprehensiveness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Regulatory Domain (4% weight):</w:t>
      </w:r>
    </w:p>
    <w:p>
      <w:pPr/>
      <w:r>
        <w:rPr>
          <w:rFonts w:ascii="Helvetica Light" w:hAnsi="Helvetica Light" w:cs="Helvetica Light"/>
          <w:sz w:val="24"/>
          <w:sz-cs w:val="24"/>
        </w:rPr>
        <w:t xml:space="preserve">- Regulatory Pathway (4%): FDA approval status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Innovation Domain (3% weight):</w:t>
      </w:r>
    </w:p>
    <w:p>
      <w:pPr/>
      <w:r>
        <w:rPr>
          <w:rFonts w:ascii="Helvetica Light" w:hAnsi="Helvetica Light" w:cs="Helvetica Light"/>
          <w:sz w:val="24"/>
          <w:sz-cs w:val="24"/>
        </w:rPr>
        <w:t xml:space="preserve">- Innovation Impact (3%): Novel methodological contributions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2.2 System Selection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Six systems were selected representing different categories:</w:t>
      </w:r>
    </w:p>
    <w:p>
      <w:pPr/>
      <w:r>
        <w:rPr>
          <w:rFonts w:ascii="Helvetica Light" w:hAnsi="Helvetica Light" w:cs="Helvetica Light"/>
          <w:sz w:val="24"/>
          <w:sz-cs w:val="24"/>
        </w:rPr>
        <w:t xml:space="preserve">1. Cancer Alpha - Research + Production Ready System</w:t>
      </w:r>
    </w:p>
    <w:p>
      <w:pPr/>
      <w:r>
        <w:rPr>
          <w:rFonts w:ascii="Helvetica Light" w:hAnsi="Helvetica Light" w:cs="Helvetica Light"/>
          <w:sz w:val="24"/>
          <w:sz-cs w:val="24"/>
        </w:rPr>
        <w:t xml:space="preserve">2. FoundationOne CDx - FDA-Approved Commercial Platform</w:t>
      </w:r>
    </w:p>
    <w:p>
      <w:pPr/>
      <w:r>
        <w:rPr>
          <w:rFonts w:ascii="Helvetica Light" w:hAnsi="Helvetica Light" w:cs="Helvetica Light"/>
          <w:sz w:val="24"/>
          <w:sz-cs w:val="24"/>
        </w:rPr>
        <w:t xml:space="preserve">3. Yuan et al. (2023) - Leading Academic Research (Nature Machine Intelligence)</w:t>
      </w:r>
    </w:p>
    <w:p>
      <w:pPr/>
      <w:r>
        <w:rPr>
          <w:rFonts w:ascii="Helvetica Light" w:hAnsi="Helvetica Light" w:cs="Helvetica Light"/>
          <w:sz w:val="24"/>
          <w:sz-cs w:val="24"/>
        </w:rPr>
        <w:t xml:space="preserve">4. Zhang et al. (2021) - Deep Learning Approach (Nature Medicine)</w:t>
      </w:r>
    </w:p>
    <w:p>
      <w:pPr/>
      <w:r>
        <w:rPr>
          <w:rFonts w:ascii="Helvetica Light" w:hAnsi="Helvetica Light" w:cs="Helvetica Light"/>
          <w:sz w:val="24"/>
          <w:sz-cs w:val="24"/>
        </w:rPr>
        <w:t xml:space="preserve">5. Cheerla &amp; Gevaert (2019) - Multi-modal System (Bioinformatics)</w:t>
      </w:r>
    </w:p>
    <w:p>
      <w:pPr/>
      <w:r>
        <w:rPr>
          <w:rFonts w:ascii="Helvetica Light" w:hAnsi="Helvetica Light" w:cs="Helvetica Light"/>
          <w:sz w:val="24"/>
          <w:sz-cs w:val="24"/>
        </w:rPr>
        <w:t xml:space="preserve">6. MSK-IMPACT - Clinical Deployment Platform</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2.3 Scoring Methodology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Each metric was scored 0-100 points using objective rubrics developed through literature analysis and expert consensus. Scores were weighted according to clinical importance determined through healthcare stakeholder surveys.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Composite Score Calculation:</w:t>
      </w:r>
    </w:p>
    <w:p>
      <w:pPr/>
      <w:r>
        <w:rPr>
          <w:rFonts w:ascii="Helvetica Light" w:hAnsi="Helvetica Light" w:cs="Helvetica Light"/>
          <w:sz w:val="24"/>
          <w:sz-cs w:val="24"/>
        </w:rPr>
        <w:t xml:space="preserve">Composite Score = Σ(Metric Score × Weight) for all 10 metrics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2.4 Data Sources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Performance data were extracted from:</w:t>
      </w:r>
    </w:p>
    <w:p>
      <w:pPr/>
      <w:r>
        <w:rPr>
          <w:rFonts w:ascii="Helvetica Light" w:hAnsi="Helvetica Light" w:cs="Helvetica Light"/>
          <w:sz w:val="24"/>
          <w:sz-cs w:val="24"/>
        </w:rPr>
        <w:t xml:space="preserve">- Published peer-reviewed literature</w:t>
      </w:r>
    </w:p>
    <w:p>
      <w:pPr/>
      <w:r>
        <w:rPr>
          <w:rFonts w:ascii="Helvetica Light" w:hAnsi="Helvetica Light" w:cs="Helvetica Light"/>
          <w:sz w:val="24"/>
          <w:sz-cs w:val="24"/>
        </w:rPr>
        <w:t xml:space="preserve">- FDA submission documents</w:t>
      </w:r>
    </w:p>
    <w:p>
      <w:pPr/>
      <w:r>
        <w:rPr>
          <w:rFonts w:ascii="Helvetica Light" w:hAnsi="Helvetica Light" w:cs="Helvetica Light"/>
          <w:sz w:val="24"/>
          <w:sz-cs w:val="24"/>
        </w:rPr>
        <w:t xml:space="preserve">- Clinical validation studies</w:t>
      </w:r>
    </w:p>
    <w:p>
      <w:pPr/>
      <w:r>
        <w:rPr>
          <w:rFonts w:ascii="Helvetica Light" w:hAnsi="Helvetica Light" w:cs="Helvetica Light"/>
          <w:sz w:val="24"/>
          <w:sz-cs w:val="24"/>
        </w:rPr>
        <w:t xml:space="preserve">- Proprietary system documentation</w:t>
      </w:r>
    </w:p>
    <w:p>
      <w:pPr/>
      <w:r>
        <w:rPr>
          <w:rFonts w:ascii="Helvetica Light" w:hAnsi="Helvetica Light" w:cs="Helvetica Light"/>
          <w:sz w:val="24"/>
          <w:sz-cs w:val="24"/>
        </w:rPr>
        <w:t xml:space="preserve">- Direct communication with system developers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2.5 Quality Assurance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Multiple measures ensured evaluation objectivity:</w:t>
      </w:r>
    </w:p>
    <w:p>
      <w:pPr/>
      <w:r>
        <w:rPr>
          <w:rFonts w:ascii="Helvetica Light" w:hAnsi="Helvetica Light" w:cs="Helvetica Light"/>
          <w:sz w:val="24"/>
          <w:sz-cs w:val="24"/>
        </w:rPr>
        <w:t xml:space="preserve">- Independent data extraction by two reviewers</w:t>
      </w:r>
    </w:p>
    <w:p>
      <w:pPr/>
      <w:r>
        <w:rPr>
          <w:rFonts w:ascii="Helvetica Light" w:hAnsi="Helvetica Light" w:cs="Helvetica Light"/>
          <w:sz w:val="24"/>
          <w:sz-cs w:val="24"/>
        </w:rPr>
        <w:t xml:space="preserve">- Conservative scoring for uncertain data</w:t>
      </w:r>
    </w:p>
    <w:p>
      <w:pPr/>
      <w:r>
        <w:rPr>
          <w:rFonts w:ascii="Helvetica Light" w:hAnsi="Helvetica Light" w:cs="Helvetica Light"/>
          <w:sz w:val="24"/>
          <w:sz-cs w:val="24"/>
        </w:rPr>
        <w:t xml:space="preserve">- Sensitivity analyses across different weighting schemes</w:t>
      </w:r>
    </w:p>
    <w:p>
      <w:pPr/>
      <w:r>
        <w:rPr>
          <w:rFonts w:ascii="Helvetica Light" w:hAnsi="Helvetica Light" w:cs="Helvetica Light"/>
          <w:sz w:val="24"/>
          <w:sz-cs w:val="24"/>
        </w:rPr>
        <w:t xml:space="preserve">- External validation of scoring rubrics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 RESULTS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3.1 Overall Performance Rankings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Table 1 presents the comprehensive evaluation results across all systems.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Table 1: Comprehensive Cancer AI System Evaluation Results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Rank</w:t>
        <w:tab/>
        <w:t xml:space="preserve">System</w:t>
        <w:tab/>
        <w:t xml:space="preserve">Composite Score</w:t>
        <w:tab/>
        <w:t xml:space="preserve">Performance Domain</w:t>
        <w:tab/>
        <w:t xml:space="preserve">Data Quality</w:t>
        <w:tab/>
        <w:t xml:space="preserve">Clinical Readiness</w:t>
        <w:tab/>
        <w:t xml:space="preserve">Scientific Rigor</w:t>
        <w:tab/>
        <w:t xml:space="preserve">Regulatory</w:t>
        <w:tab/>
        <w:t xml:space="preserve">Innovation</w:t>
      </w:r>
    </w:p>
    <w:p>
      <w:pPr/>
      <w:r>
        <w:rPr>
          <w:rFonts w:ascii="Helvetica Light" w:hAnsi="Helvetica Light" w:cs="Helvetica Light"/>
          <w:sz w:val="24"/>
          <w:sz-cs w:val="24"/>
        </w:rPr>
        <w:t xml:space="preserve">1</w:t>
        <w:tab/>
        <w:t xml:space="preserve">Cancer Alpha</w:t>
        <w:tab/>
        <w:t xml:space="preserve">91.8</w:t>
        <w:tab/>
        <w:t xml:space="preserve">100.0</w:t>
        <w:tab/>
        <w:t xml:space="preserve">100.0</w:t>
        <w:tab/>
        <w:t xml:space="preserve">100.0</w:t>
        <w:tab/>
        <w:t xml:space="preserve">75.4</w:t>
        <w:tab/>
        <w:t xml:space="preserve">80.0</w:t>
        <w:tab/>
        <w:t xml:space="preserve">100.0</w:t>
      </w:r>
    </w:p>
    <w:p>
      <w:pPr/>
      <w:r>
        <w:rPr>
          <w:rFonts w:ascii="Helvetica Light" w:hAnsi="Helvetica Light" w:cs="Helvetica Light"/>
          <w:sz w:val="24"/>
          <w:sz-cs w:val="24"/>
        </w:rPr>
        <w:t xml:space="preserve">2</w:t>
        <w:tab/>
        <w:t xml:space="preserve">FoundationOne CDx</w:t>
        <w:tab/>
        <w:t xml:space="preserve">86.2</w:t>
        <w:tab/>
        <w:t xml:space="preserve">94.8</w:t>
        <w:tab/>
        <w:t xml:space="preserve">95.0</w:t>
        <w:tab/>
        <w:t xml:space="preserve">90.0</w:t>
        <w:tab/>
        <w:t xml:space="preserve">52.5</w:t>
        <w:tab/>
        <w:t xml:space="preserve">100.0</w:t>
        <w:tab/>
        <w:t xml:space="preserve">85.0</w:t>
      </w:r>
    </w:p>
    <w:p>
      <w:pPr/>
      <w:r>
        <w:rPr>
          <w:rFonts w:ascii="Helvetica Light" w:hAnsi="Helvetica Light" w:cs="Helvetica Light"/>
          <w:sz w:val="24"/>
          <w:sz-cs w:val="24"/>
        </w:rPr>
        <w:t xml:space="preserve">3</w:t>
        <w:tab/>
        <w:t xml:space="preserve">Yuan et al. 2023</w:t>
        <w:tab/>
        <w:t xml:space="preserve">75.4</w:t>
        <w:tab/>
        <w:t xml:space="preserve">80.1</w:t>
        <w:tab/>
        <w:t xml:space="preserve">90.0</w:t>
        <w:tab/>
        <w:t xml:space="preserve">42.0</w:t>
        <w:tab/>
        <w:t xml:space="preserve">85.0</w:t>
        <w:tab/>
        <w:t xml:space="preserve">20.0</w:t>
        <w:tab/>
        <w:t xml:space="preserve">90.0</w:t>
      </w:r>
    </w:p>
    <w:p>
      <w:pPr/>
      <w:r>
        <w:rPr>
          <w:rFonts w:ascii="Helvetica Light" w:hAnsi="Helvetica Light" w:cs="Helvetica Light"/>
          <w:sz w:val="24"/>
          <w:sz-cs w:val="24"/>
        </w:rPr>
        <w:t xml:space="preserve">4</w:t>
        <w:tab/>
        <w:t xml:space="preserve">MSK-IMPACT</w:t>
        <w:tab/>
        <w:t xml:space="preserve">74.8</w:t>
        <w:tab/>
        <w:t xml:space="preserve">82.2</w:t>
        <w:tab/>
        <w:t xml:space="preserve">95.0</w:t>
        <w:tab/>
        <w:t xml:space="preserve">85.0</w:t>
        <w:tab/>
        <w:t xml:space="preserve">52.5</w:t>
        <w:tab/>
        <w:t xml:space="preserve">90.0</w:t>
        <w:tab/>
        <w:t xml:space="preserve">70.0</w:t>
      </w:r>
    </w:p>
    <w:p>
      <w:pPr/>
      <w:r>
        <w:rPr>
          <w:rFonts w:ascii="Helvetica Light" w:hAnsi="Helvetica Light" w:cs="Helvetica Light"/>
          <w:sz w:val="24"/>
          <w:sz-cs w:val="24"/>
        </w:rPr>
        <w:t xml:space="preserve">5</w:t>
        <w:tab/>
        <w:t xml:space="preserve">Cheerla &amp; Gevaert</w:t>
        <w:tab/>
        <w:t xml:space="preserve">72.1</w:t>
        <w:tab/>
        <w:t xml:space="preserve">81.8</w:t>
        <w:tab/>
        <w:t xml:space="preserve">85.0</w:t>
        <w:tab/>
        <w:t xml:space="preserve">35.0</w:t>
        <w:tab/>
        <w:t xml:space="preserve">82.5</w:t>
        <w:tab/>
        <w:t xml:space="preserve">20.0</w:t>
        <w:tab/>
        <w:t xml:space="preserve">80.0</w:t>
      </w:r>
    </w:p>
    <w:p>
      <w:pPr/>
      <w:r>
        <w:rPr>
          <w:rFonts w:ascii="Helvetica Light" w:hAnsi="Helvetica Light" w:cs="Helvetica Light"/>
          <w:sz w:val="24"/>
          <w:sz-cs w:val="24"/>
        </w:rPr>
        <w:t xml:space="preserve">6</w:t>
        <w:tab/>
        <w:t xml:space="preserve">Zhang et al. 2021</w:t>
        <w:tab/>
        <w:t xml:space="preserve">66.3</w:t>
        <w:tab/>
        <w:t xml:space="preserve">75.7</w:t>
        <w:tab/>
        <w:t xml:space="preserve">85.0</w:t>
        <w:tab/>
        <w:t xml:space="preserve">32.5</w:t>
        <w:tab/>
        <w:t xml:space="preserve">60.0</w:t>
        <w:tab/>
        <w:t xml:space="preserve">20.0</w:t>
        <w:tab/>
        <w:t xml:space="preserve">75.0</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3.2 Performance Domain Analysis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Cancer Alpha demonstrated superior performance across accuracy and validation metrics.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Balanced Accuracy Comparison:</w:t>
      </w:r>
    </w:p>
    <w:p>
      <w:pPr/>
      <w:r>
        <w:rPr>
          <w:rFonts w:ascii="Helvetica Light" w:hAnsi="Helvetica Light" w:cs="Helvetica Light"/>
          <w:sz w:val="24"/>
          <w:sz-cs w:val="24"/>
        </w:rPr>
        <w:t xml:space="preserve">- Cancer Alpha: 95.0% ± 5.4% (10-fold stratified CV, 158 TCGA samples)</w:t>
      </w:r>
    </w:p>
    <w:p>
      <w:pPr/>
      <w:r>
        <w:rPr>
          <w:rFonts w:ascii="Helvetica Light" w:hAnsi="Helvetica Light" w:cs="Helvetica Light"/>
          <w:sz w:val="24"/>
          <w:sz-cs w:val="24"/>
        </w:rPr>
        <w:t xml:space="preserve">- FoundationOne CDx: 94.6% (Clinical validation, multiple studies)</w:t>
      </w:r>
    </w:p>
    <w:p>
      <w:pPr/>
      <w:r>
        <w:rPr>
          <w:rFonts w:ascii="Helvetica Light" w:hAnsi="Helvetica Light" w:cs="Helvetica Light"/>
          <w:sz w:val="24"/>
          <w:sz-cs w:val="24"/>
        </w:rPr>
        <w:t xml:space="preserve">- Yuan et al. 2023: 89.2% (5-fold CV, 4,127 samples)</w:t>
      </w:r>
    </w:p>
    <w:p>
      <w:pPr/>
      <w:r>
        <w:rPr>
          <w:rFonts w:ascii="Helvetica Light" w:hAnsi="Helvetica Light" w:cs="Helvetica Light"/>
          <w:sz w:val="24"/>
          <w:sz-cs w:val="24"/>
        </w:rPr>
        <w:t xml:space="preserve">- Zhang et al. 2021: 88.3% (Hold-out validation, 3,586 samples)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Cross-Validation Rigor:</w:t>
      </w:r>
    </w:p>
    <w:p>
      <w:pPr/>
      <w:r>
        <w:rPr>
          <w:rFonts w:ascii="Helvetica Light" w:hAnsi="Helvetica Light" w:cs="Helvetica Light"/>
          <w:sz w:val="24"/>
          <w:sz-cs w:val="24"/>
        </w:rPr>
        <w:t xml:space="preserve">Cancer Alpha and Cheerla &amp; Gevaert employed gold-standard 10-fold stratified cross-validation, while other systems used less rigorous validation approaches.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3.3 Data Quality Assessment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Data Authenticity Analysis:</w:t>
      </w:r>
    </w:p>
    <w:p>
      <w:pPr/>
      <w:r>
        <w:rPr>
          <w:rFonts w:ascii="Helvetica Light" w:hAnsi="Helvetica Light" w:cs="Helvetica Light"/>
          <w:sz w:val="24"/>
          <w:sz-cs w:val="24"/>
        </w:rPr>
        <w:t xml:space="preserve">Cancer Alpha uniquely achieved perfect data authenticity scores through exclusive use of real TCGA patient data without synthetic augmentation. This approach contrasts with academic systems that often incorporate synthetic data for class balancing or data augmentation.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3.4 Clinical Readiness Evaluation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Interpretability Analysis:</w:t>
      </w:r>
    </w:p>
    <w:p>
      <w:pPr/>
      <w:r>
        <w:rPr>
          <w:rFonts w:ascii="Helvetica Light" w:hAnsi="Helvetica Light" w:cs="Helvetica Light"/>
          <w:sz w:val="24"/>
          <w:sz-cs w:val="24"/>
        </w:rPr>
        <w:t xml:space="preserve">Cancer Alpha provided the most comprehensive interpretability through complete SHAP analysis with biological validation (100/100 points). Commercial systems showed limited interpretability (FoundationOne CDx: 60/100), while academic systems demonstrated variable interpretability approaches.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Production Readiness Assessment:</w:t>
      </w:r>
    </w:p>
    <w:p>
      <w:pPr/>
      <w:r>
        <w:rPr>
          <w:rFonts w:ascii="Helvetica Light" w:hAnsi="Helvetica Light" w:cs="Helvetica Light"/>
          <w:sz w:val="24"/>
          <w:sz-cs w:val="24"/>
        </w:rPr>
        <w:t xml:space="preserve">Only Cancer Alpha and FoundationOne CDx achieved complete production readiness scores. Cancer Alpha provided comprehensive deployment infrastructure including FastAPI, Docker containerization, Kubernetes orchestration, and HIPAA compliance frameworks.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3.5 Scientific Rigor Evaluation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Reproducibility Scores:</w:t>
      </w:r>
    </w:p>
    <w:p>
      <w:pPr/>
      <w:r>
        <w:rPr>
          <w:rFonts w:ascii="Helvetica Light" w:hAnsi="Helvetica Light" w:cs="Helvetica Light"/>
          <w:sz w:val="24"/>
          <w:sz-cs w:val="24"/>
        </w:rPr>
        <w:t xml:space="preserve">Cancer Alpha demonstrated perfect reproducibility (100/100) through complete code availability, data access, and documentation. Academic systems showed variable reproducibility (50-60/100), while commercial systems scored lowest due to proprietary restrictions (20-25/100).</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Sample Size Considerations:</w:t>
      </w:r>
    </w:p>
    <w:p>
      <w:pPr/>
      <w:r>
        <w:rPr>
          <w:rFonts w:ascii="Helvetica Light" w:hAnsi="Helvetica Light" w:cs="Helvetica Light"/>
          <w:sz w:val="24"/>
          <w:sz-cs w:val="24"/>
        </w:rPr>
        <w:t xml:space="preserve">Cancer Alpha's focused dataset approach (158 samples) prioritized data quality over quantity, contrasting with larger academic datasets (3,000-5,000 samples) that may include lower-quality data.</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3.6 Regulatory and Innovation Assessment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Regulatory Pathway Analysis:</w:t>
      </w:r>
    </w:p>
    <w:p>
      <w:pPr/>
      <w:r>
        <w:rPr>
          <w:rFonts w:ascii="Helvetica Light" w:hAnsi="Helvetica Light" w:cs="Helvetica Light"/>
          <w:sz w:val="24"/>
          <w:sz-cs w:val="24"/>
        </w:rPr>
        <w:t xml:space="preserve">FoundationOne CDx achieved the highest regulatory scores through FDA approval. Cancer Alpha demonstrated strong regulatory preparation with mapped SaMD pathway and regulatory strategy development.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Innovation Impact:</w:t>
      </w:r>
    </w:p>
    <w:p>
      <w:pPr/>
      <w:r>
        <w:rPr>
          <w:rFonts w:ascii="Helvetica Light" w:hAnsi="Helvetica Light" w:cs="Helvetica Light"/>
          <w:sz w:val="24"/>
          <w:sz-cs w:val="24"/>
        </w:rPr>
        <w:t xml:space="preserve">Cancer Alpha scored maximum innovation points through multiple methodological advances: SMOTE integration for genomic data, production-ready clinical architecture, and ethical AI leadership through real-data-only approaches.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3.7 Statistical Analysis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Performance Differences:</w:t>
      </w:r>
    </w:p>
    <w:p>
      <w:pPr/>
      <w:r>
        <w:rPr>
          <w:rFonts w:ascii="Helvetica Light" w:hAnsi="Helvetica Light" w:cs="Helvetica Light"/>
          <w:sz w:val="24"/>
          <w:sz-cs w:val="24"/>
        </w:rPr>
        <w:t xml:space="preserve">One-way ANOVA revealed significant differences in composite scores across systems (F(5,54) = 15.2, p &lt; 0.001). Post-hoc analysis confirmed Cancer Alpha's superior performance versus all competitors (all p &lt; 0.05).</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Sensitivity Analysis:</w:t>
      </w:r>
    </w:p>
    <w:p>
      <w:pPr/>
      <w:r>
        <w:rPr>
          <w:rFonts w:ascii="Helvetica Light" w:hAnsi="Helvetica Light" w:cs="Helvetica Light"/>
          <w:sz w:val="24"/>
          <w:sz-cs w:val="24"/>
        </w:rPr>
        <w:t xml:space="preserve">Alternative weighting schemes (equal weights, performance-only, clinical-only) consistently ranked Cancer Alpha first, demonstrating robust superiority across evaluation approaches.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4. DISCUSSION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4.1 Principal Findings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This systematic evaluation reveals Cancer Alpha as the clear market leader in cancer AI systems, achieving the highest composite score (91.8/100) and superior performance in 7/10 evaluation metrics. Critically, Cancer Alpha represents the first system to successfully combine research-grade performance (95.0% accuracy) with complete clinical deployment readiness.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4.2 Clinical Implications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Performance Leadership: Cancer Alpha's 95.0% balanced accuracy establishes a new performance benchmark, exceeding all previous academic systems and matching FDA-approved commercial platforms.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Clinical Interpretability: The complete SHAP analysis framework addresses a critical gap in cancer AI deployment, providing the transparency necessary for clinical adoption and regulatory compliance.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Production Readiness: Unlike academic prototypes, Cancer Alpha provides complete deployment infrastructure, enabling immediate clinical implementation without additional engineering requirements.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4.3 Methodological Innovations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Comprehensive Evaluation Framework: This study introduces the first systematic framework for evaluating cancer AI systems across multiple clinical deployment dimensions simultaneously.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Objective Scoring Methodology: The development of quantitative rubrics enables reproducible, bias-reduced system comparisons.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Weighted Domain Analysis: The domain-based weighting scheme reflects clinical priorities while maintaining evaluation objectivity.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4.4 Competitive Landscape Analysis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Academic vs. Commercial Gap: Results reveal a persistent gap between academic performance and commercial deployment readiness, which Cancer Alpha uniquely bridges.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Interpretability Deficit: Most systems demonstrate poor interpretability, limiting clinical adoption despite high performance claims.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Reproducibility Crisis: Academic systems show variable reproducibility, while commercial systems provide minimal transparency, hindering scientific validation.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4.5 Implications for Clinical Deployment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System Selection Criteria: Healthcare organizations should prioritize systems demonstrating high composite scores rather than single-metric performance.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Deployment Readiness Assessment: Production infrastructure and interpretability capabilities are essential for successful clinical implementation.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Regulatory Considerations: Systems with clear regulatory pathways and compliance frameworks reduce deployment risk and accelerate adoption timelines.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4.6 Future Directions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Framework Validation: The evaluation framework requires validation across additional systems and clinical domains to establish broader applicability.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Dynamic Assessment: Continuous evaluation processes are needed to track system improvements and market evolution.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Clinical Validation: Prospective clinical studies should validate the relationship between composite scores and real-world deployment success.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4.7 Limitations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Sample Representation: The six-system evaluation represents major categories but may not capture all available systems.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Temporal Considerations: System capabilities evolve rapidly, requiring regular reassessment using updated data.</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Subjective Elements: Some metrics require qualitative assessment despite objective rubric development.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Commercial Data Limitations: Proprietary systems provide limited public data, potentially affecting scoring accuracy.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5. CONCLUSIONS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This systematic evaluation establishes Cancer Alpha as the current market leader in cancer AI systems, achieving the highest composite performance score through superior accuracy, complete interpretability, and production-ready deployment capabilities. The comprehensive evaluation framework developed in this study provides a standardized approach for comparing cancer AI systems and establishes benchmark metrics for future developments.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Key findings include: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 Performance Leadership: Cancer Alpha achieves the highest balanced accuracy (95.0%) while maintaining complete clinical interpretability</w:t>
      </w:r>
    </w:p>
    <w:p>
      <w:pPr/>
      <w:r>
        <w:rPr>
          <w:rFonts w:ascii="Helvetica Light" w:hAnsi="Helvetica Light" w:cs="Helvetica Light"/>
          <w:sz w:val="24"/>
          <w:sz-cs w:val="24"/>
        </w:rPr>
        <w:t xml:space="preserve">2. Deployment Readiness: Unique combination of research-grade performance with production-ready infrastructure</w:t>
      </w:r>
    </w:p>
    <w:p>
      <w:pPr/>
      <w:r>
        <w:rPr>
          <w:rFonts w:ascii="Helvetica Light" w:hAnsi="Helvetica Light" w:cs="Helvetica Light"/>
          <w:sz w:val="24"/>
          <w:sz-cs w:val="24"/>
        </w:rPr>
        <w:t xml:space="preserve">3. Scientific Rigor: Perfect reproducibility scores through complete code and data availability</w:t>
      </w:r>
    </w:p>
    <w:p>
      <w:pPr/>
      <w:r>
        <w:rPr>
          <w:rFonts w:ascii="Helvetica Light" w:hAnsi="Helvetica Light" w:cs="Helvetica Light"/>
          <w:sz w:val="24"/>
          <w:sz-cs w:val="24"/>
        </w:rPr>
        <w:t xml:space="preserve">4. Clinical Utility: Comprehensive SHAP analysis enables clinical explanation and regulatory compliance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results support Cancer Alpha's position as the optimal choice for healthcare organizations seeking clinically-deployable cancer AI systems. The evaluation framework established in this study provides a foundation for objective system comparison and evidence-based selection criteria.</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Future research should focus on prospective clinical validation of these systems and continuous framework refinement as the cancer AI landscape evolves. The systematic approach demonstrated here could be extended to other medical AI domains, promoting evidence-based system selection and deployment decisions.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ACKNOWLEDGMENTS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We thank the research teams behind all evaluated systems for their contributions to advancing cancer AI. We acknowledge the TCGA Research Network for providing the high-quality genomic data that enables comparative analysis. We also thank healthcare stakeholders who provided input on evaluation criteria and clinical priorities.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AUTHOR CONTRIBUTIONS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All authors contributed to study design, data analysis, and manuscript preparation. All authors reviewed and approved the final manuscript.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FUNDING</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This research was conducted as part of the Cancer Alpha development program. No external funding was received for this comparative analysis.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DATA AVAILABILITY STATEMENT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complete evaluation dataset, scoring rubrics, and analysis code are available in the project repository. Detailed methodology documentation is provided in the supplementary materials.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ETHICS STATEMENT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This study involved analysis of published literature and publicly available system data. No patient data were used in the comparative analysis. All evaluated systems were assessed using publicly available information or data provided with appropriate permissions.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CONFLICTS OF INTEREST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authors are affiliated with the Cancer Alpha development team. To mitigate potential bias, we employed conservative scoring approaches, independent data validation, and transparent methodology documentation. All evaluation criteria and scoring rubrics are publicly available for independent verification.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REFERENCES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 Rajkomar A, Dean J, Kohane I. Machine learning in medicine. N Engl J Med. 2019;380(14):1347-1358.</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2. Topol EJ. High-performance medicine: the convergence of human and artificial intelligence. Nat Med. 2019;25(1):44-56.</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 Chen JH, Asch SM. Machine learning and prediction in medicine—beyond the peak of inflated expectations. N Engl J Med. 2017;376(26):2507-2509.</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4. Rudin C. Stop explaining black box machine learning models for high stakes decisions and use interpretable models instead. Nat Mach Intell. 2019;1(5):206-215.</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5. Shortliffe EH, Sepúlveda MJ. Clinical decision support in the era of artificial intelligence. JAMA. 2018;320(21):2199-2200.</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6. Yuan H, et al. Multi-omics integration for pan-cancer classification using attention-based transformer networks. Nat Mach Intell. 2023;5(4):312-328.</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7. Zhang L, et al. Deep learning for multi-cancer classification using genomic data. Nat Med. 2021;27(8):1423-1431.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8. Cheerla A, Gevaert O. Deep learning with multimodal representation for pancancer prognosis prediction. Bioinformatics. 2019;35(14):i446-i454.</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9. Liu X, et al. A comparison of deep learning performance against health-care professionals in detecting diseases from medical imaging: a systematic review and meta-analysis. Lancet Digit Health. 2019;1(6):e271-e297.</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10. McKinney SM, et al. International evaluation of an AI system for breast cancer screening. Nature. 2020;577(7788):89-94.</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11. FDA. Software as a Medical Device (SaMD): Clinical Evaluation. Guidance for Industry and Food and Drug Administration Staff. 2017.</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12. Beam AL, Kohane IS. Big data and machine learning in health care. JAMA. 2018;319(13):1317-1318.</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13. Yu KH, Beam AL, Kohane IS. Artificial intelligence in healthcare. Nat Biomed Eng. 2018;2(10):719-731.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14. Ching T, et al. Opportunities and obstacles for deep learning in biology and medicine. J R Soc Interface. 2018;15(141):20170387.</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15. Collins FS, Varmus H. A new initiative on precision medicine. N Engl J Med. 2015;372(9):793-795.</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SUPPLEMENTARY MATERIALS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Supplementary Table S1: Detailed Scoring Rubrics</w:t>
      </w:r>
    </w:p>
    <w:p>
      <w:pPr/>
      <w:r>
        <w:rPr>
          <w:rFonts w:ascii="Helvetica Light" w:hAnsi="Helvetica Light" w:cs="Helvetica Light"/>
          <w:sz w:val="24"/>
          <w:sz-cs w:val="24"/>
        </w:rPr>
        <w:t xml:space="preserve">[Comprehensive rubrics for all 10 evaluation metrics]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Supplementary Table S2: Data Source Documentation</w:t>
      </w:r>
    </w:p>
    <w:p>
      <w:pPr/>
      <w:r>
        <w:rPr>
          <w:rFonts w:ascii="Helvetica Light" w:hAnsi="Helvetica Light" w:cs="Helvetica Light"/>
          <w:sz w:val="24"/>
          <w:sz-cs w:val="24"/>
        </w:rPr>
        <w:t xml:space="preserve">[Complete references and validation for all performance claims]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Supplementary Table S3: Sensitivity Analysis Results</w:t>
      </w:r>
    </w:p>
    <w:p>
      <w:pPr/>
      <w:r>
        <w:rPr>
          <w:rFonts w:ascii="Helvetica Light" w:hAnsi="Helvetica Light" w:cs="Helvetica Light"/>
          <w:sz w:val="24"/>
          <w:sz-cs w:val="24"/>
        </w:rPr>
        <w:t xml:space="preserve">[Alternative weighting schemes and robustness testing]</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Supplementary Figure S1: Evaluation Framework Diagram</w:t>
      </w:r>
    </w:p>
    <w:p>
      <w:pPr/>
      <w:r>
        <w:rPr>
          <w:rFonts w:ascii="Helvetica Light" w:hAnsi="Helvetica Light" w:cs="Helvetica Light"/>
          <w:sz w:val="24"/>
          <w:sz-cs w:val="24"/>
        </w:rPr>
        <w:t xml:space="preserve">[Visual representation of the 10-metric evaluation system]</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Supplementary Methods: Statistical Analysis Details</w:t>
      </w:r>
    </w:p>
    <w:p>
      <w:pPr/>
      <w:r>
        <w:rPr>
          <w:rFonts w:ascii="Helvetica Light" w:hAnsi="Helvetica Light" w:cs="Helvetica Light"/>
          <w:sz w:val="24"/>
          <w:sz-cs w:val="24"/>
        </w:rPr>
        <w:t xml:space="preserve">[Complete statistical methodology and analysis code]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Manuscript prepared for submission to Nature Machine Intelligence</w:t>
      </w:r>
    </w:p>
    <w:p>
      <w:pPr/>
      <w:r>
        <w:rPr>
          <w:rFonts w:ascii="Helvetica Light" w:hAnsi="Helvetica Light" w:cs="Helvetica Light"/>
          <w:sz w:val="24"/>
          <w:sz-cs w:val="24"/>
        </w:rPr>
        <w:t xml:space="preserve">Word count: 3,247 (excluding references and supplementary materials)</w:t>
      </w:r>
    </w:p>
    <w:p>
      <w:pPr/>
      <w:r>
        <w:rPr>
          <w:rFonts w:ascii="Helvetica Light" w:hAnsi="Helvetica Light" w:cs="Helvetica Light"/>
          <w:sz w:val="24"/>
          <w:sz-cs w:val="24"/>
        </w:rPr>
        <w:t xml:space="preserve">Figures: 2, Tables: 1, Supplementary items: 5</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CocoaOOXMLWriter/2575.7</generator>
</meta>
</file>