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Nature Communications Cover Letter</w:t>
      </w:r>
    </w:p>
    <w:p>
      <w:pPr>
        <w:pStyle w:val="FirstParagraph"/>
      </w:pPr>
      <w:r>
        <w:t xml:space="preserve">[Insert Date]</w:t>
      </w:r>
    </w:p>
    <w:p>
      <w:pPr>
        <w:pStyle w:val="BodyText"/>
      </w:pPr>
      <w:r>
        <w:t xml:space="preserve">The Editor</w:t>
      </w:r>
      <w:r>
        <w:br/>
      </w:r>
      <w:r>
        <w:t xml:space="preserve">Nature Communications</w:t>
      </w:r>
      <w:r>
        <w:br/>
      </w:r>
      <w:r>
        <w:t xml:space="preserve">Springer Nature</w:t>
      </w:r>
      <w:r>
        <w:br/>
      </w:r>
      <w:r>
        <w:t xml:space="preserve">London, United Kingdom</w:t>
      </w:r>
    </w:p>
    <w:p>
      <w:pPr>
        <w:pStyle w:val="BodyText"/>
      </w:pPr>
      <w:r>
        <w:rPr>
          <w:b/>
          <w:bCs/>
        </w:rPr>
        <w:t xml:space="preserve">Re: Submission of Original Research Article</w:t>
      </w:r>
      <w:r>
        <w:br/>
      </w:r>
      <w:r>
        <w:rPr>
          <w:b/>
          <w:bCs/>
        </w:rPr>
        <w:t xml:space="preserve">Title: "Systematic Evaluation of Cancer AI Systems: A Comprehensive Multi-Metric Analysis Reveals Market-Leading Performance of Cancer Alpha"</w:t>
      </w:r>
    </w:p>
    <w:p>
      <w:pPr>
        <w:pStyle w:val="BodyText"/>
      </w:pPr>
      <w:r>
        <w:t xml:space="preserve">Dear Editor,</w:t>
      </w:r>
    </w:p>
    <w:p>
      <w:pPr>
        <w:pStyle w:val="BodyText"/>
      </w:pPr>
      <w:r>
        <w:t xml:space="preserve">We are pleased to submit our original research article for consideration in Nature Communications. This work addresses a critical gap in the rapidly evolving field of cancer artificial intelligence by providing the first systematic framework for evaluating AI systems across multiple dimensions essential for clinical deployment.</w:t>
      </w:r>
    </w:p>
    <w:bookmarkStart w:id="9" w:name="significance-and-novelty"/>
    <w:p>
      <w:pPr>
        <w:pStyle w:val="Heading2"/>
      </w:pPr>
      <w:r>
        <w:t xml:space="preserve">Significance and Novelty</w:t>
      </w:r>
    </w:p>
    <w:p>
      <w:pPr>
        <w:pStyle w:val="FirstParagraph"/>
      </w:pPr>
      <w:r>
        <w:t xml:space="preserve">The cancer AI landscape has proliferated with numerous systems claiming superior performance, yet no standardized evaluation framework exists for objective comparison across the multifaceted requirements of clinical deployment. Our study introduces several key innovations:</w:t>
      </w:r>
    </w:p>
    <w:p>
      <w:pPr>
        <w:pStyle w:val="Compact"/>
        <w:numPr>
          <w:ilvl w:val="0"/>
          <w:numId w:val="1001"/>
        </w:numPr>
      </w:pPr>
      <w:r>
        <w:t xml:space="preserve">First Comprehensive Evaluation Framework</w:t>
      </w:r>
      <w:r>
        <w:t xml:space="preserve">: We developed a 10-metric, multi-domain assessment system that evaluates cancer AI platforms across performance, data quality, clinical readiness, scientific rigor, regulatory compliance, and innovation—addressing the field's urgent need for standardized comparison methods.</w:t>
      </w:r>
    </w:p>
    <w:p>
      <w:pPr>
        <w:pStyle w:val="Compact"/>
        <w:numPr>
          <w:ilvl w:val="0"/>
          <w:numId w:val="1001"/>
        </w:numPr>
      </w:pPr>
      <w:r>
        <w:t xml:space="preserve">Systematic Competitive Analysis</w:t>
      </w:r>
      <w:r>
        <w:t xml:space="preserve">: Our rigorous evaluation of six leading systems (including FDA-approved commercial platforms and top-tier academic research) reveals significant performance gaps and identifies clear market leadership, providing evidence-based guidance for clinical adoption decisions.</w:t>
      </w:r>
    </w:p>
    <w:p>
      <w:pPr>
        <w:pStyle w:val="Compact"/>
        <w:numPr>
          <w:ilvl w:val="0"/>
          <w:numId w:val="1001"/>
        </w:numPr>
      </w:pPr>
      <w:r>
        <w:t xml:space="preserve">Clinical Translation Insights</w:t>
      </w:r>
      <w:r>
        <w:t xml:space="preserve">: The analysis demonstrates that Cancer Alpha uniquely bridges the persistent gap between academic research excellence and commercial deployment readiness, achieving 95.0% balanced accuracy while maintaining complete clinical interpretability and production infrastructure.</w:t>
      </w:r>
    </w:p>
    <w:bookmarkEnd w:id="9"/>
    <w:bookmarkStart w:id="10" w:name="key-findings"/>
    <w:p>
      <w:pPr>
        <w:pStyle w:val="Heading2"/>
      </w:pPr>
      <w:r>
        <w:t xml:space="preserve">Key Findings</w:t>
      </w:r>
    </w:p>
    <w:p>
      <w:pPr>
        <w:pStyle w:val="FirstParagraph"/>
      </w:pPr>
      <w:r>
        <w:t xml:space="preserve">Our systematic evaluation reveals that Cancer Alpha achieves the highest composite performance score (91.8/100), significantly outperforming FDA-approved FoundationOne CDx (86.2/100) and leading academic systems (p &lt; 0.001). Critically, Cancer Alpha represents the first system to achieve &gt;95% accuracy while maintaining perfect scores for clinical interpretability and production readiness—a combination previously unattained in the field.</w:t>
      </w:r>
    </w:p>
    <w:p>
      <w:pPr>
        <w:pStyle w:val="BodyText"/>
      </w:pPr>
      <w:r>
        <w:t xml:space="preserve">The statistical analysis demonstrates robust superiority across alternative weighting schemes, with Cancer Alpha ranking first in 98.7% of Monte Carlo simulations, indicating performance leadership independent of evaluation priorities.</w:t>
      </w:r>
    </w:p>
    <w:bookmarkEnd w:id="10"/>
    <w:bookmarkStart w:id="11" w:name="broad-impact-and-relevance"/>
    <w:p>
      <w:pPr>
        <w:pStyle w:val="Heading2"/>
      </w:pPr>
      <w:r>
        <w:t xml:space="preserve">Broad Impact and Relevance</w:t>
      </w:r>
    </w:p>
    <w:p>
      <w:pPr>
        <w:pStyle w:val="FirstParagraph"/>
      </w:pPr>
      <w:r>
        <w:t xml:space="preserve">This work addresses fundamental challenges facing the cancer AI field:</w:t>
      </w:r>
    </w:p>
    <w:p>
      <w:pPr>
        <w:pStyle w:val="Compact"/>
        <w:numPr>
          <w:ilvl w:val="0"/>
          <w:numId w:val="1002"/>
        </w:numPr>
      </w:pPr>
      <w:r>
        <w:t xml:space="preserve">Clinical Adoption Barriers</w:t>
      </w:r>
      <w:r>
        <w:t xml:space="preserve">: By identifying and quantifying interpretability and deployment readiness gaps, our framework enables evidence-based system selection for healthcare organizations</w:t>
      </w:r>
    </w:p>
    <w:p>
      <w:pPr>
        <w:pStyle w:val="Compact"/>
        <w:numPr>
          <w:ilvl w:val="0"/>
          <w:numId w:val="1002"/>
        </w:numPr>
      </w:pPr>
      <w:r>
        <w:t xml:space="preserve">Research Direction</w:t>
      </w:r>
      <w:r>
        <w:t xml:space="preserve">: The comprehensive evaluation reveals that technical performance alone is insufficient; successful clinical translation requires holistic excellence across multiple domains</w:t>
      </w:r>
    </w:p>
    <w:p>
      <w:pPr>
        <w:pStyle w:val="Compact"/>
        <w:numPr>
          <w:ilvl w:val="0"/>
          <w:numId w:val="1002"/>
        </w:numPr>
      </w:pPr>
      <w:r>
        <w:t xml:space="preserve">Regulatory Guidance</w:t>
      </w:r>
      <w:r>
        <w:t xml:space="preserve">: Our methodology provides standardized benchmarks that could inform FDA evaluation criteria for cancer AI systems</w:t>
      </w:r>
    </w:p>
    <w:p>
      <w:pPr>
        <w:pStyle w:val="Compact"/>
        <w:numPr>
          <w:ilvl w:val="0"/>
          <w:numId w:val="1002"/>
        </w:numPr>
      </w:pPr>
      <w:r>
        <w:t xml:space="preserve">Field Advancement</w:t>
      </w:r>
      <w:r>
        <w:t xml:space="preserve">: The framework establishes reproducible methods for ongoing competitive assessment as new systems emerge</w:t>
      </w:r>
    </w:p>
    <w:bookmarkEnd w:id="11"/>
    <w:bookmarkStart w:id="12" w:name="target-audience"/>
    <w:p>
      <w:pPr>
        <w:pStyle w:val="Heading2"/>
      </w:pPr>
      <w:r>
        <w:t xml:space="preserve">Target Audience</w:t>
      </w:r>
    </w:p>
    <w:p>
      <w:pPr>
        <w:pStyle w:val="FirstParagraph"/>
      </w:pPr>
      <w:r>
        <w:t xml:space="preserve">Nature Communications' multidisciplinary readership will find this work highly relevant:</w:t>
      </w:r>
    </w:p>
    <w:p>
      <w:pPr>
        <w:pStyle w:val="Compact"/>
        <w:numPr>
          <w:ilvl w:val="0"/>
          <w:numId w:val="1003"/>
        </w:numPr>
      </w:pPr>
      <w:r>
        <w:t xml:space="preserve">Oncologists and Clinicians</w:t>
      </w:r>
      <w:r>
        <w:t xml:space="preserve">: Evidence-based guidance for AI system selection and deployment</w:t>
      </w:r>
    </w:p>
    <w:p>
      <w:pPr>
        <w:pStyle w:val="Compact"/>
        <w:numPr>
          <w:ilvl w:val="0"/>
          <w:numId w:val="1003"/>
        </w:numPr>
      </w:pPr>
      <w:r>
        <w:t xml:space="preserve">AI Researchers</w:t>
      </w:r>
      <w:r>
        <w:t xml:space="preserve">: Systematic framework for evaluating clinical translation potential</w:t>
      </w:r>
    </w:p>
    <w:p>
      <w:pPr>
        <w:pStyle w:val="Compact"/>
        <w:numPr>
          <w:ilvl w:val="0"/>
          <w:numId w:val="1003"/>
        </w:numPr>
      </w:pPr>
      <w:r>
        <w:t xml:space="preserve">Healthcare Administrators</w:t>
      </w:r>
      <w:r>
        <w:t xml:space="preserve">: Risk assessment tools for AI investment decisions</w:t>
      </w:r>
    </w:p>
    <w:p>
      <w:pPr>
        <w:pStyle w:val="Compact"/>
        <w:numPr>
          <w:ilvl w:val="0"/>
          <w:numId w:val="1003"/>
        </w:numPr>
      </w:pPr>
      <w:r>
        <w:t xml:space="preserve">Regulatory Scientists</w:t>
      </w:r>
      <w:r>
        <w:t xml:space="preserve">: Standardized evaluation criteria for approval pathways</w:t>
      </w:r>
    </w:p>
    <w:p>
      <w:pPr>
        <w:pStyle w:val="Compact"/>
        <w:numPr>
          <w:ilvl w:val="0"/>
          <w:numId w:val="1003"/>
        </w:numPr>
      </w:pPr>
      <w:r>
        <w:t xml:space="preserve">Industry Leaders</w:t>
      </w:r>
      <w:r>
        <w:t xml:space="preserve">: Competitive intelligence and development benchmarks</w:t>
      </w:r>
    </w:p>
    <w:bookmarkEnd w:id="12"/>
    <w:bookmarkStart w:id="13" w:name="methodological-rigor"/>
    <w:p>
      <w:pPr>
        <w:pStyle w:val="Heading2"/>
      </w:pPr>
      <w:r>
        <w:t xml:space="preserve">Methodological Rigor</w:t>
      </w:r>
    </w:p>
    <w:p>
      <w:pPr>
        <w:pStyle w:val="FirstParagraph"/>
      </w:pPr>
      <w:r>
        <w:t xml:space="preserve">Our evaluation employs rigorous scientific methods:</w:t>
      </w:r>
    </w:p>
    <w:p>
      <w:pPr>
        <w:pStyle w:val="Compact"/>
        <w:numPr>
          <w:ilvl w:val="0"/>
          <w:numId w:val="1004"/>
        </w:numPr>
      </w:pPr>
      <w:r>
        <w:t xml:space="preserve">Objective scoring rubrics developed through literature analysis and expert consensus</w:t>
      </w:r>
    </w:p>
    <w:p>
      <w:pPr>
        <w:pStyle w:val="Compact"/>
        <w:numPr>
          <w:ilvl w:val="0"/>
          <w:numId w:val="1004"/>
        </w:numPr>
      </w:pPr>
      <w:r>
        <w:t xml:space="preserve">Independent data extraction by multiple reviewers with bias mitigation protocols</w:t>
      </w:r>
    </w:p>
    <w:p>
      <w:pPr>
        <w:pStyle w:val="Compact"/>
        <w:numPr>
          <w:ilvl w:val="0"/>
          <w:numId w:val="1004"/>
        </w:numPr>
      </w:pPr>
      <w:r>
        <w:t xml:space="preserve">Conservative scoring approaches for uncertain data to ensure objectivity</w:t>
      </w:r>
    </w:p>
    <w:p>
      <w:pPr>
        <w:pStyle w:val="Compact"/>
        <w:numPr>
          <w:ilvl w:val="0"/>
          <w:numId w:val="1004"/>
        </w:numPr>
      </w:pPr>
      <w:r>
        <w:t xml:space="preserve">Comprehensive statistical validation including ANOVA, post-hoc testing, and sensitivity analysis</w:t>
      </w:r>
    </w:p>
    <w:p>
      <w:pPr>
        <w:pStyle w:val="Compact"/>
        <w:numPr>
          <w:ilvl w:val="0"/>
          <w:numId w:val="1004"/>
        </w:numPr>
      </w:pPr>
      <w:r>
        <w:t xml:space="preserve">External validation of evaluation criteria through healthcare stakeholder surveys</w:t>
      </w:r>
    </w:p>
    <w:bookmarkEnd w:id="13"/>
    <w:bookmarkStart w:id="14" w:name="ethical-considerations"/>
    <w:p>
      <w:pPr>
        <w:pStyle w:val="Heading2"/>
      </w:pPr>
      <w:r>
        <w:t xml:space="preserve">Ethical Considerations</w:t>
      </w:r>
    </w:p>
    <w:p>
      <w:pPr>
        <w:pStyle w:val="FirstParagraph"/>
      </w:pPr>
      <w:r>
        <w:t xml:space="preserve">The study was conducted with full transparency and bias mitigation. While authors are affiliated with Cancer Alpha development, we employed conservative scoring, independent validation, and complete methodology disclosure. All evaluation criteria and data sources are publicly available for independent verification.</w:t>
      </w:r>
    </w:p>
    <w:bookmarkEnd w:id="14"/>
    <w:bookmarkStart w:id="15" w:name="data-availability-and-reproducibility"/>
    <w:p>
      <w:pPr>
        <w:pStyle w:val="Heading2"/>
      </w:pPr>
      <w:r>
        <w:t xml:space="preserve">Data Availability and Reproducibility</w:t>
      </w:r>
    </w:p>
    <w:p>
      <w:pPr>
        <w:pStyle w:val="FirstParagraph"/>
      </w:pPr>
      <w:r>
        <w:t xml:space="preserve">In accordance with Nature Communications' open science principles, we provide:</w:t>
      </w:r>
    </w:p>
    <w:p>
      <w:pPr>
        <w:pStyle w:val="Compact"/>
        <w:numPr>
          <w:ilvl w:val="0"/>
          <w:numId w:val="1005"/>
        </w:numPr>
      </w:pPr>
      <w:r>
        <w:t xml:space="preserve">Complete evaluation dataset and scoring rubrics</w:t>
      </w:r>
    </w:p>
    <w:p>
      <w:pPr>
        <w:pStyle w:val="Compact"/>
        <w:numPr>
          <w:ilvl w:val="0"/>
          <w:numId w:val="1005"/>
        </w:numPr>
      </w:pPr>
      <w:r>
        <w:t xml:space="preserve">Full statistical analysis code</w:t>
      </w:r>
    </w:p>
    <w:p>
      <w:pPr>
        <w:pStyle w:val="Compact"/>
        <w:numPr>
          <w:ilvl w:val="0"/>
          <w:numId w:val="1005"/>
        </w:numPr>
      </w:pPr>
      <w:r>
        <w:t xml:space="preserve">Detailed methodology documentation</w:t>
      </w:r>
    </w:p>
    <w:p>
      <w:pPr>
        <w:pStyle w:val="Compact"/>
        <w:numPr>
          <w:ilvl w:val="0"/>
          <w:numId w:val="1005"/>
        </w:numPr>
      </w:pPr>
      <w:r>
        <w:t xml:space="preserve">All figure and table source data</w:t>
      </w:r>
    </w:p>
    <w:p>
      <w:pPr>
        <w:pStyle w:val="FirstParagraph"/>
      </w:pPr>
      <w:r>
        <w:t xml:space="preserve">This ensures full reproducibility and enables other researchers to apply our framework to additional systems or domains.</w:t>
      </w:r>
    </w:p>
    <w:bookmarkEnd w:id="15"/>
    <w:bookmarkStart w:id="16" w:name="format-and-scope"/>
    <w:p>
      <w:pPr>
        <w:pStyle w:val="Heading2"/>
      </w:pPr>
      <w:r>
        <w:t xml:space="preserve">Format and Scope</w:t>
      </w:r>
    </w:p>
    <w:p>
      <w:pPr>
        <w:pStyle w:val="FirstParagraph"/>
      </w:pPr>
      <w:r>
        <w:t xml:space="preserve">The manuscript (3,247 words excluding references) includes:</w:t>
      </w:r>
    </w:p>
    <w:p>
      <w:pPr>
        <w:pStyle w:val="Compact"/>
        <w:numPr>
          <w:ilvl w:val="0"/>
          <w:numId w:val="1006"/>
        </w:numPr>
      </w:pPr>
      <w:r>
        <w:t xml:space="preserve">2 publication-quality figures demonstrating competitive positioning and domain-specific analysis</w:t>
      </w:r>
    </w:p>
    <w:p>
      <w:pPr>
        <w:pStyle w:val="Compact"/>
        <w:numPr>
          <w:ilvl w:val="0"/>
          <w:numId w:val="1006"/>
        </w:numPr>
      </w:pPr>
      <w:r>
        <w:t xml:space="preserve">2 comprehensive tables providing detailed evaluation results</w:t>
      </w:r>
    </w:p>
    <w:p>
      <w:pPr>
        <w:pStyle w:val="Compact"/>
        <w:numPr>
          <w:ilvl w:val="0"/>
          <w:numId w:val="1006"/>
        </w:numPr>
      </w:pPr>
      <w:r>
        <w:t xml:space="preserve">Complete statistical analysis with rigorous methodology</w:t>
      </w:r>
    </w:p>
    <w:p>
      <w:pPr>
        <w:pStyle w:val="Compact"/>
        <w:numPr>
          <w:ilvl w:val="0"/>
          <w:numId w:val="1006"/>
        </w:numPr>
      </w:pPr>
      <w:r>
        <w:t xml:space="preserve">Comprehensive discussion of clinical implications and future directions</w:t>
      </w:r>
    </w:p>
    <w:bookmarkEnd w:id="16"/>
    <w:bookmarkStart w:id="17" w:name="conclusion"/>
    <w:p>
      <w:pPr>
        <w:pStyle w:val="Heading2"/>
      </w:pPr>
      <w:r>
        <w:t xml:space="preserve">Conclusion</w:t>
      </w:r>
    </w:p>
    <w:p>
      <w:pPr>
        <w:pStyle w:val="FirstParagraph"/>
      </w:pPr>
      <w:r>
        <w:t xml:space="preserve">This work fills a critical void in cancer AI evaluation methodology while demonstrating the successful achievement of clinical-grade AI performance. The systematic framework provides the field with essential tools for objective system comparison, while the competitive analysis reveals important insights about the current state of cancer AI development and clinical translation challenges.</w:t>
      </w:r>
    </w:p>
    <w:p>
      <w:pPr>
        <w:pStyle w:val="BodyText"/>
      </w:pPr>
      <w:r>
        <w:t xml:space="preserve">We believe this contribution aligns perfectly with Nature Communications' mission to publish high-quality research with broad scientific impact across disciplinary boundaries. The work addresses urgent clinical needs while advancing methodological standards for AI evaluation in healthcare.</w:t>
      </w:r>
    </w:p>
    <w:p>
      <w:pPr>
        <w:pStyle w:val="BodyText"/>
      </w:pPr>
      <w:r>
        <w:t xml:space="preserve">We confirm that this work has not been published elsewhere and is not under consideration by any other journal. All authors have approved the submission and agree to the conditions of submission to Nature Communications.</w:t>
      </w:r>
    </w:p>
    <w:p>
      <w:pPr>
        <w:pStyle w:val="BodyText"/>
      </w:pPr>
      <w:r>
        <w:t xml:space="preserve">Thank you for considering our manuscript. We look forward to your response and welcome any questions or requests for additional information.</w:t>
      </w:r>
    </w:p>
    <w:p>
      <w:pPr>
        <w:pStyle w:val="BodyText"/>
      </w:pPr>
      <w:r>
        <w:t xml:space="preserve">Sincerely,</w:t>
      </w:r>
      <w:r>
        <w:br/>
      </w:r>
      <w:r>
        <w:br/>
      </w:r>
      <w:r>
        <w:t xml:space="preserve">[Corresponding Author Name]</w:t>
      </w:r>
      <w:r>
        <w:br/>
      </w:r>
      <w:r>
        <w:t xml:space="preserve">[Title]</w:t>
      </w:r>
      <w:r>
        <w:br/>
      </w:r>
      <w:r>
        <w:t xml:space="preserve">[Institution]</w:t>
      </w:r>
      <w:r>
        <w:br/>
      </w:r>
      <w:r>
        <w:t xml:space="preserve">[Email]</w:t>
      </w:r>
      <w:r>
        <w:br/>
      </w:r>
      <w:r>
        <w:t xml:space="preserve">[Phone]</w:t>
      </w:r>
      <w:r>
        <w:br/>
      </w:r>
      <w:r>
        <w:br/>
      </w:r>
      <w:r>
        <w:rPr>
          <w:b/>
          <w:bCs/>
        </w:rPr>
        <w:t xml:space="preserve">Co-authors:</w:t>
      </w:r>
      <w:r>
        <w:br/>
      </w:r>
      <w:r>
        <w:t xml:space="preserve">[List all co-authors with affiliations]</w:t>
      </w:r>
      <w:r>
        <w:br/>
      </w:r>
      <w:r>
        <w:br/>
      </w:r>
      <w:r>
        <w:rPr>
          <w:b/>
          <w:bCs/>
        </w:rPr>
        <w:t xml:space="preserve">Corresponding Author:</w:t>
      </w:r>
      <w:r>
        <w:br/>
      </w:r>
      <w:r>
        <w:t xml:space="preserve">[Name]</w:t>
      </w:r>
      <w:r>
        <w:br/>
      </w:r>
      <w:r>
        <w:t xml:space="preserve">[Institution]</w:t>
      </w:r>
      <w:r>
        <w:br/>
      </w:r>
      <w:r>
        <w:t xml:space="preserve">[Address]</w:t>
      </w:r>
      <w:r>
        <w:br/>
      </w:r>
      <w:r>
        <w:t xml:space="preserve">[Email]</w:t>
      </w:r>
      <w:r>
        <w:br/>
      </w:r>
      <w:r>
        <w:t xml:space="preserve">[ORCID ID]</w:t>
      </w:r>
    </w:p>
    <w:p>
      <w:r>
        <w:pict>
          <v:rect style="width:0;height:1.5pt" o:hralign="center" o:hrstd="t" o:hr="t"/>
        </w:pict>
      </w:r>
    </w:p>
    <w:p>
      <w:pPr>
        <w:pStyle w:val="FirstParagraph"/>
      </w:pPr>
      <w:r>
        <w:rPr>
          <w:b/>
          <w:bCs/>
        </w:rPr>
        <w:t xml:space="preserve">Manuscript Details:</w:t>
      </w:r>
      <w:r>
        <w:br/>
      </w:r>
      <w:r>
        <w:t xml:space="preserve">•</w:t>
      </w:r>
      <w:r>
        <w:t xml:space="preserve"> </w:t>
      </w:r>
      <w:r>
        <w:rPr>
          <w:b/>
          <w:bCs/>
        </w:rPr>
        <w:t xml:space="preserve">Word Count</w:t>
      </w:r>
      <w:r>
        <w:t xml:space="preserve">: 3,247 (main text, excluding references)</w:t>
      </w:r>
      <w:r>
        <w:br/>
      </w:r>
      <w:r>
        <w:t xml:space="preserve">•</w:t>
      </w:r>
      <w:r>
        <w:t xml:space="preserve"> </w:t>
      </w:r>
      <w:r>
        <w:rPr>
          <w:b/>
          <w:bCs/>
        </w:rPr>
        <w:t xml:space="preserve">Figures</w:t>
      </w:r>
      <w:r>
        <w:t xml:space="preserve">: 2</w:t>
      </w:r>
      <w:r>
        <w:br/>
      </w:r>
      <w:r>
        <w:t xml:space="preserve">•</w:t>
      </w:r>
      <w:r>
        <w:t xml:space="preserve"> </w:t>
      </w:r>
      <w:r>
        <w:rPr>
          <w:b/>
          <w:bCs/>
        </w:rPr>
        <w:t xml:space="preserve">Tables</w:t>
      </w:r>
      <w:r>
        <w:t xml:space="preserve">: 2</w:t>
      </w:r>
      <w:r>
        <w:br/>
      </w:r>
      <w:r>
        <w:t xml:space="preserve">•</w:t>
      </w:r>
      <w:r>
        <w:t xml:space="preserve"> </w:t>
      </w:r>
      <w:r>
        <w:rPr>
          <w:b/>
          <w:bCs/>
        </w:rPr>
        <w:t xml:space="preserve">References</w:t>
      </w:r>
      <w:r>
        <w:t xml:space="preserve">: 15</w:t>
      </w:r>
      <w:r>
        <w:br/>
      </w:r>
      <w:r>
        <w:t xml:space="preserve">•</w:t>
      </w:r>
      <w:r>
        <w:t xml:space="preserve"> </w:t>
      </w:r>
      <w:r>
        <w:rPr>
          <w:b/>
          <w:bCs/>
        </w:rPr>
        <w:t xml:space="preserve">Supplementary Materials</w:t>
      </w:r>
      <w:r>
        <w:t xml:space="preserve">: Complete evaluation methodology and statistical analysis code</w:t>
      </w:r>
      <w:r>
        <w:br/>
      </w:r>
      <w:r>
        <w:br/>
      </w:r>
      <w:r>
        <w:rPr>
          <w:b/>
          <w:bCs/>
        </w:rPr>
        <w:t xml:space="preserve">Suggested Reviewers:</w:t>
      </w:r>
      <w:r>
        <w:br/>
      </w:r>
      <w:r>
        <w:t xml:space="preserve">1. Dr. [Expert in Cancer AI] - [Institution] - [Email]</w:t>
      </w:r>
      <w:r>
        <w:br/>
      </w:r>
      <w:r>
        <w:t xml:space="preserve">2. Dr. [Expert in Clinical AI Evaluation] - [Institution] - [Email]</w:t>
      </w:r>
      <w:r>
        <w:br/>
      </w:r>
      <w:r>
        <w:t xml:space="preserve">3. Dr. [Expert in Medical Device Regulation] - [Institution] - [Email]</w:t>
      </w:r>
      <w:r>
        <w:br/>
      </w:r>
      <w:r>
        <w:br/>
      </w:r>
      <w:r>
        <w:rPr>
          <w:b/>
          <w:bCs/>
        </w:rPr>
        <w:t xml:space="preserve">Competing Interests</w:t>
      </w:r>
      <w:r>
        <w:t xml:space="preserve">: Authors are affiliated with Cancer Alpha development. Bias mitigation protocols employed as detailed in manuscript.</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Communications Cover Letter</dc:title>
  <dc:creator/>
  <cp:keywords/>
  <dcterms:created xsi:type="dcterms:W3CDTF">2025-08-15T14:01:43Z</dcterms:created>
  <dcterms:modified xsi:type="dcterms:W3CDTF">2025-08-15T14:01:43Z</dcterms:modified>
</cp:coreProperties>
</file>

<file path=docProps/custom.xml><?xml version="1.0" encoding="utf-8"?>
<Properties xmlns="http://schemas.openxmlformats.org/officeDocument/2006/custom-properties" xmlns:vt="http://schemas.openxmlformats.org/officeDocument/2006/docPropsVTypes"/>
</file>