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df" ContentType="application/pdf"/>
  <Override PartName="/word/media/rId61.pdf" ContentType="application/pdf"/>
  <Override PartName="/word/media/rId65.pdf" ContentType="application/pdf"/>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Natural selection is empirical risk minimisation</w:t>
      </w:r>
    </w:p>
    <w:p>
      <w:pPr>
        <w:pStyle w:val="Author"/>
      </w:pPr>
      <w:r>
        <w:t xml:space="preserve">R. Craig Stillwell</w:t>
      </w:r>
      <w:r>
        <w:br/>
      </w:r>
      <w:r>
        <w:t xml:space="preserve">University of Kentucky</w:t>
      </w:r>
      <w:r>
        <w:br/>
      </w:r>
      <w:hyperlink r:id="rId9">
        <w:r>
          <w:rPr>
            <w:rStyle w:val="Hyperlink"/>
          </w:rPr>
          <w:t xml:space="preserve">craig.stillwell@gmail.com</w:t>
        </w:r>
      </w:hyperlink>
    </w:p>
    <w:p>
      <w:pPr>
        <w:pStyle w:val="AbstractTitle"/>
      </w:pPr>
      <w:r>
        <w:t xml:space="preserve">Abstract</w:t>
      </w:r>
    </w:p>
    <w:p>
      <w:pPr>
        <w:pStyle w:val="Abstract"/>
      </w:pPr>
      <w:r>
        <w:t xml:space="preserve">Drug resistance is responsible for the majority of cancer deaths, yet its evolutionary dynamics remain poorly predicted at treatment initiation. Here we show that resistance evolution timing across nine cancer types is predictable with</w:t>
      </w:r>
      <w:r>
        <w:t xml:space="preserve"> </w:t>
      </w:r>
      <m:oMath>
        <m:r>
          <m:t>r</m:t>
        </m:r>
        <m:r>
          <m:rPr>
            <m:sty m:val="p"/>
          </m:rPr>
          <m:t>=</m:t>
        </m:r>
        <m:r>
          <m:t>0.96</m:t>
        </m:r>
      </m:oMath>
      <w:r>
        <w:t xml:space="preserve"> </w:t>
      </w:r>
      <w:r>
        <w:t xml:space="preserve">(</w:t>
      </w:r>
      <m:oMath>
        <m:r>
          <m:t>p</m:t>
        </m:r>
        <m:r>
          <m:rPr>
            <m:sty m:val="p"/>
          </m:rPr>
          <m:t>&lt;</m:t>
        </m:r>
        <m:r>
          <m:t>0.0001</m:t>
        </m:r>
      </m:oMath>
      <w:r>
        <w:t xml:space="preserve">) using a formula parameterized by two quantities already measured in standard clinical sequencing pipelines: intratumour heterogeneity (</w:t>
      </w:r>
      <m:oMath>
        <m:sSup>
          <m:e>
            <m:r>
              <m:t>h</m:t>
            </m:r>
          </m:e>
          <m:sup>
            <m:r>
              <m:t>2</m:t>
            </m:r>
          </m:sup>
        </m:sSup>
      </m:oMath>
      <w:r>
        <w:t xml:space="preserve"> </w:t>
      </w:r>
      <w:r>
        <w:t xml:space="preserve">proxy) and effective population size (</w:t>
      </w:r>
      <m:oMath>
        <m:sSub>
          <m:e>
            <m:r>
              <m:t>N</m:t>
            </m:r>
          </m:e>
          <m:sub>
            <m:r>
              <m:t>e</m:t>
            </m:r>
          </m:sub>
        </m:sSub>
      </m:oMath>
      <w:r>
        <w:t xml:space="preserve">). This predictive power arises from a formal proof that evolutionary quantitative genetics and PAC learning theory are instances of a single mathematical structure: empirical risk minimization on a Fisher-information manifold under a capacity constraint. Fisher’s Fundamental Theorem of Natural Selection, the Price Equation, and PAC generalization bounds are facets of this shared geometry; additive genetic variance</w:t>
      </w:r>
      <w:r>
        <w:t xml:space="preserve"> </w:t>
      </w:r>
      <m:oMath>
        <m:sSub>
          <m:e>
            <m:r>
              <m:t>V</m:t>
            </m:r>
          </m:e>
          <m:sub>
            <m:r>
              <m:t>A</m:t>
            </m:r>
          </m:sub>
        </m:sSub>
      </m:oMath>
      <w:r>
        <w:t xml:space="preserve"> </w:t>
      </w:r>
      <w:r>
        <w:t xml:space="preserve">is the evolutionary analogue of Rademacher complexity and</w:t>
      </w:r>
      <w:r>
        <w:t xml:space="preserve"> </w:t>
      </w:r>
      <m:oMath>
        <m:sSub>
          <m:e>
            <m:r>
              <m:t>N</m:t>
            </m:r>
          </m:e>
          <m:sub>
            <m:r>
              <m:t>e</m:t>
            </m:r>
          </m:sub>
        </m:sSub>
      </m:oMath>
      <w:r>
        <w:t xml:space="preserve"> </w:t>
      </w:r>
      <w:r>
        <w:t xml:space="preserve">plays the role of training set size. From this structure we derive the evolutionary sample complexity threshold</w:t>
      </w:r>
      <w:r>
        <w:t xml:space="preserve"> </w:t>
      </w:r>
      <m:oMath>
        <m:sSubSup>
          <m:e>
            <m:r>
              <m:t>N</m:t>
            </m:r>
          </m:e>
          <m:sub>
            <m:r>
              <m:t>e</m:t>
            </m:r>
          </m:sub>
          <m:sup>
            <m:r>
              <m:rPr>
                <m:sty m:val="p"/>
              </m:rPr>
              <m:t>*</m:t>
            </m:r>
          </m:sup>
        </m:sSubSup>
      </m:oMath>
      <w:r>
        <w:t xml:space="preserve">—the tumour cell burden below which reliable resistance evolution is mathematically precluded—and show it is computable at diagnosis from data already in the clinical record. Standard-of-care sequential monotherapy inadvertently provides tumours with the iterative training loops that maximise evolutionary learning; upfront combination therapy maintaining</w:t>
      </w:r>
      <w:r>
        <w:t xml:space="preserve"> </w:t>
      </w:r>
      <m:oMath>
        <m:sSub>
          <m:e>
            <m:r>
              <m:t>N</m:t>
            </m:r>
          </m:e>
          <m:sub>
            <m:r>
              <m:t>e</m:t>
            </m:r>
          </m:sub>
        </m:sSub>
        <m:r>
          <m:rPr>
            <m:sty m:val="p"/>
          </m:rPr>
          <m:t>&lt;</m:t>
        </m:r>
        <m:sSubSup>
          <m:e>
            <m:r>
              <m:t>N</m:t>
            </m:r>
          </m:e>
          <m:sub>
            <m:r>
              <m:t>e</m:t>
            </m:r>
          </m:sub>
          <m:sup>
            <m:r>
              <m:rPr>
                <m:sty m:val="p"/>
              </m:rPr>
              <m:t>*</m:t>
            </m:r>
          </m:sup>
        </m:sSubSup>
      </m:oMath>
      <w:r>
        <w:t xml:space="preserve"> </w:t>
      </w:r>
      <w:r>
        <w:t xml:space="preserve">may close the evolutionary search space before resistance can be discovered. These connections are established by formal proof under the infinitesimal model and additive genetic architecture, yielding a computable, clinically testable threshold.</w:t>
      </w:r>
    </w:p>
    <w:bookmarkStart w:id="10" w:name="introduction"/>
    <w:p>
      <w:pPr>
        <w:pStyle w:val="Heading1"/>
      </w:pPr>
      <w:r>
        <w:t xml:space="preserve">Introduction</w:t>
      </w:r>
    </w:p>
    <w:p>
      <w:pPr>
        <w:pStyle w:val="FirstParagraph"/>
      </w:pPr>
      <w:r>
        <w:t xml:space="preserve">The central unsolved problem in oncology is not finding drugs that kill cancer cells—we have many. The problem is that tumours reliably evolve resistance to them. A targeted agent that eliminates 99.9% of a tumour population still leaves a surviving subpopulation under intense directional selection; from those cells a resistant clone typically emerges within months </w:t>
      </w:r>
      <w:r>
        <w:t xml:space="preserve">(Williams et al. 2016;</w:t>
      </w:r>
      <w:r>
        <w:t xml:space="preserve"> </w:t>
      </w:r>
      <w:r>
        <w:t xml:space="preserve">Abbosh et al.</w:t>
      </w:r>
      <w:r>
        <w:t xml:space="preserve"> </w:t>
      </w:r>
      <w:r>
        <w:t xml:space="preserve">2023)</w:t>
      </w:r>
      <w:r>
        <w:t xml:space="preserve">. The standard clinical response is reactive: sequence the relapsed tumour, identify the new resistance driver, switch drugs, and wait for the next relapse. This cycle persists not because resistance is biologically inevitable, but because the quantitative framework to predict and prevent it has not yet been made explicit. We argue here that it has been available for decades, written in the shared mathematics of two fields that have never been formally connected.</w:t>
      </w:r>
    </w:p>
    <w:p>
      <w:pPr>
        <w:pStyle w:val="BodyText"/>
      </w:pPr>
      <w:r>
        <w:t xml:space="preserve">Those two fields are evolutionary quantitative genetics </w:t>
      </w:r>
      <w:r>
        <w:t xml:space="preserve">(Fisher 1918; Price 1970; Lande 1979)</w:t>
      </w:r>
      <w:r>
        <w:t xml:space="preserve"> </w:t>
      </w:r>
      <w:r>
        <w:t xml:space="preserve">and statistical learning theory </w:t>
      </w:r>
      <w:r>
        <w:t xml:space="preserve">(Vapnik and Chervonenkis 1971; Valiant 1984)</w:t>
      </w:r>
      <w:r>
        <w:t xml:space="preserve">. The first describes how biological populations extract adaptive signal from selective experience. The second describes how machine learning algorithms extract predictive signal from training data. Here we prove that both are instances of empirical risk minimization on a Fisher-information manifold under a capacity constraint—and that recognising this yields a single computable threshold,</w:t>
      </w:r>
      <w:r>
        <w:t xml:space="preserve"> </w:t>
      </w:r>
      <m:oMath>
        <m:sSubSup>
          <m:e>
            <m:r>
              <m:t>N</m:t>
            </m:r>
          </m:e>
          <m:sub>
            <m:r>
              <m:t>e</m:t>
            </m:r>
          </m:sub>
          <m:sup>
            <m:r>
              <m:rPr>
                <m:sty m:val="p"/>
              </m:rPr>
              <m:t>*</m:t>
            </m:r>
          </m:sup>
        </m:sSubSup>
      </m:oMath>
      <w:r>
        <w:t xml:space="preserve">, that determines whether a tumour has sufficient selective experience to reliably evolve drug resistance. Validation across nine cancer types yields</w:t>
      </w:r>
      <w:r>
        <w:t xml:space="preserve"> </w:t>
      </w:r>
      <m:oMath>
        <m:r>
          <m:t>r</m:t>
        </m:r>
        <m:r>
          <m:rPr>
            <m:sty m:val="p"/>
          </m:rPr>
          <m:t>=</m:t>
        </m:r>
        <m:r>
          <m:t>0.96</m:t>
        </m:r>
      </m:oMath>
      <w:r>
        <w:t xml:space="preserve"> </w:t>
      </w:r>
      <w:r>
        <w:t xml:space="preserve">(</w:t>
      </w:r>
      <m:oMath>
        <m:r>
          <m:t>p</m:t>
        </m:r>
        <m:r>
          <m:rPr>
            <m:sty m:val="p"/>
          </m:rPr>
          <m:t>&lt;</m:t>
        </m:r>
        <m:r>
          <m:t>0.0001</m:t>
        </m:r>
      </m:oMath>
      <w:r>
        <w:t xml:space="preserve">).</w:t>
      </w:r>
    </w:p>
    <w:p>
      <w:pPr>
        <w:pStyle w:val="BodyText"/>
      </w:pPr>
      <w:r>
        <w:t xml:space="preserve">For readers from evolutionary biology: the core results are that Fisher’s Fundamental Theorem of Natural Selection is the convergence theorem for natural gradient ascent (Theorem 1), the Price Equation is the first-order condition for empirical risk minimization (Theorem 2), and the breeder’s equation</w:t>
      </w:r>
      <w:r>
        <w:t xml:space="preserve"> </w:t>
      </w:r>
      <m:oMath>
        <m:r>
          <m:t>R</m:t>
        </m:r>
        <m:r>
          <m:rPr>
            <m:sty m:val="p"/>
          </m:rPr>
          <m:t>=</m:t>
        </m:r>
        <m:sSup>
          <m:e>
            <m:r>
              <m:t>h</m:t>
            </m:r>
          </m:e>
          <m:sup>
            <m:r>
              <m:t>2</m:t>
            </m:r>
          </m:sup>
        </m:sSup>
        <m:r>
          <m:t>S</m:t>
        </m:r>
      </m:oMath>
      <w:r>
        <w:t xml:space="preserve"> </w:t>
      </w:r>
      <w:r>
        <w:t xml:space="preserve">is, under the infinitesimal model, the single-generation PAC generalization bound. The first two results hold as geometric theorems; the third is a functional correspondence under the same conditions. Together, they give the FTNS a canonical geometric interpretation as a convergence rate—offering a resolution of longstanding interpretive debates </w:t>
      </w:r>
      <w:r>
        <w:t xml:space="preserve">(Ewens 1989; Lessard 1997)</w:t>
      </w:r>
      <w:r>
        <w:t xml:space="preserve">. For readers from machine learning: the measurable parameters of population genetics—</w:t>
      </w:r>
      <m:oMath>
        <m:sSub>
          <m:e>
            <m:r>
              <m:t>V</m:t>
            </m:r>
          </m:e>
          <m:sub>
            <m:r>
              <m:t>A</m:t>
            </m:r>
          </m:sub>
        </m:sSub>
      </m:oMath>
      <w:r>
        <w:t xml:space="preserve">,</w:t>
      </w:r>
      <w:r>
        <w:t xml:space="preserve"> </w:t>
      </w:r>
      <m:oMath>
        <m:sSup>
          <m:e>
            <m:r>
              <m:t>h</m:t>
            </m:r>
          </m:e>
          <m:sup>
            <m:r>
              <m:t>2</m:t>
            </m:r>
          </m:sup>
        </m:sSup>
      </m:oMath>
      <w:r>
        <w:t xml:space="preserve">,</w:t>
      </w:r>
      <w:r>
        <w:t xml:space="preserve"> </w:t>
      </w:r>
      <m:oMath>
        <m:sSub>
          <m:e>
            <m:r>
              <m:t>N</m:t>
            </m:r>
          </m:e>
          <m:sub>
            <m:r>
              <m:t>e</m:t>
            </m:r>
          </m:sub>
        </m:sSub>
      </m:oMath>
      <w:r>
        <w:t xml:space="preserve">,</w:t>
      </w:r>
      <w:r>
        <w:t xml:space="preserve"> </w:t>
      </w:r>
      <m:oMath>
        <m:r>
          <m:rPr>
            <m:sty m:val="bi"/>
          </m:rPr>
          <m:t>G</m:t>
        </m:r>
      </m:oMath>
      <w:r>
        <w:t xml:space="preserve">—are the functional counterparts of Rademacher complexity, signal-to-noise ratio, training set size, and VC dimension (Table 1); and natural selection predates Amari’s natural gradient algorithm </w:t>
      </w:r>
      <w:r>
        <w:t xml:space="preserve">(Amari 1998)</w:t>
      </w:r>
      <w:r>
        <w:t xml:space="preserve"> </w:t>
      </w:r>
      <w:r>
        <w:t xml:space="preserve">by 3.8 billion years.</w:t>
      </w:r>
    </w:p>
    <w:p>
      <w:pPr>
        <w:pStyle w:val="BodyText"/>
      </w:pPr>
      <w:r>
        <w:t xml:space="preserve">Consider the parallel explicitly. An evolving population of</w:t>
      </w:r>
      <w:r>
        <w:t xml:space="preserve"> </w:t>
      </w:r>
      <m:oMath>
        <m:sSub>
          <m:e>
            <m:r>
              <m:t>N</m:t>
            </m:r>
          </m:e>
          <m:sub>
            <m:r>
              <m:t>e</m:t>
            </m:r>
          </m:sub>
        </m:sSub>
      </m:oMath>
      <w:r>
        <w:t xml:space="preserve"> </w:t>
      </w:r>
      <w:r>
        <w:t xml:space="preserve">individuals undergoes</w:t>
      </w:r>
      <w:r>
        <w:t xml:space="preserve"> </w:t>
      </w:r>
      <m:oMath>
        <m:r>
          <m:t>T</m:t>
        </m:r>
      </m:oMath>
      <w:r>
        <w:t xml:space="preserve"> </w:t>
      </w:r>
      <w:r>
        <w:t xml:space="preserve">generations of selection in an environment that rewards certain phenotypes. The population</w:t>
      </w:r>
      <w:r>
        <w:t xml:space="preserve"> </w:t>
      </w:r>
      <w:r>
        <w:t xml:space="preserve">“learns”</w:t>
      </w:r>
      <w:r>
        <w:t xml:space="preserve"> </w:t>
      </w:r>
      <w:r>
        <w:t xml:space="preserve">an adaptive phenotype from</w:t>
      </w:r>
      <w:r>
        <w:t xml:space="preserve"> </w:t>
      </w:r>
      <m:oMath>
        <m:r>
          <m:t>T</m:t>
        </m:r>
        <m:r>
          <m:rPr>
            <m:sty m:val="p"/>
          </m:rPr>
          <m:t>⋅</m:t>
        </m:r>
        <m:sSub>
          <m:e>
            <m:r>
              <m:t>N</m:t>
            </m:r>
          </m:e>
          <m:sub>
            <m:r>
              <m:t>e</m:t>
            </m:r>
          </m:sub>
        </m:sSub>
      </m:oMath>
      <w:r>
        <w:t xml:space="preserve"> </w:t>
      </w:r>
      <w:r>
        <w:t xml:space="preserve">individual selective events. A machine learning model, trained on</w:t>
      </w:r>
      <w:r>
        <w:t xml:space="preserve"> </w:t>
      </w:r>
      <m:oMath>
        <m:r>
          <m:t>n</m:t>
        </m:r>
      </m:oMath>
      <w:r>
        <w:t xml:space="preserve"> </w:t>
      </w:r>
      <w:r>
        <w:t xml:space="preserve">data points drawn from an unknown distribution, learns a predictive function. In both cases, the fundamental tension is identical: the expressiveness of the learner—genetic capacity in evolution, model capacity in ML—must be balanced against the reliability of the learned solution given limited data—genetic drift in evolution, statistical overfitting in ML. Both processes face the same sample complexity problem, and both face the same capacity–accuracy tradeoff.</w:t>
      </w:r>
    </w:p>
    <w:p>
      <w:pPr>
        <w:pStyle w:val="BodyText"/>
      </w:pPr>
      <w:r>
        <w:t xml:space="preserve">The mathematical signatures of this shared structure are not hidden. Fisher’s Fundamental Theorem of Natural Selection (FTNS) states that the rate of increase in mean fitness equals the additive genetic variance:</w:t>
      </w:r>
      <w:r>
        <w:t xml:space="preserve"> </w:t>
      </w:r>
      <m:oMath>
        <m:r>
          <m:t>d</m:t>
        </m:r>
        <m:acc>
          <m:accPr>
            <m:chr m:val="‾"/>
          </m:accPr>
          <m:e>
            <m:r>
              <m:t>W</m:t>
            </m:r>
          </m:e>
        </m:acc>
        <m:r>
          <m:rPr>
            <m:sty m:val="p"/>
          </m:rPr>
          <m:t>/</m:t>
        </m:r>
        <m:r>
          <m:t>d</m:t>
        </m:r>
        <m:r>
          <m:t>t</m:t>
        </m:r>
        <m:r>
          <m:rPr>
            <m:sty m:val="p"/>
          </m:rPr>
          <m:t>=</m:t>
        </m:r>
        <m:sSub>
          <m:e>
            <m:r>
              <m:t>V</m:t>
            </m:r>
          </m:e>
          <m:sub>
            <m:r>
              <m:t>A</m:t>
            </m:r>
          </m:sub>
        </m:sSub>
        <m:r>
          <m:rPr>
            <m:sty m:val="p"/>
          </m:rPr>
          <m:t>/</m:t>
        </m:r>
        <m:acc>
          <m:accPr>
            <m:chr m:val="‾"/>
          </m:accPr>
          <m:e>
            <m:r>
              <m:t>W</m:t>
            </m:r>
          </m:e>
        </m:acc>
      </m:oMath>
      <w:r>
        <w:t xml:space="preserve">. This is, as we prove below, the convergence rate theorem for natural gradient ascent on the allele-frequency manifold equipped with the Fisher information metric—a statement that has appeared independently in machine learning as the central result of natural gradient theory. The Price Equation, which decomposes the change in any population mean into a selection component and a transmission component, is, as we prove, the first-order optimality condition for empirical risk minimization (ERM) on the manifold of population states. The breeder’s equation,</w:t>
      </w:r>
      <w:r>
        <w:t xml:space="preserve"> </w:t>
      </w:r>
      <m:oMath>
        <m:r>
          <m:t>R</m:t>
        </m:r>
        <m:r>
          <m:rPr>
            <m:sty m:val="p"/>
          </m:rPr>
          <m:t>=</m:t>
        </m:r>
        <m:sSup>
          <m:e>
            <m:r>
              <m:t>h</m:t>
            </m:r>
          </m:e>
          <m:sup>
            <m:r>
              <m:t>2</m:t>
            </m:r>
          </m:sup>
        </m:sSup>
        <m:r>
          <m:t>S</m:t>
        </m:r>
      </m:oMath>
      <w:r>
        <w:t xml:space="preserve">, which states that response to selection is proportional to heritability, is, as we derive, the PAC sample complexity bound in evolutionary coordinates, with heritability playing the role of a signal-to-noise ratio.</w:t>
      </w:r>
    </w:p>
    <w:p>
      <w:pPr>
        <w:pStyle w:val="BodyText"/>
      </w:pPr>
      <w:r>
        <w:t xml:space="preserve">Prior work approached parts of this connection. Frank </w:t>
      </w:r>
      <w:r>
        <w:t xml:space="preserve">(Frank 2009, 2012)</w:t>
      </w:r>
      <w:r>
        <w:t xml:space="preserve"> </w:t>
      </w:r>
      <w:r>
        <w:t xml:space="preserve">gave an information-geometric reading of the FTNS but did not reach PAC learning or quantitative genetics parameters. Chastain et al. </w:t>
      </w:r>
      <w:r>
        <w:t xml:space="preserve">(Chastain et al. 2014)</w:t>
      </w:r>
      <w:r>
        <w:t xml:space="preserve"> </w:t>
      </w:r>
      <w:r>
        <w:t xml:space="preserve">proved that haplotype selection is equivalent to the multiplicative weights update algorithm—a precise correspondence with online learning—but stopped short of generalization theory. The information-geometric foundation common to both fields </w:t>
      </w:r>
      <w:r>
        <w:t xml:space="preserve">(Amari and Nagaoka 2000)</w:t>
      </w:r>
      <w:r>
        <w:t xml:space="preserve"> </w:t>
      </w:r>
      <w:r>
        <w:t xml:space="preserve">was never connected to population genetics.</w:t>
      </w:r>
    </w:p>
    <w:p>
      <w:pPr>
        <w:pStyle w:val="BodyText"/>
      </w:pPr>
      <w:r>
        <w:t xml:space="preserve">The closest prior work is Valiant’s PAC-evolvability framework </w:t>
      </w:r>
      <w:r>
        <w:t xml:space="preserve">(Valiant 2009)</w:t>
      </w:r>
      <w:r>
        <w:t xml:space="preserve">: a Boolean function is evolvable if a population converges to it with high probability in polynomial time, under simplified binary-phenotype, drift-free conditions. This landmark result established that biological evolution can be formalized as a PAC-learning process. The present paper builds directly on that foundation.</w:t>
      </w:r>
    </w:p>
    <w:p>
      <w:pPr>
        <w:pStyle w:val="BodyText"/>
      </w:pPr>
      <w:r>
        <w:t xml:space="preserve">What Valiant </w:t>
      </w:r>
      <w:r>
        <w:t xml:space="preserve">(Valiant 2009)</w:t>
      </w:r>
      <w:r>
        <w:t xml:space="preserve"> </w:t>
      </w:r>
      <w:r>
        <w:t xml:space="preserve">left open was the connection to measurable quantitative genetics. His model assumes binary phenotypes, infinite population size (no drift), and parameters with no empirical counterpart: the quantities evolutionary geneticists actually measure—</w:t>
      </w:r>
      <m:oMath>
        <m:sSub>
          <m:e>
            <m:r>
              <m:t>V</m:t>
            </m:r>
          </m:e>
          <m:sub>
            <m:r>
              <m:t>A</m:t>
            </m:r>
          </m:sub>
        </m:sSub>
      </m:oMath>
      <w:r>
        <w:t xml:space="preserve">,</w:t>
      </w:r>
      <w:r>
        <w:t xml:space="preserve"> </w:t>
      </w:r>
      <m:oMath>
        <m:sSup>
          <m:e>
            <m:r>
              <m:t>h</m:t>
            </m:r>
          </m:e>
          <m:sup>
            <m:r>
              <m:t>2</m:t>
            </m:r>
          </m:sup>
        </m:sSup>
      </m:oMath>
      <w:r>
        <w:t xml:space="preserve">,</w:t>
      </w:r>
      <w:r>
        <w:t xml:space="preserve"> </w:t>
      </w:r>
      <m:oMath>
        <m:sSub>
          <m:e>
            <m:r>
              <m:t>N</m:t>
            </m:r>
          </m:e>
          <m:sub>
            <m:r>
              <m:t>e</m:t>
            </m:r>
          </m:sub>
        </m:sSub>
      </m:oMath>
      <w:r>
        <w:t xml:space="preserve">,</w:t>
      </w:r>
      <w:r>
        <w:t xml:space="preserve"> </w:t>
      </w:r>
      <m:oMath>
        <m:r>
          <m:rPr>
            <m:sty m:val="bi"/>
          </m:rPr>
          <m:t>G</m:t>
        </m:r>
      </m:oMath>
      <w:r>
        <w:t xml:space="preserve">—do not appear in his bounds, leaving no testable predictions for real populations.</w:t>
      </w:r>
    </w:p>
    <w:p>
      <w:pPr>
        <w:pStyle w:val="BodyText"/>
      </w:pPr>
      <w:r>
        <w:t xml:space="preserve">This paper completes the correspondence that Valiant opened. Our contributions are as follows. First, we prove that FTNS is the natural gradient convergence theorem on the allele-frequency manifold (Theorem 1). Second, we prove that the Price Equation is the first-order condition for empirical risk minimization on the manifold of population states, with the transmission term corresponding to meta-learning in the ML sense (Theorem 2). Third, we derive explicit PAC-style generalization bounds for evolutionary processes under the infinitesimal model, parameterized by</w:t>
      </w:r>
      <w:r>
        <w:t xml:space="preserve"> </w:t>
      </w:r>
      <m:oMath>
        <m:sSub>
          <m:e>
            <m:r>
              <m:t>V</m:t>
            </m:r>
          </m:e>
          <m:sub>
            <m:r>
              <m:t>A</m:t>
            </m:r>
          </m:sub>
        </m:sSub>
      </m:oMath>
      <w:r>
        <w:t xml:space="preserve">,</w:t>
      </w:r>
      <w:r>
        <w:t xml:space="preserve"> </w:t>
      </w:r>
      <m:oMath>
        <m:sSup>
          <m:e>
            <m:r>
              <m:t>h</m:t>
            </m:r>
          </m:e>
          <m:sup>
            <m:r>
              <m:t>2</m:t>
            </m:r>
          </m:sup>
        </m:sSup>
      </m:oMath>
      <w:r>
        <w:t xml:space="preserve">,</w:t>
      </w:r>
      <w:r>
        <w:t xml:space="preserve"> </w:t>
      </w:r>
      <m:oMath>
        <m:sSub>
          <m:e>
            <m:r>
              <m:t>N</m:t>
            </m:r>
          </m:e>
          <m:sub>
            <m:r>
              <m:t>e</m:t>
            </m:r>
          </m:sub>
        </m:sSub>
      </m:oMath>
      <w:r>
        <w:t xml:space="preserve">, and</w:t>
      </w:r>
      <w:r>
        <w:t xml:space="preserve"> </w:t>
      </w:r>
      <m:oMath>
        <m:r>
          <m:t>μ</m:t>
        </m:r>
      </m:oMath>
      <w:r>
        <w:t xml:space="preserve">—quantities that are directly measurable from population data (Theorem 3). Fourth, we prove that in the multivariate case, the rank of the</w:t>
      </w:r>
      <w:r>
        <w:t xml:space="preserve"> </w:t>
      </w:r>
      <m:oMath>
        <m:r>
          <m:rPr>
            <m:sty m:val="bi"/>
          </m:rPr>
          <m:t>G</m:t>
        </m:r>
      </m:oMath>
      <w:r>
        <w:t xml:space="preserve"> </w:t>
      </w:r>
      <w:r>
        <w:t xml:space="preserve">matrix plays the role of VC dimension in multivariate evolutionary learning, and the eigenvalue spectrum of</w:t>
      </w:r>
      <w:r>
        <w:t xml:space="preserve"> </w:t>
      </w:r>
      <m:oMath>
        <m:r>
          <m:rPr>
            <m:sty m:val="bi"/>
          </m:rPr>
          <m:t>G</m:t>
        </m:r>
      </m:oMath>
      <w:r>
        <w:t xml:space="preserve"> </w:t>
      </w:r>
      <w:r>
        <w:t xml:space="preserve">gives the per-dimension learning difficulty (Theorem 4). Fifth, we validate Theorem 3 empirically using cancer evolutionary genomics data, in which</w:t>
      </w:r>
      <w:r>
        <w:t xml:space="preserve"> </w:t>
      </w:r>
      <m:oMath>
        <m:sSub>
          <m:e>
            <m:r>
              <m:t>N</m:t>
            </m:r>
          </m:e>
          <m:sub>
            <m:r>
              <m:t>e</m:t>
            </m:r>
          </m:sub>
        </m:sSub>
      </m:oMath>
      <w:r>
        <w:t xml:space="preserve">,</w:t>
      </w:r>
      <w:r>
        <w:t xml:space="preserve"> </w:t>
      </w:r>
      <m:oMath>
        <m:sSub>
          <m:e>
            <m:r>
              <m:t>V</m:t>
            </m:r>
          </m:e>
          <m:sub>
            <m:r>
              <m:t>A</m:t>
            </m:r>
          </m:sub>
        </m:sSub>
      </m:oMath>
      <w:r>
        <w:t xml:space="preserve">, and selection coefficients are directly estimable.</w:t>
      </w:r>
    </w:p>
    <w:bookmarkEnd w:id="10"/>
    <w:bookmarkStart w:id="27" w:name="results"/>
    <w:p>
      <w:pPr>
        <w:pStyle w:val="Heading1"/>
      </w:pPr>
      <w:r>
        <w:t xml:space="preserve">Results</w:t>
      </w:r>
    </w:p>
    <w:p>
      <w:pPr>
        <w:pStyle w:val="FirstParagraph"/>
      </w:pPr>
      <w:r>
        <w:t xml:space="preserve">The empirical centerpiece of this paper is a cross-cancer validation in Figure 3: the theoretical PAC bound</w:t>
      </w:r>
      <w:r>
        <w:t xml:space="preserve"> </w:t>
      </w:r>
      <m:oMath>
        <m:sSup>
          <m:e>
            <m:r>
              <m:t>ε</m:t>
            </m:r>
          </m:e>
          <m:sup>
            <m:r>
              <m:rPr>
                <m:sty m:val="p"/>
              </m:rPr>
              <m:t>*</m:t>
            </m:r>
          </m:sup>
        </m:sSup>
        <m:r>
          <m:rPr>
            <m:sty m:val="p"/>
          </m:rPr>
          <m:t>(</m:t>
        </m:r>
        <m:sSub>
          <m:e>
            <m:r>
              <m:t>N</m:t>
            </m:r>
          </m:e>
          <m:sub>
            <m:r>
              <m:t>e</m:t>
            </m:r>
          </m:sub>
        </m:sSub>
        <m:r>
          <m:rPr>
            <m:sty m:val="p"/>
          </m:rPr>
          <m:t>,</m:t>
        </m:r>
        <m:sSub>
          <m:e>
            <m:r>
              <m:t>V</m:t>
            </m:r>
          </m:e>
          <m:sub>
            <m:r>
              <m:t>A</m:t>
            </m:r>
          </m:sub>
        </m:sSub>
        <m:r>
          <m:rPr>
            <m:sty m:val="p"/>
          </m:rPr>
          <m:t>)</m:t>
        </m:r>
      </m:oMath>
      <w:r>
        <w:t xml:space="preserve"> </w:t>
      </w:r>
      <w:r>
        <w:t xml:space="preserve">derived in Theorem </w:t>
      </w:r>
      <w:hyperlink w:anchor="thm:pac">
        <w:r>
          <w:rPr>
            <w:rStyle w:val="Hyperlink"/>
          </w:rPr>
          <w:t xml:space="preserve">5</w:t>
        </w:r>
      </w:hyperlink>
      <w:r>
        <w:t xml:space="preserve"> </w:t>
      </w:r>
      <w:r>
        <w:t xml:space="preserve">correlates with observed resistance durability at</w:t>
      </w:r>
      <w:r>
        <w:t xml:space="preserve"> </w:t>
      </w:r>
      <m:oMath>
        <m:r>
          <m:t>r</m:t>
        </m:r>
        <m:r>
          <m:rPr>
            <m:sty m:val="p"/>
          </m:rPr>
          <m:t>=</m:t>
        </m:r>
        <m:r>
          <m:t>0.96</m:t>
        </m:r>
      </m:oMath>
      <w:r>
        <w:t xml:space="preserve"> </w:t>
      </w:r>
      <w:r>
        <w:t xml:space="preserve">(</w:t>
      </w:r>
      <m:oMath>
        <m:r>
          <m:t>p</m:t>
        </m:r>
        <m:r>
          <m:rPr>
            <m:sty m:val="p"/>
          </m:rPr>
          <m:t>&lt;</m:t>
        </m:r>
        <m:r>
          <m:t>0.0001</m:t>
        </m:r>
      </m:oMath>
      <w:r>
        <w:t xml:space="preserve">) across nine cancer types. This quantitative prediction—derived entirely from first principles using only quantities measurable in clinical sequencing pipelines—confirms that the evolutionary sample complexity threshold</w:t>
      </w:r>
      <w:r>
        <w:t xml:space="preserve"> </w:t>
      </w:r>
      <m:oMath>
        <m:sSubSup>
          <m:e>
            <m:r>
              <m:t>N</m:t>
            </m:r>
          </m:e>
          <m:sub>
            <m:r>
              <m:t>e</m:t>
            </m:r>
          </m:sub>
          <m:sup>
            <m:r>
              <m:rPr>
                <m:sty m:val="p"/>
              </m:rPr>
              <m:t>*</m:t>
            </m:r>
          </m:sup>
        </m:sSubSup>
      </m:oMath>
      <w:r>
        <w:t xml:space="preserve"> </w:t>
      </w:r>
      <w:r>
        <w:t xml:space="preserve">is a real, predictive clinical parameter. The following subsections develop the theoretical framework that predicts and explains this result.</w:t>
      </w:r>
    </w:p>
    <w:bookmarkStart w:id="12" w:name="the-formal-correspondence"/>
    <w:p>
      <w:pPr>
        <w:pStyle w:val="Heading2"/>
      </w:pPr>
      <w:r>
        <w:t xml:space="preserve">The Formal Correspondence</w:t>
      </w:r>
    </w:p>
    <w:p>
      <w:pPr>
        <w:pStyle w:val="FirstParagraph"/>
      </w:pPr>
      <w:r>
        <w:t xml:space="preserve">The core claim of this paper is that evolutionary quantitative genetics and PAC learning theory are two parameterizations of the same underlying mathematical object: empirical risk minimization on a statistical manifold under a capacity constraint. Table 1 states the complete correspondence.</w:t>
      </w:r>
    </w:p>
    <w:bookmarkStart w:id="11" w:name="tab:correspondence"/>
    <w:p>
      <w:pPr>
        <w:pStyle w:val="TableCaption"/>
      </w:pPr>
      <w:r>
        <w:t xml:space="preserve">Formal correspondence between evolutionary quantitative genetics and PAC learning theory.</w:t>
      </w:r>
    </w:p>
    <w:tbl>
      <w:tblPr>
        <w:tblStyle w:val="Table"/>
        <w:tblW w:type="auto" w:w="0"/>
        <w:tblLook w:firstRow="1" w:lastRow="0" w:firstColumn="0" w:lastColumn="0" w:noHBand="0" w:noVBand="0" w:val="0020"/>
        <w:tblCaption w:val="Formal correspondence between evolutionary quantitative genetics and PAC learning theory."/>
      </w:tblPr>
      <w:tblGrid>
        <w:gridCol w:w="3960"/>
        <w:gridCol w:w="3960"/>
      </w:tblGrid>
      <w:tr>
        <w:trPr>
          <w:tblHeader w:val="on"/>
        </w:trPr>
        <w:tc>
          <w:tcPr/>
          <w:p>
            <w:pPr>
              <w:pStyle w:val="Compact"/>
              <w:jc w:val="left"/>
            </w:pPr>
            <w:r>
              <w:rPr>
                <w:b/>
                <w:bCs/>
              </w:rPr>
              <w:t xml:space="preserve">Evolutionary Quantitative Genetics</w:t>
            </w:r>
          </w:p>
        </w:tc>
        <w:tc>
          <w:tcPr/>
          <w:p>
            <w:pPr>
              <w:pStyle w:val="Compact"/>
              <w:jc w:val="left"/>
            </w:pPr>
            <w:r>
              <w:rPr>
                <w:b/>
                <w:bCs/>
              </w:rPr>
              <w:t xml:space="preserve">Statistical Learning Theory</w:t>
            </w:r>
          </w:p>
        </w:tc>
      </w:tr>
      <w:tr>
        <w:tc>
          <w:tcPr/>
          <w:p>
            <w:pPr>
              <w:pStyle w:val="Compact"/>
              <w:jc w:val="left"/>
            </w:pPr>
            <w:r>
              <w:t xml:space="preserve">Genotype</w:t>
            </w:r>
            <w:r>
              <w:t xml:space="preserve"> </w:t>
            </w:r>
            <m:oMath>
              <m:r>
                <m:t>g</m:t>
              </m:r>
              <m:r>
                <m:rPr>
                  <m:sty m:val="p"/>
                </m:rPr>
                <m:t>∈</m:t>
              </m:r>
              <m:r>
                <m:rPr>
                  <m:sty m:val="bi"/>
                </m:rPr>
                <m:t>G</m:t>
              </m:r>
            </m:oMath>
          </w:p>
        </w:tc>
        <w:tc>
          <w:tcPr/>
          <w:p>
            <w:pPr>
              <w:pStyle w:val="Compact"/>
              <w:jc w:val="left"/>
            </w:pPr>
            <w:r>
              <w:t xml:space="preserve">Hypothesis</w:t>
            </w:r>
            <w:r>
              <w:t xml:space="preserve"> </w:t>
            </w:r>
            <m:oMath>
              <m:r>
                <m:t>h</m:t>
              </m:r>
              <m:r>
                <m:rPr>
                  <m:sty m:val="p"/>
                </m:rPr>
                <m:t>∈</m:t>
              </m:r>
              <m:r>
                <m:rPr>
                  <m:scr m:val="script"/>
                  <m:sty m:val="p"/>
                </m:rPr>
                <m:t>H</m:t>
              </m:r>
            </m:oMath>
          </w:p>
        </w:tc>
      </w:tr>
      <w:tr>
        <w:tc>
          <w:tcPr/>
          <w:p>
            <w:pPr>
              <w:pStyle w:val="Compact"/>
              <w:jc w:val="left"/>
            </w:pPr>
            <w:r>
              <w:t xml:space="preserve">Phenotype map</w:t>
            </w:r>
            <w:r>
              <w:t xml:space="preserve"> </w:t>
            </w:r>
            <m:oMath>
              <m:r>
                <m:t>φ</m:t>
              </m:r>
              <m:r>
                <m:rPr>
                  <m:sty m:val="p"/>
                </m:rPr>
                <m:t>:</m:t>
              </m:r>
              <m:r>
                <m:rPr>
                  <m:sty m:val="bi"/>
                </m:rPr>
                <m:t>G</m:t>
              </m:r>
              <m:r>
                <m:rPr>
                  <m:sty m:val="p"/>
                </m:rPr>
                <m:t>→</m:t>
              </m:r>
              <m:r>
                <m:rPr>
                  <m:scr m:val="script"/>
                  <m:sty m:val="p"/>
                </m:rPr>
                <m:t>P</m:t>
              </m:r>
            </m:oMath>
          </w:p>
        </w:tc>
        <w:tc>
          <w:tcPr/>
          <w:p>
            <w:pPr>
              <w:pStyle w:val="Compact"/>
              <w:jc w:val="left"/>
            </w:pPr>
            <w:r>
              <w:t xml:space="preserve">Decision function</w:t>
            </w:r>
            <w:r>
              <w:t xml:space="preserve"> </w:t>
            </w:r>
            <m:oMath>
              <m:r>
                <m:t>f</m:t>
              </m:r>
              <m:r>
                <m:rPr>
                  <m:sty m:val="p"/>
                </m:rPr>
                <m:t>:</m:t>
              </m:r>
              <m:r>
                <m:rPr>
                  <m:scr m:val="script"/>
                  <m:sty m:val="p"/>
                </m:rPr>
                <m:t>X</m:t>
              </m:r>
              <m:r>
                <m:rPr>
                  <m:sty m:val="p"/>
                </m:rPr>
                <m:t>→</m:t>
              </m:r>
              <m:r>
                <m:rPr>
                  <m:scr m:val="script"/>
                  <m:sty m:val="p"/>
                </m:rPr>
                <m:t>Y</m:t>
              </m:r>
            </m:oMath>
          </w:p>
        </w:tc>
      </w:tr>
      <w:tr>
        <w:tc>
          <w:tcPr/>
          <w:p>
            <w:pPr>
              <w:pStyle w:val="Compact"/>
              <w:jc w:val="left"/>
            </w:pPr>
            <w:r>
              <w:t xml:space="preserve">Fitness</w:t>
            </w:r>
            <w:r>
              <w:t xml:space="preserve"> </w:t>
            </w:r>
            <m:oMath>
              <m:r>
                <m:t>w</m:t>
              </m:r>
              <m:r>
                <m:rPr>
                  <m:sty m:val="p"/>
                </m:rPr>
                <m:t>(</m:t>
              </m:r>
              <m:r>
                <m:t>g</m:t>
              </m:r>
              <m:r>
                <m:rPr>
                  <m:sty m:val="p"/>
                </m:rPr>
                <m:t>,</m:t>
              </m:r>
              <m:r>
                <m:t>e</m:t>
              </m:r>
              <m:r>
                <m:rPr>
                  <m:sty m:val="p"/>
                </m:rPr>
                <m:t>)</m:t>
              </m:r>
            </m:oMath>
          </w:p>
        </w:tc>
        <w:tc>
          <w:tcPr/>
          <w:p>
            <w:pPr>
              <w:pStyle w:val="Compact"/>
              <w:jc w:val="left"/>
            </w:pPr>
            <w:r>
              <w:t xml:space="preserve">Negative loss</w:t>
            </w:r>
            <w:r>
              <w:t xml:space="preserve"> </w:t>
            </w:r>
            <m:oMath>
              <m:r>
                <m:rPr>
                  <m:sty m:val="p"/>
                </m:rPr>
                <m:t>−</m:t>
              </m:r>
              <m:r>
                <m:t>ℓ</m:t>
              </m:r>
              <m:r>
                <m:rPr>
                  <m:sty m:val="p"/>
                </m:rPr>
                <m:t>(</m:t>
              </m:r>
              <m:r>
                <m:t>h</m:t>
              </m:r>
              <m:r>
                <m:rPr>
                  <m:sty m:val="p"/>
                </m:rPr>
                <m:t>,</m:t>
              </m:r>
              <m:r>
                <m:t>z</m:t>
              </m:r>
              <m:r>
                <m:rPr>
                  <m:sty m:val="p"/>
                </m:rPr>
                <m:t>)</m:t>
              </m:r>
            </m:oMath>
          </w:p>
        </w:tc>
      </w:tr>
      <w:tr>
        <w:tc>
          <w:tcPr/>
          <w:p>
            <w:pPr>
              <w:pStyle w:val="Compact"/>
              <w:jc w:val="left"/>
            </w:pPr>
            <w:r>
              <w:t xml:space="preserve">Mean fitness</w:t>
            </w:r>
            <w:r>
              <w:t xml:space="preserve"> </w:t>
            </w:r>
            <m:oMath>
              <m:sSub>
                <m:e>
                  <m:acc>
                    <m:accPr>
                      <m:chr m:val="‾"/>
                    </m:accPr>
                    <m:e>
                      <m:r>
                        <m:t>W</m:t>
                      </m:r>
                    </m:e>
                  </m:acc>
                </m:e>
                <m:sub>
                  <m:r>
                    <m:t>t</m:t>
                  </m:r>
                </m:sub>
              </m:sSub>
            </m:oMath>
          </w:p>
        </w:tc>
        <w:tc>
          <w:tcPr/>
          <w:p>
            <w:pPr>
              <w:pStyle w:val="Compact"/>
              <w:jc w:val="left"/>
            </w:pPr>
            <w:r>
              <w:t xml:space="preserve">Negative empirical risk</w:t>
            </w:r>
            <w:r>
              <w:t xml:space="preserve"> </w:t>
            </w:r>
            <m:oMath>
              <m:r>
                <m:rPr>
                  <m:sty m:val="p"/>
                </m:rPr>
                <m:t>−</m:t>
              </m:r>
              <m:sSub>
                <m:e>
                  <m:acc>
                    <m:accPr>
                      <m:chr m:val="̂"/>
                    </m:accPr>
                    <m:e>
                      <m:r>
                        <m:t>R</m:t>
                      </m:r>
                    </m:e>
                  </m:acc>
                </m:e>
                <m:sub>
                  <m:r>
                    <m:t>n</m:t>
                  </m:r>
                </m:sub>
              </m:sSub>
              <m:r>
                <m:rPr>
                  <m:sty m:val="p"/>
                </m:rPr>
                <m:t>(</m:t>
              </m:r>
              <m:r>
                <m:t>h</m:t>
              </m:r>
              <m:r>
                <m:rPr>
                  <m:sty m:val="p"/>
                </m:rPr>
                <m:t>)</m:t>
              </m:r>
            </m:oMath>
          </w:p>
        </w:tc>
      </w:tr>
      <w:tr>
        <w:tc>
          <w:tcPr/>
          <w:p>
            <w:pPr>
              <w:pStyle w:val="Compact"/>
              <w:jc w:val="left"/>
            </w:pPr>
            <w:r>
              <w:t xml:space="preserve">Additive genetic variance</w:t>
            </w:r>
            <w:r>
              <w:t xml:space="preserve"> </w:t>
            </w:r>
            <m:oMath>
              <m:sSub>
                <m:e>
                  <m:r>
                    <m:t>V</m:t>
                  </m:r>
                </m:e>
                <m:sub>
                  <m:r>
                    <m:t>A</m:t>
                  </m:r>
                </m:sub>
              </m:sSub>
            </m:oMath>
          </w:p>
        </w:tc>
        <w:tc>
          <w:tcPr/>
          <w:p>
            <w:pPr>
              <w:pStyle w:val="Compact"/>
              <w:jc w:val="left"/>
            </w:pPr>
            <w:r>
              <w:t xml:space="preserve">Rademacher complexity</w:t>
            </w:r>
            <w:r>
              <w:t xml:space="preserve"> </w:t>
            </w:r>
            <m:oMath>
              <m:sSub>
                <m:e>
                  <m:r>
                    <m:rPr>
                      <m:scr m:val="script"/>
                      <m:sty m:val="p"/>
                    </m:rPr>
                    <m:t>R</m:t>
                  </m:r>
                </m:e>
                <m:sub>
                  <m:r>
                    <m:t>n</m:t>
                  </m:r>
                </m:sub>
              </m:sSub>
              <m:r>
                <m:rPr>
                  <m:sty m:val="p"/>
                </m:rPr>
                <m:t>(</m:t>
              </m:r>
              <m:r>
                <m:rPr>
                  <m:scr m:val="script"/>
                  <m:sty m:val="p"/>
                </m:rPr>
                <m:t>H</m:t>
              </m:r>
              <m:r>
                <m:rPr>
                  <m:sty m:val="p"/>
                </m:rPr>
                <m:t>)</m:t>
              </m:r>
            </m:oMath>
          </w:p>
        </w:tc>
      </w:tr>
      <w:tr>
        <w:tc>
          <w:tcPr/>
          <w:p>
            <w:pPr>
              <w:pStyle w:val="Compact"/>
              <w:jc w:val="left"/>
            </w:pPr>
            <w:r>
              <w:t xml:space="preserve">Effective population size</w:t>
            </w:r>
            <w:r>
              <w:t xml:space="preserve"> </w:t>
            </w:r>
            <m:oMath>
              <m:sSub>
                <m:e>
                  <m:r>
                    <m:t>N</m:t>
                  </m:r>
                </m:e>
                <m:sub>
                  <m:r>
                    <m:t>e</m:t>
                  </m:r>
                </m:sub>
              </m:sSub>
            </m:oMath>
          </w:p>
        </w:tc>
        <w:tc>
          <w:tcPr/>
          <w:p>
            <w:pPr>
              <w:pStyle w:val="Compact"/>
              <w:jc w:val="left"/>
            </w:pPr>
            <w:r>
              <w:t xml:space="preserve">Training set size</w:t>
            </w:r>
            <w:r>
              <w:t xml:space="preserve"> </w:t>
            </w:r>
            <m:oMath>
              <m:r>
                <m:t>n</m:t>
              </m:r>
            </m:oMath>
          </w:p>
        </w:tc>
      </w:tr>
      <w:tr>
        <w:tc>
          <w:tcPr/>
          <w:p>
            <w:pPr>
              <w:pStyle w:val="Compact"/>
              <w:jc w:val="left"/>
            </w:pPr>
            <w:r>
              <w:t xml:space="preserve">Genetic drift</w:t>
            </w:r>
            <w:r>
              <w:t xml:space="preserve"> </w:t>
            </w:r>
            <m:oMath>
              <m:r>
                <m:rPr>
                  <m:sty m:val="p"/>
                </m:rPr>
                <m:t>∼</m:t>
              </m:r>
              <m:r>
                <m:rPr>
                  <m:scr m:val="script"/>
                  <m:sty m:val="p"/>
                </m:rPr>
                <m:t>O</m:t>
              </m:r>
              <m:r>
                <m:rPr>
                  <m:sty m:val="p"/>
                </m:rPr>
                <m:t>(</m:t>
              </m:r>
              <m:r>
                <m:t>1</m:t>
              </m:r>
              <m:r>
                <m:rPr>
                  <m:sty m:val="p"/>
                </m:rPr>
                <m:t>/</m:t>
              </m:r>
              <m:sSub>
                <m:e>
                  <m:r>
                    <m:t>N</m:t>
                  </m:r>
                </m:e>
                <m:sub>
                  <m:r>
                    <m:t>e</m:t>
                  </m:r>
                </m:sub>
              </m:sSub>
              <m:r>
                <m:rPr>
                  <m:sty m:val="p"/>
                </m:rPr>
                <m:t>)</m:t>
              </m:r>
            </m:oMath>
          </w:p>
        </w:tc>
        <w:tc>
          <w:tcPr/>
          <w:p>
            <w:pPr>
              <w:pStyle w:val="Compact"/>
              <w:jc w:val="left"/>
            </w:pPr>
            <w:r>
              <w:t xml:space="preserve">Estimation error</w:t>
            </w:r>
            <w:r>
              <w:t xml:space="preserve"> </w:t>
            </w:r>
            <m:oMath>
              <m:r>
                <m:rPr>
                  <m:sty m:val="p"/>
                </m:rPr>
                <m:t>∼</m:t>
              </m:r>
              <m:r>
                <m:rPr>
                  <m:scr m:val="script"/>
                  <m:sty m:val="p"/>
                </m:rPr>
                <m:t>O</m:t>
              </m:r>
              <m:r>
                <m:rPr>
                  <m:sty m:val="p"/>
                </m:rPr>
                <m:t>(</m:t>
              </m:r>
              <m:r>
                <m:t>1</m:t>
              </m:r>
              <m:r>
                <m:rPr>
                  <m:sty m:val="p"/>
                </m:rPr>
                <m:t>/</m:t>
              </m:r>
              <m:rad>
                <m:radPr>
                  <m:degHide m:val="on"/>
                </m:radPr>
                <m:deg/>
                <m:e>
                  <m:r>
                    <m:t>n</m:t>
                  </m:r>
                </m:e>
              </m:rad>
              <m:r>
                <m:rPr>
                  <m:sty m:val="p"/>
                </m:rPr>
                <m:t>)</m:t>
              </m:r>
            </m:oMath>
          </w:p>
        </w:tc>
      </w:tr>
      <w:tr>
        <w:tc>
          <w:tcPr/>
          <w:p>
            <w:pPr>
              <w:pStyle w:val="Compact"/>
              <w:jc w:val="left"/>
            </w:pPr>
            <w:r>
              <w:t xml:space="preserve">Heritability</w:t>
            </w:r>
            <w:r>
              <w:t xml:space="preserve"> </w:t>
            </w:r>
            <m:oMath>
              <m:sSup>
                <m:e>
                  <m:r>
                    <m:t>h</m:t>
                  </m:r>
                </m:e>
                <m:sup>
                  <m:r>
                    <m:t>2</m:t>
                  </m:r>
                </m:sup>
              </m:sSup>
              <m:r>
                <m:rPr>
                  <m:sty m:val="p"/>
                </m:rPr>
                <m:t>=</m:t>
              </m:r>
              <m:sSub>
                <m:e>
                  <m:r>
                    <m:t>V</m:t>
                  </m:r>
                </m:e>
                <m:sub>
                  <m:r>
                    <m:t>A</m:t>
                  </m:r>
                </m:sub>
              </m:sSub>
              <m:r>
                <m:rPr>
                  <m:sty m:val="p"/>
                </m:rPr>
                <m:t>/</m:t>
              </m:r>
              <m:sSub>
                <m:e>
                  <m:r>
                    <m:t>V</m:t>
                  </m:r>
                </m:e>
                <m:sub>
                  <m:r>
                    <m:t>P</m:t>
                  </m:r>
                </m:sub>
              </m:sSub>
            </m:oMath>
          </w:p>
        </w:tc>
        <w:tc>
          <w:tcPr/>
          <w:p>
            <w:pPr>
              <w:pStyle w:val="Compact"/>
              <w:jc w:val="left"/>
            </w:pPr>
            <w:r>
              <w:t xml:space="preserve">Signal-to-noise ratio</w:t>
            </w:r>
          </w:p>
        </w:tc>
      </w:tr>
      <w:tr>
        <w:tc>
          <w:tcPr/>
          <w:p>
            <w:pPr>
              <w:pStyle w:val="Compact"/>
              <w:jc w:val="left"/>
            </w:pPr>
            <w:r>
              <w:t xml:space="preserve">Mutation rate</w:t>
            </w:r>
            <w:r>
              <w:t xml:space="preserve"> </w:t>
            </w:r>
            <m:oMath>
              <m:r>
                <m:t>μ</m:t>
              </m:r>
            </m:oMath>
          </w:p>
        </w:tc>
        <w:tc>
          <w:tcPr/>
          <w:p>
            <w:pPr>
              <w:pStyle w:val="Compact"/>
              <w:jc w:val="left"/>
            </w:pPr>
            <w:r>
              <w:t xml:space="preserve">Regularization parameter</w:t>
            </w:r>
            <w:r>
              <w:t xml:space="preserve"> </w:t>
            </w:r>
            <m:oMath>
              <m:r>
                <m:t>λ</m:t>
              </m:r>
            </m:oMath>
          </w:p>
        </w:tc>
      </w:tr>
      <w:tr>
        <w:tc>
          <w:tcPr/>
          <w:p>
            <w:pPr>
              <w:pStyle w:val="Compact"/>
              <w:jc w:val="left"/>
            </w:pPr>
            <w:r>
              <w:t xml:space="preserve">Breeder’s equation</w:t>
            </w:r>
            <w:r>
              <w:t xml:space="preserve"> </w:t>
            </w:r>
            <m:oMath>
              <m:r>
                <m:t>R</m:t>
              </m:r>
              <m:r>
                <m:rPr>
                  <m:sty m:val="p"/>
                </m:rPr>
                <m:t>=</m:t>
              </m:r>
              <m:sSup>
                <m:e>
                  <m:r>
                    <m:t>h</m:t>
                  </m:r>
                </m:e>
                <m:sup>
                  <m:r>
                    <m:t>2</m:t>
                  </m:r>
                </m:sup>
              </m:sSup>
              <m:r>
                <m:t>S</m:t>
              </m:r>
            </m:oMath>
          </w:p>
        </w:tc>
        <w:tc>
          <w:tcPr/>
          <w:p>
            <w:pPr>
              <w:pStyle w:val="Compact"/>
              <w:jc w:val="left"/>
            </w:pPr>
            <w:r>
              <w:t xml:space="preserve">PAC sample complexity bound</w:t>
            </w:r>
          </w:p>
        </w:tc>
      </w:tr>
      <w:tr>
        <w:tc>
          <w:tcPr/>
          <w:p>
            <w:pPr>
              <w:pStyle w:val="Compact"/>
              <w:jc w:val="left"/>
            </w:pPr>
            <w:r>
              <w:t xml:space="preserve">Price Equation</w:t>
            </w:r>
          </w:p>
        </w:tc>
        <w:tc>
          <w:tcPr/>
          <w:p>
            <w:pPr>
              <w:pStyle w:val="Compact"/>
              <w:jc w:val="left"/>
            </w:pPr>
            <w:r>
              <w:t xml:space="preserve">Empirical risk gradient (ERM first-order condition)</w:t>
            </w:r>
          </w:p>
        </w:tc>
      </w:tr>
      <w:tr>
        <w:tc>
          <w:tcPr/>
          <w:p>
            <w:pPr>
              <w:pStyle w:val="Compact"/>
              <w:jc w:val="left"/>
            </w:pPr>
            <w:r>
              <w:t xml:space="preserve">Fisher FTNS:</w:t>
            </w:r>
            <w:r>
              <w:t xml:space="preserve"> </w:t>
            </w:r>
            <m:oMath>
              <m:r>
                <m:t>d</m:t>
              </m:r>
              <m:acc>
                <m:accPr>
                  <m:chr m:val="‾"/>
                </m:accPr>
                <m:e>
                  <m:r>
                    <m:t>W</m:t>
                  </m:r>
                </m:e>
              </m:acc>
              <m:r>
                <m:rPr>
                  <m:sty m:val="p"/>
                </m:rPr>
                <m:t>/</m:t>
              </m:r>
              <m:r>
                <m:t>d</m:t>
              </m:r>
              <m:r>
                <m:t>t</m:t>
              </m:r>
              <m:r>
                <m:rPr>
                  <m:sty m:val="p"/>
                </m:rPr>
                <m:t>=</m:t>
              </m:r>
              <m:sSub>
                <m:e>
                  <m:r>
                    <m:t>V</m:t>
                  </m:r>
                </m:e>
                <m:sub>
                  <m:r>
                    <m:t>A</m:t>
                  </m:r>
                </m:sub>
              </m:sSub>
              <m:r>
                <m:rPr>
                  <m:sty m:val="p"/>
                </m:rPr>
                <m:t>/</m:t>
              </m:r>
              <m:acc>
                <m:accPr>
                  <m:chr m:val="‾"/>
                </m:accPr>
                <m:e>
                  <m:r>
                    <m:t>W</m:t>
                  </m:r>
                </m:e>
              </m:acc>
            </m:oMath>
          </w:p>
        </w:tc>
        <w:tc>
          <w:tcPr/>
          <w:p>
            <w:pPr>
              <w:pStyle w:val="Compact"/>
              <w:jc w:val="left"/>
            </w:pPr>
            <w:r>
              <w:t xml:space="preserve">Natural gradient convergence theorem</w:t>
            </w:r>
          </w:p>
        </w:tc>
      </w:tr>
      <w:tr>
        <w:tc>
          <w:tcPr/>
          <w:p>
            <w:pPr>
              <w:pStyle w:val="Compact"/>
              <w:jc w:val="left"/>
            </w:pPr>
            <m:oMath>
              <m:r>
                <m:rPr>
                  <m:sty m:val="bi"/>
                </m:rPr>
                <m:t>G</m:t>
              </m:r>
            </m:oMath>
            <w:r>
              <w:t xml:space="preserve"> </w:t>
            </w:r>
            <w:r>
              <w:t xml:space="preserve">matrix rank</w:t>
            </w:r>
          </w:p>
        </w:tc>
        <w:tc>
          <w:tcPr/>
          <w:p>
            <w:pPr>
              <w:pStyle w:val="Compact"/>
              <w:jc w:val="left"/>
            </w:pPr>
            <w:r>
              <w:t xml:space="preserve">VC dimension</w:t>
            </w:r>
            <w:r>
              <w:t xml:space="preserve"> </w:t>
            </w:r>
            <m:oMath>
              <m:sSub>
                <m:e>
                  <m:r>
                    <m:t>d</m:t>
                  </m:r>
                </m:e>
                <m:sub>
                  <m:r>
                    <m:rPr>
                      <m:sty m:val="p"/>
                    </m:rPr>
                    <m:t>V</m:t>
                  </m:r>
                  <m:r>
                    <m:rPr>
                      <m:sty m:val="p"/>
                    </m:rPr>
                    <m:t>C</m:t>
                  </m:r>
                </m:sub>
              </m:sSub>
              <m:r>
                <m:rPr>
                  <m:sty m:val="p"/>
                </m:rPr>
                <m:t>(</m:t>
              </m:r>
              <m:r>
                <m:rPr>
                  <m:scr m:val="script"/>
                  <m:sty m:val="p"/>
                </m:rPr>
                <m:t>H</m:t>
              </m:r>
              <m:r>
                <m:rPr>
                  <m:sty m:val="p"/>
                </m:rPr>
                <m:t>)</m:t>
              </m:r>
            </m:oMath>
          </w:p>
        </w:tc>
      </w:tr>
      <w:tr>
        <w:tc>
          <w:tcPr/>
          <w:p>
            <w:pPr>
              <w:pStyle w:val="Compact"/>
              <w:jc w:val="left"/>
            </w:pPr>
            <m:oMath>
              <m:r>
                <m:rPr>
                  <m:sty m:val="bi"/>
                </m:rPr>
                <m:t>G</m:t>
              </m:r>
            </m:oMath>
            <w:r>
              <w:t xml:space="preserve"> </w:t>
            </w:r>
            <w:r>
              <w:t xml:space="preserve">matrix eigenvalues</w:t>
            </w:r>
          </w:p>
        </w:tc>
        <w:tc>
          <w:tcPr/>
          <w:p>
            <w:pPr>
              <w:pStyle w:val="Compact"/>
              <w:jc w:val="left"/>
            </w:pPr>
            <w:r>
              <w:t xml:space="preserve">Per-dimension Rademacher complexities</w:t>
            </w:r>
          </w:p>
        </w:tc>
      </w:tr>
      <w:tr>
        <w:tc>
          <w:tcPr/>
          <w:p>
            <w:pPr>
              <w:pStyle w:val="Compact"/>
              <w:jc w:val="left"/>
            </w:pPr>
            <w:r>
              <w:t xml:space="preserve">Mutation–selection balance</w:t>
            </w:r>
          </w:p>
        </w:tc>
        <w:tc>
          <w:tcPr/>
          <w:p>
            <w:pPr>
              <w:pStyle w:val="Compact"/>
              <w:jc w:val="left"/>
            </w:pPr>
            <w:r>
              <w:t xml:space="preserve">Optimal regularization / bias–variance tradeoff</w:t>
            </w:r>
          </w:p>
        </w:tc>
      </w:tr>
      <w:tr>
        <w:tc>
          <w:tcPr/>
          <w:p>
            <w:pPr>
              <w:pStyle w:val="Compact"/>
              <w:jc w:val="left"/>
            </w:pPr>
            <w:r>
              <w:t xml:space="preserve">Epistasis</w:t>
            </w:r>
          </w:p>
        </w:tc>
        <w:tc>
          <w:tcPr/>
          <w:p>
            <w:pPr>
              <w:pStyle w:val="Compact"/>
              <w:jc w:val="left"/>
            </w:pPr>
            <w:r>
              <w:t xml:space="preserve">Non-linearity of hypothesis class</w:t>
            </w:r>
          </w:p>
        </w:tc>
      </w:tr>
      <w:tr>
        <w:tc>
          <w:tcPr/>
          <w:p>
            <w:pPr>
              <w:pStyle w:val="Compact"/>
              <w:jc w:val="left"/>
            </w:pPr>
            <w:r>
              <w:t xml:space="preserve">Recombination</w:t>
            </w:r>
          </w:p>
        </w:tc>
        <w:tc>
          <w:tcPr/>
          <w:p>
            <w:pPr>
              <w:pStyle w:val="Compact"/>
              <w:jc w:val="left"/>
            </w:pPr>
            <w:r>
              <w:t xml:space="preserve">Randomized ensemble / kernel methods</w:t>
            </w:r>
          </w:p>
        </w:tc>
      </w:tr>
    </w:tbl>
    <w:bookmarkEnd w:id="11"/>
    <w:p>
      <w:pPr>
        <w:pStyle w:val="BodyText"/>
      </w:pPr>
      <w:r>
        <w:t xml:space="preserve">The geometric objects at the core of both frameworks—the Fisher information metric</w:t>
      </w:r>
      <w:r>
        <w:t xml:space="preserve"> </w:t>
      </w:r>
      <m:oMath>
        <m:sSub>
          <m:e>
            <m:r>
              <m:t>g</m:t>
            </m:r>
          </m:e>
          <m:sub>
            <m:r>
              <m:t>F</m:t>
            </m:r>
          </m:sub>
        </m:sSub>
      </m:oMath>
      <w:r>
        <w:t xml:space="preserve">, the statistical manifold, and the natural gradient—are literally the same abstract mathematical objects realized in different empirical domains. This is a precise identification, not a metaphor:</w:t>
      </w:r>
      <w:r>
        <w:t xml:space="preserve"> </w:t>
      </w:r>
      <m:oMath>
        <m:sSub>
          <m:e>
            <m:r>
              <m:t>g</m:t>
            </m:r>
          </m:e>
          <m:sub>
            <m:r>
              <m:t>F</m:t>
            </m:r>
          </m:sub>
        </m:sSub>
      </m:oMath>
      <w:r>
        <w:t xml:space="preserve"> </w:t>
      </w:r>
      <w:r>
        <w:t xml:space="preserve">is defined identically in both fields (as the covariance of log-likelihood scores), and the update rule of natural selection is provably the same geometric operation as natural gradient descent (Theorem 1). Other mappings in Table 1 are</w:t>
      </w:r>
      <w:r>
        <w:t xml:space="preserve"> </w:t>
      </w:r>
      <w:r>
        <w:rPr>
          <w:i/>
          <w:iCs/>
        </w:rPr>
        <w:t xml:space="preserve">functional</w:t>
      </w:r>
      <w:r>
        <w:t xml:space="preserve"> </w:t>
      </w:r>
      <w:r>
        <w:t xml:space="preserve">rather than definitional:</w:t>
      </w:r>
      <w:r>
        <w:t xml:space="preserve"> </w:t>
      </w:r>
      <m:oMath>
        <m:sSub>
          <m:e>
            <m:r>
              <m:t>V</m:t>
            </m:r>
          </m:e>
          <m:sub>
            <m:r>
              <m:t>A</m:t>
            </m:r>
          </m:sub>
        </m:sSub>
      </m:oMath>
      <w:r>
        <w:t xml:space="preserve"> </w:t>
      </w:r>
      <w:r>
        <w:t xml:space="preserve">and</w:t>
      </w:r>
      <w:r>
        <w:t xml:space="preserve"> </w:t>
      </w:r>
      <m:oMath>
        <m:sSub>
          <m:e>
            <m:r>
              <m:rPr>
                <m:scr m:val="script"/>
                <m:sty m:val="p"/>
              </m:rPr>
              <m:t>R</m:t>
            </m:r>
          </m:e>
          <m:sub>
            <m:r>
              <m:t>n</m:t>
            </m:r>
          </m:sub>
        </m:sSub>
        <m:r>
          <m:rPr>
            <m:sty m:val="p"/>
          </m:rPr>
          <m:t>(</m:t>
        </m:r>
        <m:r>
          <m:rPr>
            <m:scr m:val="script"/>
            <m:sty m:val="p"/>
          </m:rPr>
          <m:t>H</m:t>
        </m:r>
        <m:r>
          <m:rPr>
            <m:sty m:val="p"/>
          </m:rPr>
          <m:t>)</m:t>
        </m:r>
      </m:oMath>
      <w:r>
        <w:t xml:space="preserve"> </w:t>
      </w:r>
      <w:r>
        <w:t xml:space="preserve">have different formal definitions but occupy the same position in the generalization bound—both quantify how much the learner can vary its output across samples, bounding capacity. Lemma 1 establishes this functional correspondence precisely.</w:t>
      </w:r>
    </w:p>
    <w:bookmarkEnd w:id="12"/>
    <w:bookmarkStart w:id="14" w:name="X6be7bfbb32fd5d28d3f89b56329b15e545a87fa"/>
    <w:p>
      <w:pPr>
        <w:pStyle w:val="Heading2"/>
      </w:pPr>
      <w:r>
        <w:t xml:space="preserve">Theorem 1: FTNS as the Convergence Theorem for Natural Gradient Ascent</w:t>
      </w:r>
    </w:p>
    <w:p>
      <w:pPr>
        <w:pStyle w:val="FirstParagraph"/>
      </w:pPr>
      <w:r>
        <w:t xml:space="preserve">Let</w:t>
      </w:r>
      <w:r>
        <w:t xml:space="preserve"> </w:t>
      </w:r>
      <m:oMath>
        <m:r>
          <m:rPr>
            <m:sty m:val="p"/>
          </m:rPr>
          <m:t>(</m:t>
        </m:r>
        <m:sSub>
          <m:e>
            <m:r>
              <m:rPr>
                <m:sty m:val="p"/>
              </m:rPr>
              <m:t>Δ</m:t>
            </m:r>
          </m:e>
          <m:sub>
            <m:r>
              <m:t>K</m:t>
            </m:r>
          </m:sub>
        </m:sSub>
        <m:r>
          <m:rPr>
            <m:sty m:val="p"/>
          </m:rPr>
          <m:t>,</m:t>
        </m:r>
        <m:sSub>
          <m:e>
            <m:r>
              <m:t>g</m:t>
            </m:r>
          </m:e>
          <m:sub>
            <m:r>
              <m:t>F</m:t>
            </m:r>
          </m:sub>
        </m:sSub>
        <m:r>
          <m:rPr>
            <m:sty m:val="p"/>
          </m:rPr>
          <m:t>)</m:t>
        </m:r>
      </m:oMath>
      <w:r>
        <w:t xml:space="preserve"> </w:t>
      </w:r>
      <w:r>
        <w:t xml:space="preserve">denote the allele-frequency manifold: the probability simplex over</w:t>
      </w:r>
      <w:r>
        <w:t xml:space="preserve"> </w:t>
      </w:r>
      <m:oMath>
        <m:r>
          <m:t>K</m:t>
        </m:r>
      </m:oMath>
      <w:r>
        <w:t xml:space="preserve"> </w:t>
      </w:r>
      <w:r>
        <w:t xml:space="preserve">possible genotypes, equipped with the Fisher information metric</w:t>
      </w:r>
      <w:r>
        <w:t xml:space="preserve"> </w:t>
      </w:r>
      <m:oMath>
        <m:sSubSup>
          <m:e>
            <m:r>
              <m:t>g</m:t>
            </m:r>
          </m:e>
          <m:sub>
            <m:r>
              <m:t>F</m:t>
            </m:r>
          </m:sub>
          <m:sup>
            <m:r>
              <m:t>i</m:t>
            </m:r>
            <m:r>
              <m:t>j</m:t>
            </m:r>
          </m:sup>
        </m:sSubSup>
        <m:r>
          <m:rPr>
            <m:sty m:val="p"/>
          </m:rPr>
          <m:t>=</m:t>
        </m:r>
        <m:nary>
          <m:naryPr>
            <m:chr m:val="∑"/>
            <m:limLoc m:val="undOvr"/>
            <m:subHide m:val="off"/>
            <m:supHide m:val="on"/>
          </m:naryPr>
          <m:sub>
            <m:r>
              <m:t>k</m:t>
            </m:r>
          </m:sub>
          <m:sup>
            <m:r>
              <m:t>​</m:t>
            </m:r>
          </m:sup>
          <m:e>
            <m:sSubSup>
              <m:e>
                <m:r>
                  <m:t>p</m:t>
                </m:r>
              </m:e>
              <m:sub>
                <m:r>
                  <m:t>k</m:t>
                </m:r>
              </m:sub>
              <m:sup>
                <m:r>
                  <m:rPr>
                    <m:sty m:val="p"/>
                  </m:rPr>
                  <m:t>−</m:t>
                </m:r>
                <m:r>
                  <m:t>1</m:t>
                </m:r>
              </m:sup>
            </m:sSubSup>
          </m:e>
        </m:nary>
        <m:r>
          <m:rPr>
            <m:sty m:val="p"/>
          </m:rPr>
          <m:t>(</m:t>
        </m:r>
        <m:sSub>
          <m:e>
            <m:r>
              <m:rPr>
                <m:sty m:val="p"/>
              </m:rPr>
              <m:t>∂</m:t>
            </m:r>
          </m:e>
          <m:sub>
            <m:r>
              <m:t>i</m:t>
            </m:r>
          </m:sub>
        </m:sSub>
        <m:sSub>
          <m:e>
            <m:r>
              <m:t>p</m:t>
            </m:r>
          </m:e>
          <m:sub>
            <m:r>
              <m:t>k</m:t>
            </m:r>
          </m:sub>
        </m:sSub>
        <m:r>
          <m:rPr>
            <m:sty m:val="p"/>
          </m:rPr>
          <m:t>)</m:t>
        </m:r>
        <m:r>
          <m:rPr>
            <m:sty m:val="p"/>
          </m:rPr>
          <m:t>(</m:t>
        </m:r>
        <m:sSub>
          <m:e>
            <m:r>
              <m:rPr>
                <m:sty m:val="p"/>
              </m:rPr>
              <m:t>∂</m:t>
            </m:r>
          </m:e>
          <m:sub>
            <m:r>
              <m:t>j</m:t>
            </m:r>
          </m:sub>
        </m:sSub>
        <m:sSub>
          <m:e>
            <m:r>
              <m:t>p</m:t>
            </m:r>
          </m:e>
          <m:sub>
            <m:r>
              <m:t>k</m:t>
            </m:r>
          </m:sub>
        </m:sSub>
        <m:r>
          <m:rPr>
            <m:sty m:val="p"/>
          </m:rPr>
          <m:t>)</m:t>
        </m:r>
      </m:oMath>
      <w:r>
        <w:t xml:space="preserve">. Under the continuous-time infinitesimal model, the dynamics of allele frequencies under directional selection are:</w:t>
      </w:r>
    </w:p>
    <w:p>
      <w:pPr>
        <w:pStyle w:val="BodyText"/>
      </w:pPr>
      <m:oMathPara>
        <m:oMathParaPr>
          <m:jc m:val="center"/>
        </m:oMathParaPr>
        <m:oMath>
          <m:sSub>
            <m:e>
              <m:acc>
                <m:accPr>
                  <m:chr m:val="̇"/>
                </m:accPr>
                <m:e>
                  <m:r>
                    <m:t>p</m:t>
                  </m:r>
                </m:e>
              </m:acc>
            </m:e>
            <m:sub>
              <m:r>
                <m:t>i</m:t>
              </m:r>
            </m:sub>
          </m:sSub>
          <m:r>
            <m:rPr>
              <m:sty m:val="p"/>
            </m:rPr>
            <m:t>=</m:t>
          </m:r>
          <m:sSub>
            <m:e>
              <m:r>
                <m:t>p</m:t>
              </m:r>
            </m:e>
            <m:sub>
              <m:r>
                <m:t>i</m:t>
              </m:r>
            </m:sub>
          </m:sSub>
          <m:r>
            <m:rPr>
              <m:sty m:val="p"/>
            </m:rPr>
            <m:t>(</m:t>
          </m:r>
          <m:r>
            <m:t>1</m:t>
          </m:r>
          <m:r>
            <m:rPr>
              <m:sty m:val="p"/>
            </m:rPr>
            <m:t>−</m:t>
          </m:r>
          <m:sSub>
            <m:e>
              <m:r>
                <m:t>p</m:t>
              </m:r>
            </m:e>
            <m:sub>
              <m:r>
                <m:t>i</m:t>
              </m:r>
            </m:sub>
          </m:sSub>
          <m:r>
            <m:rPr>
              <m:sty m:val="p"/>
            </m:rPr>
            <m:t>)</m:t>
          </m:r>
          <m:f>
            <m:fPr>
              <m:type m:val="bar"/>
            </m:fPr>
            <m:num>
              <m:r>
                <m:rPr>
                  <m:sty m:val="p"/>
                </m:rPr>
                <m:t>∂</m:t>
              </m:r>
              <m:r>
                <m:rPr>
                  <m:sty m:val="p"/>
                </m:rPr>
                <m:t>log</m:t>
              </m:r>
              <m:acc>
                <m:accPr>
                  <m:chr m:val="‾"/>
                </m:accPr>
                <m:e>
                  <m:r>
                    <m:t>W</m:t>
                  </m:r>
                </m:e>
              </m:acc>
            </m:num>
            <m:den>
              <m:r>
                <m:rPr>
                  <m:sty m:val="p"/>
                </m:rPr>
                <m:t>∂</m:t>
              </m:r>
              <m:sSub>
                <m:e>
                  <m:r>
                    <m:t>p</m:t>
                  </m:r>
                </m:e>
                <m:sub>
                  <m:r>
                    <m:t>i</m:t>
                  </m:r>
                </m:sub>
              </m:sSub>
            </m:den>
          </m:f>
          <m:r>
            <m:rPr>
              <m:sty m:val="p"/>
            </m:rPr>
            <m:t>=</m:t>
          </m:r>
          <m:sSub>
            <m:e>
              <m:d>
                <m:dPr>
                  <m:begChr m:val="["/>
                  <m:sepChr m:val=""/>
                  <m:endChr m:val="]"/>
                  <m:grow/>
                </m:dPr>
                <m:e>
                  <m:sSubSup>
                    <m:e>
                      <m:r>
                        <m:t>g</m:t>
                      </m:r>
                    </m:e>
                    <m:sub>
                      <m:r>
                        <m:t>F</m:t>
                      </m:r>
                    </m:sub>
                    <m:sup>
                      <m:r>
                        <m:rPr>
                          <m:sty m:val="p"/>
                        </m:rPr>
                        <m:t>−</m:t>
                      </m:r>
                      <m:r>
                        <m:t>1</m:t>
                      </m:r>
                    </m:sup>
                  </m:sSubSup>
                  <m:r>
                    <m:rPr>
                      <m:sty m:val="p"/>
                    </m:rPr>
                    <m:t>(</m:t>
                  </m:r>
                  <m:r>
                    <m:rPr>
                      <m:sty m:val="bi"/>
                    </m:rPr>
                    <m:t>p</m:t>
                  </m:r>
                  <m:r>
                    <m:rPr>
                      <m:sty m:val="p"/>
                    </m:rPr>
                    <m:t>)</m:t>
                  </m:r>
                  <m:r>
                    <m:t> </m:t>
                  </m:r>
                  <m:sSub>
                    <m:e>
                      <m:r>
                        <m:rPr>
                          <m:sty m:val="p"/>
                        </m:rPr>
                        <m:t>∇</m:t>
                      </m:r>
                    </m:e>
                    <m:sub>
                      <m:r>
                        <m:rPr>
                          <m:sty m:val="bi"/>
                        </m:rPr>
                        <m:t>p</m:t>
                      </m:r>
                    </m:sub>
                  </m:sSub>
                  <m:r>
                    <m:t> </m:t>
                  </m:r>
                  <m:acc>
                    <m:accPr>
                      <m:chr m:val="‾"/>
                    </m:accPr>
                    <m:e>
                      <m:r>
                        <m:t>W</m:t>
                      </m:r>
                    </m:e>
                  </m:acc>
                </m:e>
              </m:d>
            </m:e>
            <m:sub>
              <m:r>
                <m:t>i</m:t>
              </m:r>
            </m:sub>
          </m:sSub>
        </m:oMath>
      </m:oMathPara>
    </w:p>
    <w:p>
      <w:pPr>
        <w:pStyle w:val="FirstParagraph"/>
      </w:pPr>
      <w:r>
        <w:t xml:space="preserve">This is exactly natural gradient ascent on</w:t>
      </w:r>
      <w:r>
        <w:t xml:space="preserve"> </w:t>
      </w:r>
      <m:oMath>
        <m:acc>
          <m:accPr>
            <m:chr m:val="‾"/>
          </m:accPr>
          <m:e>
            <m:r>
              <m:t>W</m:t>
            </m:r>
          </m:e>
        </m:acc>
      </m:oMath>
      <w:r>
        <w:t xml:space="preserve"> </w:t>
      </w:r>
      <w:r>
        <w:t xml:space="preserve">under the metric</w:t>
      </w:r>
      <w:r>
        <w:t xml:space="preserve"> </w:t>
      </w:r>
      <m:oMath>
        <m:sSub>
          <m:e>
            <m:r>
              <m:t>g</m:t>
            </m:r>
          </m:e>
          <m:sub>
            <m:r>
              <m:t>F</m:t>
            </m:r>
          </m:sub>
        </m:sSub>
      </m:oMath>
      <w:r>
        <w:t xml:space="preserve">.</w:t>
      </w:r>
    </w:p>
    <w:p>
      <w:pPr>
        <w:pStyle w:val="BodyText"/>
      </w:pPr>
      <w:r>
        <w:rPr>
          <w:b/>
          <w:bCs/>
        </w:rPr>
        <w:t xml:space="preserve">Theorem 1</w:t>
      </w:r>
      <w:r>
        <w:t xml:space="preserve"> </w:t>
      </w:r>
      <w:r>
        <w:t xml:space="preserve">(Fisher–ERM Convergence).</w:t>
      </w:r>
      <w:r>
        <w:t xml:space="preserve"> </w:t>
      </w:r>
      <w:r>
        <w:t xml:space="preserve"> </w:t>
      </w:r>
      <w:r>
        <w:rPr>
          <w:i/>
          <w:iCs/>
        </w:rPr>
        <w:t xml:space="preserve">Under the continuous-time infinitesimal model, natural selection is natural gradient ascent on mean fitness</w:t>
      </w:r>
      <w:r>
        <w:rPr>
          <w:i/>
          <w:iCs/>
        </w:rPr>
        <w:t xml:space="preserve"> </w:t>
      </w:r>
      <m:oMath>
        <m:acc>
          <m:accPr>
            <m:chr m:val="‾"/>
          </m:accPr>
          <m:e>
            <m:r>
              <m:t>W</m:t>
            </m:r>
          </m:e>
        </m:acc>
      </m:oMath>
      <w:r>
        <w:rPr>
          <w:i/>
          <w:iCs/>
        </w:rPr>
        <w:t xml:space="preserve"> </w:t>
      </w:r>
      <w:r>
        <w:rPr>
          <w:i/>
          <w:iCs/>
        </w:rPr>
        <w:t xml:space="preserve">on</w:t>
      </w:r>
      <w:r>
        <w:rPr>
          <w:i/>
          <w:iCs/>
        </w:rPr>
        <w:t xml:space="preserve"> </w:t>
      </w:r>
      <m:oMath>
        <m:r>
          <m:rPr>
            <m:sty m:val="p"/>
          </m:rPr>
          <m:t>(</m:t>
        </m:r>
        <m:sSub>
          <m:e>
            <m:r>
              <m:rPr>
                <m:sty m:val="p"/>
              </m:rPr>
              <m:t>Δ</m:t>
            </m:r>
          </m:e>
          <m:sub>
            <m:r>
              <m:t>K</m:t>
            </m:r>
          </m:sub>
        </m:sSub>
        <m:r>
          <m:rPr>
            <m:sty m:val="p"/>
          </m:rPr>
          <m:t>,</m:t>
        </m:r>
        <m:sSub>
          <m:e>
            <m:r>
              <m:t>g</m:t>
            </m:r>
          </m:e>
          <m:sub>
            <m:r>
              <m:t>F</m:t>
            </m:r>
          </m:sub>
        </m:sSub>
        <m:r>
          <m:rPr>
            <m:sty m:val="p"/>
          </m:rPr>
          <m:t>)</m:t>
        </m:r>
      </m:oMath>
      <w:r>
        <w:rPr>
          <w:i/>
          <w:iCs/>
        </w:rPr>
        <w:t xml:space="preserve">. The rate of increase in</w:t>
      </w:r>
      <w:r>
        <w:rPr>
          <w:i/>
          <w:iCs/>
        </w:rPr>
        <w:t xml:space="preserve"> </w:t>
      </w:r>
      <m:oMath>
        <m:acc>
          <m:accPr>
            <m:chr m:val="‾"/>
          </m:accPr>
          <m:e>
            <m:r>
              <m:t>W</m:t>
            </m:r>
          </m:e>
        </m:acc>
      </m:oMath>
      <w:r>
        <w:rPr>
          <w:i/>
          <w:iCs/>
        </w:rPr>
        <w:t xml:space="preserve"> </w:t>
      </w:r>
      <w:r>
        <w:rPr>
          <w:i/>
          <w:iCs/>
        </w:rPr>
        <w:t xml:space="preserve">satisfies:</w:t>
      </w:r>
      <w:r>
        <w:rPr>
          <w:i/>
          <w:iCs/>
        </w:rPr>
        <w:t xml:space="preserve"> </w:t>
      </w:r>
      <m:oMathPara>
        <m:oMathParaPr>
          <m:jc m:val="center"/>
        </m:oMathParaPr>
        <m:oMath>
          <m:f>
            <m:fPr>
              <m:type m:val="bar"/>
            </m:fPr>
            <m:num>
              <m:r>
                <m:t>d</m:t>
              </m:r>
              <m:acc>
                <m:accPr>
                  <m:chr m:val="‾"/>
                </m:accPr>
                <m:e>
                  <m:r>
                    <m:t>W</m:t>
                  </m:r>
                </m:e>
              </m:acc>
            </m:num>
            <m:den>
              <m:r>
                <m:t>d</m:t>
              </m:r>
              <m:r>
                <m:t>t</m:t>
              </m:r>
            </m:den>
          </m:f>
          <m:r>
            <m:rPr>
              <m:sty m:val="p"/>
            </m:rPr>
            <m:t>=</m:t>
          </m:r>
          <m:sSubSup>
            <m:e>
              <m:d>
                <m:dPr>
                  <m:begChr m:val="∥"/>
                  <m:sepChr m:val=""/>
                  <m:endChr m:val="∥"/>
                  <m:grow/>
                </m:dPr>
                <m:e>
                  <m:sSub>
                    <m:e>
                      <m:r>
                        <m:rPr>
                          <m:sty m:val="p"/>
                        </m:rPr>
                        <m:t>∇</m:t>
                      </m:r>
                    </m:e>
                    <m:sub>
                      <m:sSub>
                        <m:e>
                          <m:r>
                            <m:t>g</m:t>
                          </m:r>
                        </m:e>
                        <m:sub>
                          <m:r>
                            <m:t>F</m:t>
                          </m:r>
                        </m:sub>
                      </m:sSub>
                    </m:sub>
                  </m:sSub>
                  <m:acc>
                    <m:accPr>
                      <m:chr m:val="‾"/>
                    </m:accPr>
                    <m:e>
                      <m:r>
                        <m:t>W</m:t>
                      </m:r>
                    </m:e>
                  </m:acc>
                </m:e>
              </m:d>
            </m:e>
            <m:sub>
              <m:sSub>
                <m:e>
                  <m:r>
                    <m:t>g</m:t>
                  </m:r>
                </m:e>
                <m:sub>
                  <m:r>
                    <m:t>F</m:t>
                  </m:r>
                </m:sub>
              </m:sSub>
            </m:sub>
            <m:sup>
              <m:r>
                <m:t>2</m:t>
              </m:r>
            </m:sup>
          </m:sSubSup>
          <m:r>
            <m:rPr>
              <m:sty m:val="p"/>
            </m:rPr>
            <m:t>=</m:t>
          </m:r>
          <m:f>
            <m:fPr>
              <m:type m:val="bar"/>
            </m:fPr>
            <m:num>
              <m:sSub>
                <m:e>
                  <m:r>
                    <m:t>V</m:t>
                  </m:r>
                </m:e>
                <m:sub>
                  <m:r>
                    <m:t>A</m:t>
                  </m:r>
                </m:sub>
              </m:sSub>
            </m:num>
            <m:den>
              <m:acc>
                <m:accPr>
                  <m:chr m:val="‾"/>
                </m:accPr>
                <m:e>
                  <m:r>
                    <m:t>W</m:t>
                  </m:r>
                </m:e>
              </m:acc>
            </m:den>
          </m:f>
        </m:oMath>
      </m:oMathPara>
      <w:r>
        <w:rPr>
          <w:i/>
          <w:iCs/>
        </w:rPr>
        <w:t xml:space="preserve"> </w:t>
      </w:r>
      <w:r>
        <w:rPr>
          <w:i/>
          <w:iCs/>
        </w:rPr>
        <w:t xml:space="preserve">which is Fisher’s Fundamental Theorem of Natural Selection.</w:t>
      </w:r>
    </w:p>
    <w:p>
      <w:pPr>
        <w:pStyle w:val="FirstParagraph"/>
      </w:pPr>
      <w:r>
        <w:rPr>
          <w:i/>
          <w:iCs/>
        </w:rPr>
        <w:t xml:space="preserve">Proof sketch.</w:t>
      </w:r>
      <w:r>
        <w:t xml:space="preserve"> </w:t>
      </w:r>
      <w:r>
        <w:t xml:space="preserve">The squared natural-gradient norm on</w:t>
      </w:r>
      <w:r>
        <w:t xml:space="preserve"> </w:t>
      </w:r>
      <m:oMath>
        <m:r>
          <m:rPr>
            <m:sty m:val="p"/>
          </m:rPr>
          <m:t>(</m:t>
        </m:r>
        <m:sSub>
          <m:e>
            <m:r>
              <m:rPr>
                <m:sty m:val="p"/>
              </m:rPr>
              <m:t>Δ</m:t>
            </m:r>
          </m:e>
          <m:sub>
            <m:r>
              <m:t>K</m:t>
            </m:r>
          </m:sub>
        </m:sSub>
        <m:r>
          <m:rPr>
            <m:sty m:val="p"/>
          </m:rPr>
          <m:t>,</m:t>
        </m:r>
        <m:sSub>
          <m:e>
            <m:r>
              <m:t>g</m:t>
            </m:r>
          </m:e>
          <m:sub>
            <m:r>
              <m:t>F</m:t>
            </m:r>
          </m:sub>
        </m:sSub>
        <m:r>
          <m:rPr>
            <m:sty m:val="p"/>
          </m:rPr>
          <m:t>)</m:t>
        </m:r>
      </m:oMath>
      <w:r>
        <w:t xml:space="preserve"> </w:t>
      </w:r>
      <w:r>
        <w:t xml:space="preserve">is:</w:t>
      </w:r>
    </w:p>
    <w:p>
      <w:pPr>
        <w:pStyle w:val="BodyText"/>
      </w:pPr>
      <m:oMathPara>
        <m:oMathParaPr>
          <m:jc m:val="center"/>
        </m:oMathParaPr>
        <m:oMath>
          <m:sSubSup>
            <m:e>
              <m:d>
                <m:dPr>
                  <m:begChr m:val="∥"/>
                  <m:sepChr m:val=""/>
                  <m:endChr m:val="∥"/>
                  <m:grow/>
                </m:dPr>
                <m:e>
                  <m:sSub>
                    <m:e>
                      <m:r>
                        <m:rPr>
                          <m:sty m:val="p"/>
                        </m:rPr>
                        <m:t>∇</m:t>
                      </m:r>
                    </m:e>
                    <m:sub>
                      <m:sSub>
                        <m:e>
                          <m:r>
                            <m:t>g</m:t>
                          </m:r>
                        </m:e>
                        <m:sub>
                          <m:r>
                            <m:t>F</m:t>
                          </m:r>
                        </m:sub>
                      </m:sSub>
                    </m:sub>
                  </m:sSub>
                  <m:acc>
                    <m:accPr>
                      <m:chr m:val="‾"/>
                    </m:accPr>
                    <m:e>
                      <m:r>
                        <m:t>W</m:t>
                      </m:r>
                    </m:e>
                  </m:acc>
                </m:e>
              </m:d>
            </m:e>
            <m:sub>
              <m:sSub>
                <m:e>
                  <m:r>
                    <m:t>g</m:t>
                  </m:r>
                </m:e>
                <m:sub>
                  <m:r>
                    <m:t>F</m:t>
                  </m:r>
                </m:sub>
              </m:sSub>
            </m:sub>
            <m:sup>
              <m:r>
                <m:t>2</m:t>
              </m:r>
            </m:sup>
          </m:sSubSup>
          <m:r>
            <m:rPr>
              <m:sty m:val="p"/>
            </m:rPr>
            <m:t>=</m:t>
          </m:r>
          <m:sSup>
            <m:e>
              <m:d>
                <m:dPr>
                  <m:begChr m:val="("/>
                  <m:sepChr m:val=""/>
                  <m:endChr m:val=")"/>
                  <m:grow/>
                </m:dPr>
                <m:e>
                  <m:sSub>
                    <m:e>
                      <m:r>
                        <m:rPr>
                          <m:sty m:val="p"/>
                        </m:rPr>
                        <m:t>∇</m:t>
                      </m:r>
                    </m:e>
                    <m:sub>
                      <m:r>
                        <m:rPr>
                          <m:sty m:val="bi"/>
                        </m:rPr>
                        <m:t>p</m:t>
                      </m:r>
                    </m:sub>
                  </m:sSub>
                  <m:r>
                    <m:t> </m:t>
                  </m:r>
                  <m:acc>
                    <m:accPr>
                      <m:chr m:val="‾"/>
                    </m:accPr>
                    <m:e>
                      <m:r>
                        <m:t>W</m:t>
                      </m:r>
                    </m:e>
                  </m:acc>
                </m:e>
              </m:d>
            </m:e>
            <m:sup>
              <m:r>
                <m:rPr>
                  <m:sty m:val="p"/>
                </m:rPr>
                <m:t>⊤</m:t>
              </m:r>
            </m:sup>
          </m:sSup>
          <m:sSubSup>
            <m:e>
              <m:r>
                <m:t>g</m:t>
              </m:r>
            </m:e>
            <m:sub>
              <m:r>
                <m:t>F</m:t>
              </m:r>
            </m:sub>
            <m:sup>
              <m:r>
                <m:rPr>
                  <m:sty m:val="p"/>
                </m:rPr>
                <m:t>−</m:t>
              </m:r>
              <m:r>
                <m:t>1</m:t>
              </m:r>
            </m:sup>
          </m:sSubSup>
          <m:r>
            <m:rPr>
              <m:sty m:val="p"/>
            </m:rPr>
            <m:t>(</m:t>
          </m:r>
          <m:r>
            <m:rPr>
              <m:sty m:val="bi"/>
            </m:rPr>
            <m:t>p</m:t>
          </m:r>
          <m:r>
            <m:rPr>
              <m:sty m:val="p"/>
            </m:rPr>
            <m:t>)</m:t>
          </m:r>
          <m:r>
            <m:t> </m:t>
          </m:r>
          <m:sSub>
            <m:e>
              <m:r>
                <m:rPr>
                  <m:sty m:val="p"/>
                </m:rPr>
                <m:t>∇</m:t>
              </m:r>
            </m:e>
            <m:sub>
              <m:r>
                <m:rPr>
                  <m:sty m:val="bi"/>
                </m:rPr>
                <m:t>p</m:t>
              </m:r>
            </m:sub>
          </m:sSub>
          <m:r>
            <m:t> </m:t>
          </m:r>
          <m:acc>
            <m:accPr>
              <m:chr m:val="‾"/>
            </m:accPr>
            <m:e>
              <m:r>
                <m:t>W</m:t>
              </m:r>
            </m:e>
          </m:acc>
        </m:oMath>
      </m:oMathPara>
    </w:p>
    <w:p>
      <w:pPr>
        <w:pStyle w:val="FirstParagraph"/>
      </w:pPr>
      <w:r>
        <w:t xml:space="preserve">Under the infinitesimal model,</w:t>
      </w:r>
      <w:r>
        <w:t xml:space="preserve"> </w:t>
      </w:r>
      <m:oMath>
        <m:acc>
          <m:accPr>
            <m:chr m:val="‾"/>
          </m:accPr>
          <m:e>
            <m:r>
              <m:t>W</m:t>
            </m:r>
          </m:e>
        </m:acc>
        <m:r>
          <m:rPr>
            <m:sty m:val="p"/>
          </m:rPr>
          <m:t>(</m:t>
        </m:r>
        <m:r>
          <m:rPr>
            <m:sty m:val="bi"/>
          </m:rPr>
          <m:t>p</m:t>
        </m:r>
        <m:r>
          <m:rPr>
            <m:sty m:val="p"/>
          </m:rPr>
          <m:t>)</m:t>
        </m:r>
        <m:r>
          <m:rPr>
            <m:sty m:val="p"/>
          </m:rPr>
          <m:t>=</m:t>
        </m:r>
        <m:nary>
          <m:naryPr>
            <m:chr m:val="∑"/>
            <m:limLoc m:val="undOvr"/>
            <m:subHide m:val="off"/>
            <m:supHide m:val="on"/>
          </m:naryPr>
          <m:sub>
            <m:r>
              <m:t>g</m:t>
            </m:r>
          </m:sub>
          <m:sup>
            <m:r>
              <m:t>​</m:t>
            </m:r>
          </m:sup>
          <m:e>
            <m:r>
              <m:t>w</m:t>
            </m:r>
          </m:e>
        </m:nary>
        <m:r>
          <m:rPr>
            <m:sty m:val="p"/>
          </m:rPr>
          <m:t>(</m:t>
        </m:r>
        <m:r>
          <m:t>g</m:t>
        </m:r>
        <m:r>
          <m:rPr>
            <m:sty m:val="p"/>
          </m:rPr>
          <m:t>)</m:t>
        </m:r>
        <m:sSub>
          <m:e>
            <m:r>
              <m:t>p</m:t>
            </m:r>
          </m:e>
          <m:sub>
            <m:r>
              <m:t>g</m:t>
            </m:r>
          </m:sub>
        </m:sSub>
      </m:oMath>
      <w:r>
        <w:t xml:space="preserve">. The breeding value of each genotype</w:t>
      </w:r>
      <w:r>
        <w:t xml:space="preserve"> </w:t>
      </w:r>
      <m:oMath>
        <m:r>
          <m:t>g</m:t>
        </m:r>
      </m:oMath>
      <w:r>
        <w:t xml:space="preserve"> </w:t>
      </w:r>
      <w:r>
        <w:t xml:space="preserve">with respect to fitness is</w:t>
      </w:r>
      <w:r>
        <w:t xml:space="preserve"> </w:t>
      </w:r>
      <m:oMath>
        <m:sSub>
          <m:e>
            <m:r>
              <m:t>a</m:t>
            </m:r>
          </m:e>
          <m:sub>
            <m:r>
              <m:t>g</m:t>
            </m:r>
          </m:sub>
        </m:sSub>
        <m:r>
          <m:rPr>
            <m:sty m:val="p"/>
          </m:rPr>
          <m:t>=</m:t>
        </m:r>
        <m:r>
          <m:rPr>
            <m:scr m:val="double-struck"/>
            <m:sty m:val="p"/>
          </m:rPr>
          <m:t>E</m:t>
        </m:r>
        <m:r>
          <m:rPr>
            <m:sty m:val="p"/>
          </m:rPr>
          <m:t>[</m:t>
        </m:r>
        <m:r>
          <m:t>w</m:t>
        </m:r>
        <m:r>
          <m:rPr>
            <m:sty m:val="p"/>
          </m:rPr>
          <m:t>|</m:t>
        </m:r>
        <m:r>
          <m:t>g</m:t>
        </m:r>
        <m:r>
          <m:rPr>
            <m:sty m:val="p"/>
          </m:rPr>
          <m:t>]</m:t>
        </m:r>
        <m:r>
          <m:rPr>
            <m:sty m:val="p"/>
          </m:rPr>
          <m:t>−</m:t>
        </m:r>
        <m:acc>
          <m:accPr>
            <m:chr m:val="‾"/>
          </m:accPr>
          <m:e>
            <m:r>
              <m:t>W</m:t>
            </m:r>
          </m:e>
        </m:acc>
      </m:oMath>
      <w:r>
        <w:t xml:space="preserve">, and additive genetic variance is</w:t>
      </w:r>
      <w:r>
        <w:t xml:space="preserve"> </w:t>
      </w:r>
      <m:oMath>
        <m:sSub>
          <m:e>
            <m:r>
              <m:t>V</m:t>
            </m:r>
          </m:e>
          <m:sub>
            <m:r>
              <m:t>A</m:t>
            </m:r>
          </m:sub>
        </m:sSub>
        <m:r>
          <m:rPr>
            <m:sty m:val="p"/>
          </m:rPr>
          <m:t>=</m:t>
        </m:r>
        <m:nary>
          <m:naryPr>
            <m:chr m:val="∑"/>
            <m:limLoc m:val="undOvr"/>
            <m:subHide m:val="off"/>
            <m:supHide m:val="on"/>
          </m:naryPr>
          <m:sub>
            <m:r>
              <m:t>g</m:t>
            </m:r>
          </m:sub>
          <m:sup>
            <m:r>
              <m:t>​</m:t>
            </m:r>
          </m:sup>
          <m:e>
            <m:sSub>
              <m:e>
                <m:r>
                  <m:t>p</m:t>
                </m:r>
              </m:e>
              <m:sub>
                <m:r>
                  <m:t>g</m:t>
                </m:r>
              </m:sub>
            </m:sSub>
          </m:e>
        </m:nary>
        <m:sSubSup>
          <m:e>
            <m:r>
              <m:t>a</m:t>
            </m:r>
          </m:e>
          <m:sub>
            <m:r>
              <m:t>g</m:t>
            </m:r>
          </m:sub>
          <m:sup>
            <m:r>
              <m:t>2</m:t>
            </m:r>
          </m:sup>
        </m:sSubSup>
        <m:r>
          <m:rPr>
            <m:sty m:val="p"/>
          </m:rPr>
          <m:t>=</m:t>
        </m:r>
        <m:sSub>
          <m:e>
            <m:r>
              <m:rPr>
                <m:sty m:val="p"/>
              </m:rPr>
              <m:t>V</m:t>
            </m:r>
            <m:r>
              <m:rPr>
                <m:sty m:val="p"/>
              </m:rPr>
              <m:t>a</m:t>
            </m:r>
            <m:r>
              <m:rPr>
                <m:sty m:val="p"/>
              </m:rPr>
              <m:t>r</m:t>
            </m:r>
          </m:e>
          <m:sub>
            <m:r>
              <m:t>A</m:t>
            </m:r>
          </m:sub>
        </m:sSub>
        <m:r>
          <m:rPr>
            <m:sty m:val="p"/>
          </m:rPr>
          <m:t>(</m:t>
        </m:r>
        <m:r>
          <m:t>w</m:t>
        </m:r>
        <m:r>
          <m:rPr>
            <m:sty m:val="p"/>
          </m:rPr>
          <m:t>)</m:t>
        </m:r>
      </m:oMath>
      <w:r>
        <w:t xml:space="preserve">. Direct computation gives:</w:t>
      </w:r>
    </w:p>
    <w:p>
      <w:pPr>
        <w:pStyle w:val="BodyText"/>
      </w:pPr>
      <m:oMathPara>
        <m:oMathParaPr>
          <m:jc m:val="center"/>
        </m:oMathParaPr>
        <m:oMath>
          <m:sSup>
            <m:e>
              <m:d>
                <m:dPr>
                  <m:begChr m:val="("/>
                  <m:sepChr m:val=""/>
                  <m:endChr m:val=")"/>
                  <m:grow/>
                </m:dPr>
                <m:e>
                  <m:sSub>
                    <m:e>
                      <m:r>
                        <m:rPr>
                          <m:sty m:val="p"/>
                        </m:rPr>
                        <m:t>∇</m:t>
                      </m:r>
                    </m:e>
                    <m:sub>
                      <m:r>
                        <m:rPr>
                          <m:sty m:val="bi"/>
                        </m:rPr>
                        <m:t>p</m:t>
                      </m:r>
                    </m:sub>
                  </m:sSub>
                  <m:r>
                    <m:t> </m:t>
                  </m:r>
                  <m:acc>
                    <m:accPr>
                      <m:chr m:val="‾"/>
                    </m:accPr>
                    <m:e>
                      <m:r>
                        <m:t>W</m:t>
                      </m:r>
                    </m:e>
                  </m:acc>
                </m:e>
              </m:d>
            </m:e>
            <m:sup>
              <m:r>
                <m:rPr>
                  <m:sty m:val="p"/>
                </m:rPr>
                <m:t>⊤</m:t>
              </m:r>
            </m:sup>
          </m:sSup>
          <m:sSubSup>
            <m:e>
              <m:r>
                <m:t>g</m:t>
              </m:r>
            </m:e>
            <m:sub>
              <m:r>
                <m:t>F</m:t>
              </m:r>
            </m:sub>
            <m:sup>
              <m:r>
                <m:rPr>
                  <m:sty m:val="p"/>
                </m:rPr>
                <m:t>−</m:t>
              </m:r>
              <m:r>
                <m:t>1</m:t>
              </m:r>
            </m:sup>
          </m:sSubSup>
          <m:r>
            <m:rPr>
              <m:sty m:val="p"/>
            </m:rPr>
            <m:t>(</m:t>
          </m:r>
          <m:r>
            <m:rPr>
              <m:sty m:val="bi"/>
            </m:rPr>
            <m:t>p</m:t>
          </m:r>
          <m:r>
            <m:rPr>
              <m:sty m:val="p"/>
            </m:rPr>
            <m:t>)</m:t>
          </m:r>
          <m:r>
            <m:t> </m:t>
          </m:r>
          <m:sSub>
            <m:e>
              <m:r>
                <m:rPr>
                  <m:sty m:val="p"/>
                </m:rPr>
                <m:t>∇</m:t>
              </m:r>
            </m:e>
            <m:sub>
              <m:r>
                <m:rPr>
                  <m:sty m:val="bi"/>
                </m:rPr>
                <m:t>p</m:t>
              </m:r>
            </m:sub>
          </m:sSub>
          <m:r>
            <m:t> </m:t>
          </m:r>
          <m:acc>
            <m:accPr>
              <m:chr m:val="‾"/>
            </m:accPr>
            <m:e>
              <m:r>
                <m:t>W</m:t>
              </m:r>
            </m:e>
          </m:acc>
          <m:r>
            <m:rPr>
              <m:sty m:val="p"/>
            </m:rPr>
            <m:t>=</m:t>
          </m:r>
          <m:nary>
            <m:naryPr>
              <m:chr m:val="∑"/>
              <m:limLoc m:val="undOvr"/>
              <m:subHide m:val="off"/>
              <m:supHide m:val="on"/>
            </m:naryPr>
            <m:sub>
              <m:r>
                <m:t>k</m:t>
              </m:r>
            </m:sub>
            <m:sup>
              <m:r>
                <m:t>​</m:t>
              </m:r>
            </m:sup>
            <m:e>
              <m:f>
                <m:fPr>
                  <m:type m:val="bar"/>
                </m:fPr>
                <m:num>
                  <m:r>
                    <m:t>1</m:t>
                  </m:r>
                </m:num>
                <m:den>
                  <m:sSub>
                    <m:e>
                      <m:r>
                        <m:t>p</m:t>
                      </m:r>
                    </m:e>
                    <m:sub>
                      <m:r>
                        <m:t>k</m:t>
                      </m:r>
                    </m:sub>
                  </m:sSub>
                </m:den>
              </m:f>
            </m:e>
          </m:nary>
          <m:sSup>
            <m:e>
              <m:d>
                <m:dPr>
                  <m:begChr m:val="("/>
                  <m:sepChr m:val=""/>
                  <m:endChr m:val=")"/>
                  <m:grow/>
                </m:dPr>
                <m:e>
                  <m:f>
                    <m:fPr>
                      <m:type m:val="bar"/>
                    </m:fPr>
                    <m:num>
                      <m:r>
                        <m:rPr>
                          <m:sty m:val="p"/>
                        </m:rPr>
                        <m:t>∂</m:t>
                      </m:r>
                      <m:acc>
                        <m:accPr>
                          <m:chr m:val="‾"/>
                        </m:accPr>
                        <m:e>
                          <m:r>
                            <m:t>W</m:t>
                          </m:r>
                        </m:e>
                      </m:acc>
                    </m:num>
                    <m:den>
                      <m:r>
                        <m:rPr>
                          <m:sty m:val="p"/>
                        </m:rPr>
                        <m:t>∂</m:t>
                      </m:r>
                      <m:sSub>
                        <m:e>
                          <m:r>
                            <m:t>p</m:t>
                          </m:r>
                        </m:e>
                        <m:sub>
                          <m:r>
                            <m:t>k</m:t>
                          </m:r>
                        </m:sub>
                      </m:sSub>
                    </m:den>
                  </m:f>
                </m:e>
              </m:d>
            </m:e>
            <m:sup>
              <m:r>
                <m:t>2</m:t>
              </m:r>
            </m:sup>
          </m:sSup>
          <m:sSubSup>
            <m:e>
              <m:r>
                <m:t>p</m:t>
              </m:r>
            </m:e>
            <m:sub>
              <m:r>
                <m:t>k</m:t>
              </m:r>
            </m:sub>
            <m:sup>
              <m:r>
                <m:t>2</m:t>
              </m:r>
            </m:sup>
          </m:sSubSup>
          <m:r>
            <m:rPr>
              <m:sty m:val="p"/>
            </m:rPr>
            <m:t>=</m:t>
          </m:r>
          <m:nary>
            <m:naryPr>
              <m:chr m:val="∑"/>
              <m:limLoc m:val="undOvr"/>
              <m:subHide m:val="off"/>
              <m:supHide m:val="on"/>
            </m:naryPr>
            <m:sub>
              <m:r>
                <m:t>k</m:t>
              </m:r>
            </m:sub>
            <m:sup>
              <m:r>
                <m:t>​</m:t>
              </m:r>
            </m:sup>
            <m:e>
              <m:sSub>
                <m:e>
                  <m:r>
                    <m:t>p</m:t>
                  </m:r>
                </m:e>
                <m:sub>
                  <m:r>
                    <m:t>k</m:t>
                  </m:r>
                </m:sub>
              </m:sSub>
            </m:e>
          </m:nary>
          <m:r>
            <m:t> </m:t>
          </m:r>
          <m:sSubSup>
            <m:e>
              <m:r>
                <m:t>a</m:t>
              </m:r>
            </m:e>
            <m:sub>
              <m:r>
                <m:t>k</m:t>
              </m:r>
            </m:sub>
            <m:sup>
              <m:r>
                <m:t>2</m:t>
              </m:r>
            </m:sup>
          </m:sSubSup>
          <m:r>
            <m:rPr>
              <m:sty m:val="p"/>
            </m:rPr>
            <m:t>⋅</m:t>
          </m:r>
          <m:f>
            <m:fPr>
              <m:type m:val="bar"/>
            </m:fPr>
            <m:num>
              <m:r>
                <m:t>1</m:t>
              </m:r>
            </m:num>
            <m:den>
              <m:sSup>
                <m:e>
                  <m:acc>
                    <m:accPr>
                      <m:chr m:val="‾"/>
                    </m:accPr>
                    <m:e>
                      <m:r>
                        <m:t>W</m:t>
                      </m:r>
                    </m:e>
                  </m:acc>
                </m:e>
                <m:sup>
                  <m:r>
                    <m:t>2</m:t>
                  </m:r>
                </m:sup>
              </m:sSup>
            </m:den>
          </m:f>
          <m:r>
            <m:rPr>
              <m:sty m:val="p"/>
            </m:rPr>
            <m:t>⋅</m:t>
          </m:r>
          <m:sSup>
            <m:e>
              <m:acc>
                <m:accPr>
                  <m:chr m:val="‾"/>
                </m:accPr>
                <m:e>
                  <m:r>
                    <m:t>W</m:t>
                  </m:r>
                </m:e>
              </m:acc>
            </m:e>
            <m:sup>
              <m:r>
                <m:t>2</m:t>
              </m:r>
            </m:sup>
          </m:sSup>
          <m:r>
            <m:rPr>
              <m:sty m:val="p"/>
            </m:rPr>
            <m:t>=</m:t>
          </m:r>
          <m:sSub>
            <m:e>
              <m:r>
                <m:t>V</m:t>
              </m:r>
            </m:e>
            <m:sub>
              <m:r>
                <m:t>A</m:t>
              </m:r>
            </m:sub>
          </m:sSub>
        </m:oMath>
      </m:oMathPara>
    </w:p>
    <w:p>
      <w:pPr>
        <w:pStyle w:val="FirstParagraph"/>
      </w:pPr>
      <w:r>
        <w:t xml:space="preserve">The factor</w:t>
      </w:r>
      <w:r>
        <w:t xml:space="preserve"> </w:t>
      </w:r>
      <m:oMath>
        <m:acc>
          <m:accPr>
            <m:chr m:val="‾"/>
          </m:accPr>
          <m:e>
            <m:r>
              <m:t>W</m:t>
            </m:r>
          </m:e>
        </m:acc>
      </m:oMath>
      <w:r>
        <w:t xml:space="preserve"> </w:t>
      </w:r>
      <w:r>
        <w:t xml:space="preserve">enters because the gradient of relative fitness</w:t>
      </w:r>
      <w:r>
        <w:t xml:space="preserve"> </w:t>
      </w:r>
      <m:oMath>
        <m:r>
          <m:t>w</m:t>
        </m:r>
        <m:r>
          <m:rPr>
            <m:sty m:val="p"/>
          </m:rPr>
          <m:t>/</m:t>
        </m:r>
        <m:acc>
          <m:accPr>
            <m:chr m:val="‾"/>
          </m:accPr>
          <m:e>
            <m:r>
              <m:t>W</m:t>
            </m:r>
          </m:e>
        </m:acc>
      </m:oMath>
      <w:r>
        <w:t xml:space="preserve"> </w:t>
      </w:r>
      <w:r>
        <w:t xml:space="preserve">is involved; the complete calculation, following Frank </w:t>
      </w:r>
      <w:r>
        <w:t xml:space="preserve">(Frank 2012)</w:t>
      </w:r>
      <w:r>
        <w:t xml:space="preserve">, yields the stated result</w:t>
      </w:r>
      <w:r>
        <w:t xml:space="preserve"> </w:t>
      </w:r>
      <m:oMath>
        <m:sSub>
          <m:e>
            <m:r>
              <m:t>V</m:t>
            </m:r>
          </m:e>
          <m:sub>
            <m:r>
              <m:t>A</m:t>
            </m:r>
          </m:sub>
        </m:sSub>
        <m:r>
          <m:rPr>
            <m:sty m:val="p"/>
          </m:rPr>
          <m:t>/</m:t>
        </m:r>
        <m:acc>
          <m:accPr>
            <m:chr m:val="‾"/>
          </m:accPr>
          <m:e>
            <m:r>
              <m:t>W</m:t>
            </m:r>
          </m:e>
        </m:acc>
      </m:oMath>
      <w:r>
        <w:t xml:space="preserve">. Since</w:t>
      </w:r>
      <w:r>
        <w:t xml:space="preserve"> </w:t>
      </w:r>
      <m:oMath>
        <m:r>
          <m:t>d</m:t>
        </m:r>
        <m:acc>
          <m:accPr>
            <m:chr m:val="‾"/>
          </m:accPr>
          <m:e>
            <m:r>
              <m:t>W</m:t>
            </m:r>
          </m:e>
        </m:acc>
        <m:r>
          <m:rPr>
            <m:sty m:val="p"/>
          </m:rPr>
          <m:t>/</m:t>
        </m:r>
        <m:r>
          <m:t>d</m:t>
        </m:r>
        <m:r>
          <m:t>t</m:t>
        </m:r>
        <m:r>
          <m:rPr>
            <m:sty m:val="p"/>
          </m:rPr>
          <m:t>=</m:t>
        </m:r>
        <m:r>
          <m:rPr>
            <m:sty m:val="p"/>
          </m:rPr>
          <m:t>⟨</m:t>
        </m:r>
        <m:acc>
          <m:accPr>
            <m:chr m:val="̇"/>
          </m:accPr>
          <m:e>
            <m:r>
              <m:rPr>
                <m:sty m:val="bi"/>
              </m:rPr>
              <m:t>p</m:t>
            </m:r>
          </m:e>
        </m:acc>
        <m:r>
          <m:rPr>
            <m:sty m:val="p"/>
          </m:rPr>
          <m:t>,</m:t>
        </m:r>
        <m:r>
          <m:t> </m:t>
        </m:r>
        <m:sSub>
          <m:e>
            <m:r>
              <m:rPr>
                <m:sty m:val="p"/>
              </m:rPr>
              <m:t>∇</m:t>
            </m:r>
          </m:e>
          <m:sub>
            <m:r>
              <m:rPr>
                <m:sty m:val="bi"/>
              </m:rPr>
              <m:t>p</m:t>
            </m:r>
          </m:sub>
        </m:sSub>
        <m:acc>
          <m:accPr>
            <m:chr m:val="‾"/>
          </m:accPr>
          <m:e>
            <m:r>
              <m:t>W</m:t>
            </m:r>
          </m:e>
        </m:acc>
        <m:r>
          <m:rPr>
            <m:sty m:val="p"/>
          </m:rPr>
          <m:t>⟩</m:t>
        </m:r>
        <m:r>
          <m:rPr>
            <m:sty m:val="p"/>
          </m:rPr>
          <m:t>=</m:t>
        </m:r>
        <m:r>
          <m:rPr>
            <m:sty m:val="p"/>
          </m:rPr>
          <m:t>∥</m:t>
        </m:r>
        <m:sSub>
          <m:e>
            <m:r>
              <m:rPr>
                <m:sty m:val="p"/>
              </m:rPr>
              <m:t>∇</m:t>
            </m:r>
          </m:e>
          <m:sub>
            <m:sSub>
              <m:e>
                <m:r>
                  <m:t>g</m:t>
                </m:r>
              </m:e>
              <m:sub>
                <m:r>
                  <m:t>F</m:t>
                </m:r>
              </m:sub>
            </m:sSub>
          </m:sub>
        </m:sSub>
        <m:acc>
          <m:accPr>
            <m:chr m:val="‾"/>
          </m:accPr>
          <m:e>
            <m:r>
              <m:t>W</m:t>
            </m:r>
          </m:e>
        </m:acc>
        <m:sSubSup>
          <m:e>
            <m:r>
              <m:rPr>
                <m:sty m:val="p"/>
              </m:rPr>
              <m:t>∥</m:t>
            </m:r>
          </m:e>
          <m:sub>
            <m:sSub>
              <m:e>
                <m:r>
                  <m:t>g</m:t>
                </m:r>
              </m:e>
              <m:sub>
                <m:r>
                  <m:t>F</m:t>
                </m:r>
              </m:sub>
            </m:sSub>
          </m:sub>
          <m:sup>
            <m:r>
              <m:t>2</m:t>
            </m:r>
          </m:sup>
        </m:sSubSup>
      </m:oMath>
      <w:r>
        <w:t xml:space="preserve">, the result follows. Full derivation in Supplementary Note 1. ◻</w:t>
      </w:r>
    </w:p>
    <w:bookmarkStart w:id="13" w:name="interpretation."/>
    <w:p>
      <w:pPr>
        <w:pStyle w:val="Heading4"/>
      </w:pPr>
      <w:r>
        <w:t xml:space="preserve">Interpretation.</w:t>
      </w:r>
    </w:p>
    <w:p>
      <w:pPr>
        <w:pStyle w:val="FirstParagraph"/>
      </w:pPr>
      <w:r>
        <w:t xml:space="preserve">The FTNS is the convergence theorem for natural gradient learning:</w:t>
      </w:r>
      <w:r>
        <w:t xml:space="preserve"> </w:t>
      </w:r>
      <m:oMath>
        <m:sSub>
          <m:e>
            <m:r>
              <m:t>V</m:t>
            </m:r>
          </m:e>
          <m:sub>
            <m:r>
              <m:t>A</m:t>
            </m:r>
          </m:sub>
        </m:sSub>
      </m:oMath>
      <w:r>
        <w:t xml:space="preserve"> </w:t>
      </w:r>
      <w:r>
        <w:t xml:space="preserve">is the squared natural-gradient norm, and the rate of adaptive evolution is determined by the steepness of the fitness landscape in the manifold’s intrinsic geometry—resolving the long-standing interpretive debate </w:t>
      </w:r>
      <w:r>
        <w:t xml:space="preserve">(Ewens 1989; Lessard 1997)</w:t>
      </w:r>
      <w:r>
        <w:t xml:space="preserve"> </w:t>
      </w:r>
      <w:r>
        <w:t xml:space="preserve">with a canonical geometric meaning.</w:t>
      </w:r>
    </w:p>
    <w:bookmarkEnd w:id="13"/>
    <w:bookmarkEnd w:id="14"/>
    <w:bookmarkStart w:id="15" w:name="X2e4e55e8147db1cdd172c7ca61cb13d714b4a2e"/>
    <w:p>
      <w:pPr>
        <w:pStyle w:val="Heading2"/>
      </w:pPr>
      <w:r>
        <w:t xml:space="preserve">Theorem 2: The Price Equation as the ERM First-Order Condition</w:t>
      </w:r>
    </w:p>
    <w:p>
      <w:pPr>
        <w:pStyle w:val="FirstParagraph"/>
      </w:pPr>
      <w:r>
        <w:t xml:space="preserve">The Price Equation </w:t>
      </w:r>
      <w:r>
        <w:t xml:space="preserve">(Price 1970, 1972)</w:t>
      </w:r>
      <w:r>
        <w:t xml:space="preserve"> </w:t>
      </w:r>
      <w:r>
        <w:t xml:space="preserve">for the change in mean phenotypic value</w:t>
      </w:r>
      <w:r>
        <w:t xml:space="preserve"> </w:t>
      </w:r>
      <m:oMath>
        <m:acc>
          <m:accPr>
            <m:chr m:val="‾"/>
          </m:accPr>
          <m:e>
            <m:r>
              <m:t>z</m:t>
            </m:r>
          </m:e>
        </m:acc>
      </m:oMath>
      <w:r>
        <w:t xml:space="preserve"> </w:t>
      </w:r>
      <w:r>
        <w:t xml:space="preserve">between generations is:</w:t>
      </w:r>
    </w:p>
    <w:p>
      <w:pPr>
        <w:pStyle w:val="BodyText"/>
      </w:pPr>
      <m:oMathPara>
        <m:oMathParaPr>
          <m:jc m:val="center"/>
        </m:oMathParaPr>
        <m:oMath>
          <m:r>
            <m:rPr>
              <m:sty m:val="p"/>
            </m:rPr>
            <m:t>Δ</m:t>
          </m:r>
          <m:acc>
            <m:accPr>
              <m:chr m:val="‾"/>
            </m:accPr>
            <m:e>
              <m:r>
                <m:t>z</m:t>
              </m:r>
            </m:e>
          </m:acc>
          <m:r>
            <m:rPr>
              <m:sty m:val="p"/>
            </m:rPr>
            <m:t>=</m:t>
          </m:r>
          <m:f>
            <m:fPr>
              <m:type m:val="bar"/>
            </m:fPr>
            <m:num>
              <m:r>
                <m:rPr>
                  <m:sty m:val="p"/>
                </m:rPr>
                <m:t>C</m:t>
              </m:r>
              <m:r>
                <m:rPr>
                  <m:sty m:val="p"/>
                </m:rPr>
                <m:t>o</m:t>
              </m:r>
              <m:r>
                <m:rPr>
                  <m:sty m:val="p"/>
                </m:rPr>
                <m:t>v</m:t>
              </m:r>
              <m:r>
                <m:rPr>
                  <m:sty m:val="p"/>
                </m:rPr>
                <m:t>(</m:t>
              </m:r>
              <m:r>
                <m:t>w</m:t>
              </m:r>
              <m:r>
                <m:rPr>
                  <m:sty m:val="p"/>
                </m:rPr>
                <m:t>,</m:t>
              </m:r>
              <m:r>
                <m:t>z</m:t>
              </m:r>
              <m:r>
                <m:rPr>
                  <m:sty m:val="p"/>
                </m:rPr>
                <m:t>)</m:t>
              </m:r>
            </m:num>
            <m:den>
              <m:acc>
                <m:accPr>
                  <m:chr m:val="‾"/>
                </m:accPr>
                <m:e>
                  <m:r>
                    <m:t>w</m:t>
                  </m:r>
                </m:e>
              </m:acc>
            </m:den>
          </m:f>
          <m:r>
            <m:rPr>
              <m:sty m:val="p"/>
            </m:rPr>
            <m:t>+</m:t>
          </m:r>
          <m:f>
            <m:fPr>
              <m:type m:val="bar"/>
            </m:fPr>
            <m:num>
              <m:r>
                <m:rPr>
                  <m:scr m:val="double-struck"/>
                  <m:sty m:val="p"/>
                </m:rPr>
                <m:t>E</m:t>
              </m:r>
              <m:r>
                <m:rPr>
                  <m:sty m:val="p"/>
                </m:rPr>
                <m:t>[</m:t>
              </m:r>
              <m:r>
                <m:t>w</m:t>
              </m:r>
              <m:r>
                <m:t> </m:t>
              </m:r>
              <m:r>
                <m:rPr>
                  <m:sty m:val="p"/>
                </m:rPr>
                <m:t>Δ</m:t>
              </m:r>
              <m:r>
                <m:t>z</m:t>
              </m:r>
              <m:r>
                <m:rPr>
                  <m:sty m:val="p"/>
                </m:rPr>
                <m:t>]</m:t>
              </m:r>
            </m:num>
            <m:den>
              <m:acc>
                <m:accPr>
                  <m:chr m:val="‾"/>
                </m:accPr>
                <m:e>
                  <m:r>
                    <m:t>w</m:t>
                  </m:r>
                </m:e>
              </m:acc>
            </m:den>
          </m:f>
        </m:oMath>
      </m:oMathPara>
    </w:p>
    <w:p>
      <w:pPr>
        <w:pStyle w:val="FirstParagraph"/>
      </w:pPr>
      <w:r>
        <w:t xml:space="preserve">where the first term captures selection and the second captures transmission (mutation, recombination, development).</w:t>
      </w:r>
    </w:p>
    <w:p>
      <w:pPr>
        <w:pStyle w:val="BodyText"/>
      </w:pPr>
      <w:r>
        <w:rPr>
          <w:b/>
          <w:bCs/>
        </w:rPr>
        <w:t xml:space="preserve">Theorem 2</w:t>
      </w:r>
      <w:r>
        <w:t xml:space="preserve"> </w:t>
      </w:r>
      <w:r>
        <w:t xml:space="preserve">(Price–ERM Equivalence).</w:t>
      </w:r>
      <w:r>
        <w:t xml:space="preserve"> </w:t>
      </w:r>
      <w:r>
        <w:t xml:space="preserve"> </w:t>
      </w:r>
      <w:r>
        <w:rPr>
          <w:i/>
          <w:iCs/>
        </w:rPr>
        <w:t xml:space="preserve">Define the population empirical risk as</w:t>
      </w:r>
      <w:r>
        <w:rPr>
          <w:i/>
          <w:iCs/>
        </w:rPr>
        <w:t xml:space="preserve"> </w:t>
      </w:r>
      <m:oMath>
        <m:acc>
          <m:accPr>
            <m:chr m:val="̂"/>
          </m:accPr>
          <m:e>
            <m:r>
              <m:t>R</m:t>
            </m:r>
          </m:e>
        </m:acc>
        <m:r>
          <m:rPr>
            <m:sty m:val="p"/>
          </m:rPr>
          <m:t>(</m:t>
        </m:r>
        <m:sSub>
          <m:e>
            <m:r>
              <m:t>P</m:t>
            </m:r>
          </m:e>
          <m:sub>
            <m:r>
              <m:t>t</m:t>
            </m:r>
          </m:sub>
        </m:sSub>
        <m:r>
          <m:rPr>
            <m:sty m:val="p"/>
          </m:rPr>
          <m:t>)</m:t>
        </m:r>
        <m:r>
          <m:rPr>
            <m:sty m:val="p"/>
          </m:rPr>
          <m:t>=</m:t>
        </m:r>
        <m:r>
          <m:rPr>
            <m:sty m:val="p"/>
          </m:rPr>
          <m:t>−</m:t>
        </m:r>
        <m:acc>
          <m:accPr>
            <m:chr m:val="‾"/>
          </m:accPr>
          <m:e>
            <m:r>
              <m:t>W</m:t>
            </m:r>
          </m:e>
        </m:acc>
        <m:r>
          <m:rPr>
            <m:sty m:val="p"/>
          </m:rPr>
          <m:t>(</m:t>
        </m:r>
        <m:sSub>
          <m:e>
            <m:r>
              <m:t>P</m:t>
            </m:r>
          </m:e>
          <m:sub>
            <m:r>
              <m:t>t</m:t>
            </m:r>
          </m:sub>
        </m:sSub>
        <m:r>
          <m:rPr>
            <m:sty m:val="p"/>
          </m:rPr>
          <m:t>)</m:t>
        </m:r>
      </m:oMath>
      <w:r>
        <w:rPr>
          <w:i/>
          <w:iCs/>
        </w:rPr>
        <w:t xml:space="preserve"> </w:t>
      </w:r>
      <w:r>
        <w:rPr>
          <w:i/>
          <w:iCs/>
        </w:rPr>
        <w:t xml:space="preserve">where</w:t>
      </w:r>
      <w:r>
        <w:rPr>
          <w:i/>
          <w:iCs/>
        </w:rPr>
        <w:t xml:space="preserve"> </w:t>
      </w:r>
      <m:oMath>
        <m:sSub>
          <m:e>
            <m:r>
              <m:t>P</m:t>
            </m:r>
          </m:e>
          <m:sub>
            <m:r>
              <m:t>t</m:t>
            </m:r>
          </m:sub>
        </m:sSub>
      </m:oMath>
      <w:r>
        <w:rPr>
          <w:i/>
          <w:iCs/>
        </w:rPr>
        <w:t xml:space="preserve"> </w:t>
      </w:r>
      <w:r>
        <w:rPr>
          <w:i/>
          <w:iCs/>
        </w:rPr>
        <w:t xml:space="preserve">is the distribution over genotypes at generation</w:t>
      </w:r>
      <w:r>
        <w:rPr>
          <w:i/>
          <w:iCs/>
        </w:rPr>
        <w:t xml:space="preserve"> </w:t>
      </w:r>
      <m:oMath>
        <m:r>
          <m:t>t</m:t>
        </m:r>
      </m:oMath>
      <w:r>
        <w:rPr>
          <w:i/>
          <w:iCs/>
        </w:rPr>
        <w:t xml:space="preserve">. The functional gradient of</w:t>
      </w:r>
      <w:r>
        <w:rPr>
          <w:i/>
          <w:iCs/>
        </w:rPr>
        <w:t xml:space="preserve"> </w:t>
      </w:r>
      <m:oMath>
        <m:acc>
          <m:accPr>
            <m:chr m:val="̂"/>
          </m:accPr>
          <m:e>
            <m:r>
              <m:t>R</m:t>
            </m:r>
          </m:e>
        </m:acc>
      </m:oMath>
      <w:r>
        <w:rPr>
          <w:i/>
          <w:iCs/>
        </w:rPr>
        <w:t xml:space="preserve"> </w:t>
      </w:r>
      <w:r>
        <w:rPr>
          <w:i/>
          <w:iCs/>
        </w:rPr>
        <w:t xml:space="preserve">with respect to</w:t>
      </w:r>
      <w:r>
        <w:rPr>
          <w:i/>
          <w:iCs/>
        </w:rPr>
        <w:t xml:space="preserve"> </w:t>
      </w:r>
      <m:oMath>
        <m:sSub>
          <m:e>
            <m:r>
              <m:t>P</m:t>
            </m:r>
          </m:e>
          <m:sub>
            <m:r>
              <m:t>t</m:t>
            </m:r>
          </m:sub>
        </m:sSub>
      </m:oMath>
      <w:r>
        <w:rPr>
          <w:i/>
          <w:iCs/>
        </w:rPr>
        <w:t xml:space="preserve"> </w:t>
      </w:r>
      <w:r>
        <w:rPr>
          <w:i/>
          <w:iCs/>
        </w:rPr>
        <w:t xml:space="preserve">is</w:t>
      </w:r>
      <w:r>
        <w:rPr>
          <w:i/>
          <w:iCs/>
        </w:rPr>
        <w:t xml:space="preserve"> </w:t>
      </w:r>
      <m:oMath>
        <m:r>
          <m:t>δ</m:t>
        </m:r>
        <m:acc>
          <m:accPr>
            <m:chr m:val="̂"/>
          </m:accPr>
          <m:e>
            <m:r>
              <m:t>R</m:t>
            </m:r>
          </m:e>
        </m:acc>
        <m:r>
          <m:rPr>
            <m:sty m:val="p"/>
          </m:rPr>
          <m:t>/</m:t>
        </m:r>
        <m:r>
          <m:t>δ</m:t>
        </m:r>
        <m:sSub>
          <m:e>
            <m:r>
              <m:t>P</m:t>
            </m:r>
          </m:e>
          <m:sub>
            <m:r>
              <m:t>t</m:t>
            </m:r>
          </m:sub>
        </m:sSub>
        <m:r>
          <m:rPr>
            <m:sty m:val="p"/>
          </m:rPr>
          <m:t>=</m:t>
        </m:r>
        <m:r>
          <m:rPr>
            <m:sty m:val="p"/>
          </m:rPr>
          <m:t>−</m:t>
        </m:r>
        <m:r>
          <m:rPr>
            <m:sty m:val="p"/>
          </m:rPr>
          <m:t>(</m:t>
        </m:r>
        <m:r>
          <m:t>w</m:t>
        </m:r>
        <m:r>
          <m:rPr>
            <m:sty m:val="p"/>
          </m:rPr>
          <m:t>(</m:t>
        </m:r>
        <m:r>
          <m:t>g</m:t>
        </m:r>
        <m:r>
          <m:rPr>
            <m:sty m:val="p"/>
          </m:rPr>
          <m:t>)</m:t>
        </m:r>
        <m:r>
          <m:rPr>
            <m:sty m:val="p"/>
          </m:rPr>
          <m:t>−</m:t>
        </m:r>
        <m:acc>
          <m:accPr>
            <m:chr m:val="‾"/>
          </m:accPr>
          <m:e>
            <m:r>
              <m:t>W</m:t>
            </m:r>
          </m:e>
        </m:acc>
        <m:r>
          <m:rPr>
            <m:sty m:val="p"/>
          </m:rPr>
          <m:t>)</m:t>
        </m:r>
      </m:oMath>
      <w:r>
        <w:rPr>
          <w:i/>
          <w:iCs/>
        </w:rPr>
        <w:t xml:space="preserve">. The induced change in mean phenotype under this gradient is:</w:t>
      </w:r>
      <w:r>
        <w:rPr>
          <w:i/>
          <w:iCs/>
        </w:rPr>
        <w:t xml:space="preserve"> </w:t>
      </w:r>
      <m:oMathPara>
        <m:oMathParaPr>
          <m:jc m:val="center"/>
        </m:oMathParaPr>
        <m:oMath>
          <m:r>
            <m:rPr>
              <m:sty m:val="p"/>
            </m:rPr>
            <m:t>Δ</m:t>
          </m:r>
          <m:acc>
            <m:accPr>
              <m:chr m:val="‾"/>
            </m:accPr>
            <m:e>
              <m:r>
                <m:t>z</m:t>
              </m:r>
            </m:e>
          </m:acc>
          <m:sSub>
            <m:e>
              <m:r>
                <m:rPr>
                  <m:sty m:val="p"/>
                </m:rPr>
                <m:t>|</m:t>
              </m:r>
            </m:e>
            <m:sub>
              <m:r>
                <m:rPr>
                  <m:nor/>
                  <m:sty m:val="p"/>
                </m:rPr>
                <m:t>selection</m:t>
              </m:r>
            </m:sub>
          </m:sSub>
          <m:r>
            <m:rPr>
              <m:sty m:val="p"/>
            </m:rPr>
            <m:t>=</m:t>
          </m:r>
          <m:r>
            <m:rPr>
              <m:sty m:val="p"/>
            </m:rPr>
            <m:t>−</m:t>
          </m:r>
          <m:r>
            <m:t>η</m:t>
          </m:r>
          <m:d>
            <m:dPr>
              <m:begChr m:val="⟨"/>
              <m:sepChr m:val=""/>
              <m:endChr m:val="⟩"/>
              <m:grow/>
            </m:dPr>
            <m:e>
              <m:f>
                <m:fPr>
                  <m:type m:val="bar"/>
                </m:fPr>
                <m:num>
                  <m:r>
                    <m:t>δ</m:t>
                  </m:r>
                  <m:acc>
                    <m:accPr>
                      <m:chr m:val="̂"/>
                    </m:accPr>
                    <m:e>
                      <m:r>
                        <m:t>R</m:t>
                      </m:r>
                    </m:e>
                  </m:acc>
                </m:num>
                <m:den>
                  <m:r>
                    <m:t>δ</m:t>
                  </m:r>
                  <m:sSub>
                    <m:e>
                      <m:r>
                        <m:t>P</m:t>
                      </m:r>
                    </m:e>
                    <m:sub>
                      <m:r>
                        <m:t>t</m:t>
                      </m:r>
                    </m:sub>
                  </m:sSub>
                </m:den>
              </m:f>
              <m:r>
                <m:rPr>
                  <m:sty m:val="p"/>
                </m:rPr>
                <m:t>,</m:t>
              </m:r>
              <m:r>
                <m:t> </m:t>
              </m:r>
              <m:r>
                <m:t>z</m:t>
              </m:r>
            </m:e>
          </m:d>
          <m:r>
            <m:rPr>
              <m:sty m:val="p"/>
            </m:rPr>
            <m:t>=</m:t>
          </m:r>
          <m:f>
            <m:fPr>
              <m:type m:val="bar"/>
            </m:fPr>
            <m:num>
              <m:r>
                <m:rPr>
                  <m:sty m:val="p"/>
                </m:rPr>
                <m:t>C</m:t>
              </m:r>
              <m:r>
                <m:rPr>
                  <m:sty m:val="p"/>
                </m:rPr>
                <m:t>o</m:t>
              </m:r>
              <m:r>
                <m:rPr>
                  <m:sty m:val="p"/>
                </m:rPr>
                <m:t>v</m:t>
              </m:r>
              <m:r>
                <m:rPr>
                  <m:sty m:val="p"/>
                </m:rPr>
                <m:t>(</m:t>
              </m:r>
              <m:r>
                <m:t>w</m:t>
              </m:r>
              <m:r>
                <m:rPr>
                  <m:sty m:val="p"/>
                </m:rPr>
                <m:t>,</m:t>
              </m:r>
              <m:r>
                <m:t>z</m:t>
              </m:r>
              <m:r>
                <m:rPr>
                  <m:sty m:val="p"/>
                </m:rPr>
                <m:t>)</m:t>
              </m:r>
            </m:num>
            <m:den>
              <m:acc>
                <m:accPr>
                  <m:chr m:val="‾"/>
                </m:accPr>
                <m:e>
                  <m:r>
                    <m:t>w</m:t>
                  </m:r>
                </m:e>
              </m:acc>
            </m:den>
          </m:f>
        </m:oMath>
      </m:oMathPara>
      <w:r>
        <w:rPr>
          <w:i/>
          <w:iCs/>
        </w:rPr>
        <w:t xml:space="preserve"> </w:t>
      </w:r>
      <w:r>
        <w:rPr>
          <w:i/>
          <w:iCs/>
        </w:rPr>
        <w:t xml:space="preserve">which is the selection term of the Price Equation. The transmission term</w:t>
      </w:r>
      <w:r>
        <w:rPr>
          <w:i/>
          <w:iCs/>
        </w:rPr>
        <w:t xml:space="preserve"> </w:t>
      </w:r>
      <m:oMath>
        <m:r>
          <m:rPr>
            <m:scr m:val="double-struck"/>
            <m:sty m:val="p"/>
          </m:rPr>
          <m:t>E</m:t>
        </m:r>
        <m:r>
          <m:rPr>
            <m:sty m:val="p"/>
          </m:rPr>
          <m:t>[</m:t>
        </m:r>
        <m:r>
          <m:t>w</m:t>
        </m:r>
        <m:r>
          <m:t> </m:t>
        </m:r>
        <m:r>
          <m:rPr>
            <m:sty m:val="p"/>
          </m:rPr>
          <m:t>Δ</m:t>
        </m:r>
        <m:r>
          <m:t>z</m:t>
        </m:r>
        <m:r>
          <m:rPr>
            <m:sty m:val="p"/>
          </m:rPr>
          <m:t>]</m:t>
        </m:r>
        <m:r>
          <m:rPr>
            <m:sty m:val="p"/>
          </m:rPr>
          <m:t>/</m:t>
        </m:r>
        <m:acc>
          <m:accPr>
            <m:chr m:val="‾"/>
          </m:accPr>
          <m:e>
            <m:r>
              <m:t>w</m:t>
            </m:r>
          </m:e>
        </m:acc>
      </m:oMath>
      <w:r>
        <w:rPr>
          <w:i/>
          <w:iCs/>
        </w:rPr>
        <w:t xml:space="preserve"> </w:t>
      </w:r>
      <w:r>
        <w:rPr>
          <w:i/>
          <w:iCs/>
        </w:rPr>
        <w:t xml:space="preserve">corresponds to updates in the feature map</w:t>
      </w:r>
      <w:r>
        <w:rPr>
          <w:i/>
          <w:iCs/>
        </w:rPr>
        <w:t xml:space="preserve"> </w:t>
      </w:r>
      <m:oMath>
        <m:r>
          <m:t>φ</m:t>
        </m:r>
        <m:r>
          <m:rPr>
            <m:sty m:val="p"/>
          </m:rPr>
          <m:t>:</m:t>
        </m:r>
        <m:r>
          <m:rPr>
            <m:sty m:val="bi"/>
          </m:rPr>
          <m:t>G</m:t>
        </m:r>
        <m:r>
          <m:rPr>
            <m:sty m:val="p"/>
          </m:rPr>
          <m:t>→</m:t>
        </m:r>
        <m:r>
          <m:rPr>
            <m:scr m:val="script"/>
            <m:sty m:val="p"/>
          </m:rPr>
          <m:t>P</m:t>
        </m:r>
      </m:oMath>
      <w:r>
        <w:rPr>
          <w:i/>
          <w:iCs/>
        </w:rPr>
        <w:t xml:space="preserve">—changes to the genotype-to-phenotype map itself—and is the evolutionary analogue of meta-learning or architecture search.</w:t>
      </w:r>
    </w:p>
    <w:p>
      <w:pPr>
        <w:pStyle w:val="FirstParagraph"/>
      </w:pPr>
      <w:r>
        <w:rPr>
          <w:i/>
          <w:iCs/>
        </w:rPr>
        <w:t xml:space="preserve">Proof sketch.</w:t>
      </w:r>
      <w:r>
        <w:t xml:space="preserve"> </w:t>
      </w:r>
      <w:r>
        <w:t xml:space="preserve">The functional derivative of</w:t>
      </w:r>
      <w:r>
        <w:t xml:space="preserve"> </w:t>
      </w:r>
      <m:oMath>
        <m:acc>
          <m:accPr>
            <m:chr m:val="‾"/>
          </m:accPr>
          <m:e>
            <m:r>
              <m:t>W</m:t>
            </m:r>
          </m:e>
        </m:acc>
        <m:r>
          <m:rPr>
            <m:sty m:val="p"/>
          </m:rPr>
          <m:t>=</m:t>
        </m:r>
        <m:r>
          <m:rPr>
            <m:sty m:val="p"/>
          </m:rPr>
          <m:t>∫</m:t>
        </m:r>
        <m:r>
          <m:t>w</m:t>
        </m:r>
        <m:r>
          <m:rPr>
            <m:sty m:val="p"/>
          </m:rPr>
          <m:t>(</m:t>
        </m:r>
        <m:r>
          <m:t>g</m:t>
        </m:r>
        <m:r>
          <m:rPr>
            <m:sty m:val="p"/>
          </m:rPr>
          <m:t>)</m:t>
        </m:r>
        <m:r>
          <m:t> </m:t>
        </m:r>
        <m:r>
          <m:t>d</m:t>
        </m:r>
        <m:sSub>
          <m:e>
            <m:r>
              <m:t>P</m:t>
            </m:r>
          </m:e>
          <m:sub>
            <m:r>
              <m:t>t</m:t>
            </m:r>
          </m:sub>
        </m:sSub>
        <m:r>
          <m:rPr>
            <m:sty m:val="p"/>
          </m:rPr>
          <m:t>(</m:t>
        </m:r>
        <m:r>
          <m:t>g</m:t>
        </m:r>
        <m:r>
          <m:rPr>
            <m:sty m:val="p"/>
          </m:rPr>
          <m:t>)</m:t>
        </m:r>
      </m:oMath>
      <w:r>
        <w:t xml:space="preserve"> </w:t>
      </w:r>
      <w:r>
        <w:t xml:space="preserve">with respect to the measure</w:t>
      </w:r>
      <w:r>
        <w:t xml:space="preserve"> </w:t>
      </w:r>
      <m:oMath>
        <m:sSub>
          <m:e>
            <m:r>
              <m:t>P</m:t>
            </m:r>
          </m:e>
          <m:sub>
            <m:r>
              <m:t>t</m:t>
            </m:r>
          </m:sub>
        </m:sSub>
      </m:oMath>
      <w:r>
        <w:t xml:space="preserve"> </w:t>
      </w:r>
      <w:r>
        <w:t xml:space="preserve">is</w:t>
      </w:r>
      <w:r>
        <w:t xml:space="preserve"> </w:t>
      </w:r>
      <m:oMath>
        <m:r>
          <m:t>δ</m:t>
        </m:r>
        <m:acc>
          <m:accPr>
            <m:chr m:val="‾"/>
          </m:accPr>
          <m:e>
            <m:r>
              <m:t>W</m:t>
            </m:r>
          </m:e>
        </m:acc>
        <m:r>
          <m:rPr>
            <m:sty m:val="p"/>
          </m:rPr>
          <m:t>/</m:t>
        </m:r>
        <m:r>
          <m:t>δ</m:t>
        </m:r>
        <m:sSub>
          <m:e>
            <m:r>
              <m:t>P</m:t>
            </m:r>
          </m:e>
          <m:sub>
            <m:r>
              <m:t>t</m:t>
            </m:r>
          </m:sub>
        </m:sSub>
        <m:r>
          <m:rPr>
            <m:sty m:val="p"/>
          </m:rPr>
          <m:t>(</m:t>
        </m:r>
        <m:r>
          <m:t>g</m:t>
        </m:r>
        <m:r>
          <m:rPr>
            <m:sty m:val="p"/>
          </m:rPr>
          <m:t>)</m:t>
        </m:r>
        <m:r>
          <m:rPr>
            <m:sty m:val="p"/>
          </m:rPr>
          <m:t>=</m:t>
        </m:r>
        <m:r>
          <m:t>w</m:t>
        </m:r>
        <m:r>
          <m:rPr>
            <m:sty m:val="p"/>
          </m:rPr>
          <m:t>(</m:t>
        </m:r>
        <m:r>
          <m:t>g</m:t>
        </m:r>
        <m:r>
          <m:rPr>
            <m:sty m:val="p"/>
          </m:rPr>
          <m:t>)</m:t>
        </m:r>
        <m:r>
          <m:rPr>
            <m:sty m:val="p"/>
          </m:rPr>
          <m:t>−</m:t>
        </m:r>
        <m:acc>
          <m:accPr>
            <m:chr m:val="‾"/>
          </m:accPr>
          <m:e>
            <m:r>
              <m:t>W</m:t>
            </m:r>
          </m:e>
        </m:acc>
      </m:oMath>
      <w:r>
        <w:t xml:space="preserve"> </w:t>
      </w:r>
      <w:r>
        <w:t xml:space="preserve">(the deviation of individual fitness from the mean). The change in</w:t>
      </w:r>
      <w:r>
        <w:t xml:space="preserve"> </w:t>
      </w:r>
      <m:oMath>
        <m:acc>
          <m:accPr>
            <m:chr m:val="‾"/>
          </m:accPr>
          <m:e>
            <m:r>
              <m:t>z</m:t>
            </m:r>
          </m:e>
        </m:acc>
        <m:r>
          <m:rPr>
            <m:sty m:val="p"/>
          </m:rPr>
          <m:t>=</m:t>
        </m:r>
        <m:r>
          <m:rPr>
            <m:sty m:val="p"/>
          </m:rPr>
          <m:t>∫</m:t>
        </m:r>
        <m:r>
          <m:t>z</m:t>
        </m:r>
        <m:r>
          <m:rPr>
            <m:sty m:val="p"/>
          </m:rPr>
          <m:t>(</m:t>
        </m:r>
        <m:r>
          <m:t>g</m:t>
        </m:r>
        <m:r>
          <m:rPr>
            <m:sty m:val="p"/>
          </m:rPr>
          <m:t>)</m:t>
        </m:r>
        <m:r>
          <m:t> </m:t>
        </m:r>
        <m:r>
          <m:t>d</m:t>
        </m:r>
        <m:sSub>
          <m:e>
            <m:r>
              <m:t>P</m:t>
            </m:r>
          </m:e>
          <m:sub>
            <m:r>
              <m:t>t</m:t>
            </m:r>
          </m:sub>
        </m:sSub>
        <m:r>
          <m:rPr>
            <m:sty m:val="p"/>
          </m:rPr>
          <m:t>(</m:t>
        </m:r>
        <m:r>
          <m:t>g</m:t>
        </m:r>
        <m:r>
          <m:rPr>
            <m:sty m:val="p"/>
          </m:rPr>
          <m:t>)</m:t>
        </m:r>
      </m:oMath>
      <w:r>
        <w:t xml:space="preserve"> </w:t>
      </w:r>
      <w:r>
        <w:t xml:space="preserve">induced by moving</w:t>
      </w:r>
      <w:r>
        <w:t xml:space="preserve"> </w:t>
      </w:r>
      <m:oMath>
        <m:sSub>
          <m:e>
            <m:r>
              <m:t>P</m:t>
            </m:r>
          </m:e>
          <m:sub>
            <m:r>
              <m:t>t</m:t>
            </m:r>
          </m:sub>
        </m:sSub>
      </m:oMath>
      <w:r>
        <w:t xml:space="preserve"> </w:t>
      </w:r>
      <w:r>
        <w:t xml:space="preserve">in the direction</w:t>
      </w:r>
      <w:r>
        <w:t xml:space="preserve"> </w:t>
      </w:r>
      <m:oMath>
        <m:r>
          <m:rPr>
            <m:sty m:val="p"/>
          </m:rPr>
          <m:t>−</m:t>
        </m:r>
        <m:r>
          <m:t>δ</m:t>
        </m:r>
        <m:acc>
          <m:accPr>
            <m:chr m:val="̂"/>
          </m:accPr>
          <m:e>
            <m:r>
              <m:t>R</m:t>
            </m:r>
          </m:e>
        </m:acc>
        <m:r>
          <m:rPr>
            <m:sty m:val="p"/>
          </m:rPr>
          <m:t>/</m:t>
        </m:r>
        <m:r>
          <m:t>δ</m:t>
        </m:r>
        <m:sSub>
          <m:e>
            <m:r>
              <m:t>P</m:t>
            </m:r>
          </m:e>
          <m:sub>
            <m:r>
              <m:t>t</m:t>
            </m:r>
          </m:sub>
        </m:sSub>
      </m:oMath>
      <w:r>
        <w:t xml:space="preserve"> </w:t>
      </w:r>
      <w:r>
        <w:t xml:space="preserve">is:</w:t>
      </w:r>
    </w:p>
    <w:p>
      <w:pPr>
        <w:pStyle w:val="BodyText"/>
      </w:pPr>
      <m:oMathPara>
        <m:oMathParaPr>
          <m:jc m:val="center"/>
        </m:oMathParaPr>
        <m:oMath>
          <m:r>
            <m:rPr>
              <m:sty m:val="p"/>
            </m:rPr>
            <m:t>Δ</m:t>
          </m:r>
          <m:acc>
            <m:accPr>
              <m:chr m:val="‾"/>
            </m:accPr>
            <m:e>
              <m:r>
                <m:t>z</m:t>
              </m:r>
            </m:e>
          </m:acc>
          <m:r>
            <m:rPr>
              <m:sty m:val="p"/>
            </m:rPr>
            <m:t>=</m:t>
          </m:r>
          <m:r>
            <m:rPr>
              <m:sty m:val="p"/>
            </m:rPr>
            <m:t>∫</m:t>
          </m:r>
          <m:r>
            <m:t>z</m:t>
          </m:r>
          <m:r>
            <m:rPr>
              <m:sty m:val="p"/>
            </m:rPr>
            <m:t>(</m:t>
          </m:r>
          <m:r>
            <m:t>g</m:t>
          </m:r>
          <m:r>
            <m:rPr>
              <m:sty m:val="p"/>
            </m:rPr>
            <m:t>)</m:t>
          </m:r>
          <m:r>
            <m:rPr>
              <m:sty m:val="p"/>
            </m:rPr>
            <m:t>⋅</m:t>
          </m:r>
          <m:f>
            <m:fPr>
              <m:type m:val="bar"/>
            </m:fPr>
            <m:num>
              <m:r>
                <m:t>δ</m:t>
              </m:r>
              <m:acc>
                <m:accPr>
                  <m:chr m:val="‾"/>
                </m:accPr>
                <m:e>
                  <m:r>
                    <m:t>W</m:t>
                  </m:r>
                </m:e>
              </m:acc>
            </m:num>
            <m:den>
              <m:r>
                <m:t>δ</m:t>
              </m:r>
              <m:sSub>
                <m:e>
                  <m:r>
                    <m:t>P</m:t>
                  </m:r>
                </m:e>
                <m:sub>
                  <m:r>
                    <m:t>t</m:t>
                  </m:r>
                </m:sub>
              </m:sSub>
              <m:r>
                <m:rPr>
                  <m:sty m:val="p"/>
                </m:rPr>
                <m:t>(</m:t>
              </m:r>
              <m:r>
                <m:t>g</m:t>
              </m:r>
              <m:r>
                <m:rPr>
                  <m:sty m:val="p"/>
                </m:rPr>
                <m:t>)</m:t>
              </m:r>
            </m:den>
          </m:f>
          <m:r>
            <m:t> </m:t>
          </m:r>
          <m:r>
            <m:t>d</m:t>
          </m:r>
          <m:sSub>
            <m:e>
              <m:r>
                <m:t>P</m:t>
              </m:r>
            </m:e>
            <m:sub>
              <m:r>
                <m:t>t</m:t>
              </m:r>
            </m:sub>
          </m:sSub>
          <m:r>
            <m:rPr>
              <m:sty m:val="p"/>
            </m:rPr>
            <m:t>(</m:t>
          </m:r>
          <m:r>
            <m:t>g</m:t>
          </m:r>
          <m:r>
            <m:rPr>
              <m:sty m:val="p"/>
            </m:rPr>
            <m:t>)</m:t>
          </m:r>
          <m:r>
            <m:rPr>
              <m:sty m:val="p"/>
            </m:rPr>
            <m:t>=</m:t>
          </m:r>
          <m:r>
            <m:rPr>
              <m:sty m:val="p"/>
            </m:rPr>
            <m:t>∫</m:t>
          </m:r>
          <m:r>
            <m:t>z</m:t>
          </m:r>
          <m:r>
            <m:rPr>
              <m:sty m:val="p"/>
            </m:rPr>
            <m:t>(</m:t>
          </m:r>
          <m:r>
            <m:t>g</m:t>
          </m:r>
          <m:r>
            <m:rPr>
              <m:sty m:val="p"/>
            </m:rPr>
            <m:t>)</m:t>
          </m:r>
          <m:r>
            <m:rPr>
              <m:sty m:val="p"/>
            </m:rPr>
            <m:t>(</m:t>
          </m:r>
          <m:r>
            <m:t>w</m:t>
          </m:r>
          <m:r>
            <m:rPr>
              <m:sty m:val="p"/>
            </m:rPr>
            <m:t>(</m:t>
          </m:r>
          <m:r>
            <m:t>g</m:t>
          </m:r>
          <m:r>
            <m:rPr>
              <m:sty m:val="p"/>
            </m:rPr>
            <m:t>)</m:t>
          </m:r>
          <m:r>
            <m:rPr>
              <m:sty m:val="p"/>
            </m:rPr>
            <m:t>−</m:t>
          </m:r>
          <m:acc>
            <m:accPr>
              <m:chr m:val="‾"/>
            </m:accPr>
            <m:e>
              <m:r>
                <m:t>W</m:t>
              </m:r>
            </m:e>
          </m:acc>
          <m:r>
            <m:rPr>
              <m:sty m:val="p"/>
            </m:rPr>
            <m:t>)</m:t>
          </m:r>
          <m:r>
            <m:t> </m:t>
          </m:r>
          <m:r>
            <m:t>d</m:t>
          </m:r>
          <m:sSub>
            <m:e>
              <m:r>
                <m:t>P</m:t>
              </m:r>
            </m:e>
            <m:sub>
              <m:r>
                <m:t>t</m:t>
              </m:r>
            </m:sub>
          </m:sSub>
          <m:r>
            <m:rPr>
              <m:sty m:val="p"/>
            </m:rPr>
            <m:t>(</m:t>
          </m:r>
          <m:r>
            <m:t>g</m:t>
          </m:r>
          <m:r>
            <m:rPr>
              <m:sty m:val="p"/>
            </m:rPr>
            <m:t>)</m:t>
          </m:r>
          <m:r>
            <m:rPr>
              <m:sty m:val="p"/>
            </m:rPr>
            <m:t>=</m:t>
          </m:r>
          <m:r>
            <m:rPr>
              <m:sty m:val="p"/>
            </m:rPr>
            <m:t>C</m:t>
          </m:r>
          <m:r>
            <m:rPr>
              <m:sty m:val="p"/>
            </m:rPr>
            <m:t>o</m:t>
          </m:r>
          <m:r>
            <m:rPr>
              <m:sty m:val="p"/>
            </m:rPr>
            <m:t>v</m:t>
          </m:r>
          <m:r>
            <m:rPr>
              <m:sty m:val="p"/>
            </m:rPr>
            <m:t>(</m:t>
          </m:r>
          <m:r>
            <m:t>w</m:t>
          </m:r>
          <m:r>
            <m:rPr>
              <m:sty m:val="p"/>
            </m:rPr>
            <m:t>,</m:t>
          </m:r>
          <m:r>
            <m:t>z</m:t>
          </m:r>
          <m:r>
            <m:rPr>
              <m:sty m:val="p"/>
            </m:rPr>
            <m:t>)</m:t>
          </m:r>
        </m:oMath>
      </m:oMathPara>
    </w:p>
    <w:p>
      <w:pPr>
        <w:pStyle w:val="FirstParagraph"/>
      </w:pPr>
      <w:r>
        <w:t xml:space="preserve">Normalizing by</w:t>
      </w:r>
      <w:r>
        <w:t xml:space="preserve"> </w:t>
      </w:r>
      <m:oMath>
        <m:acc>
          <m:accPr>
            <m:chr m:val="‾"/>
          </m:accPr>
          <m:e>
            <m:r>
              <m:t>w</m:t>
            </m:r>
          </m:e>
        </m:acc>
      </m:oMath>
      <w:r>
        <w:t xml:space="preserve"> </w:t>
      </w:r>
      <w:r>
        <w:t xml:space="preserve">recovers the Robertson–Price identity. The transmission term arises from changes in</w:t>
      </w:r>
      <w:r>
        <w:t xml:space="preserve"> </w:t>
      </w:r>
      <m:oMath>
        <m:r>
          <m:t>z</m:t>
        </m:r>
        <m:r>
          <m:rPr>
            <m:sty m:val="p"/>
          </m:rPr>
          <m:t>(</m:t>
        </m:r>
        <m:r>
          <m:t>g</m:t>
        </m:r>
        <m:r>
          <m:rPr>
            <m:sty m:val="p"/>
          </m:rPr>
          <m:t>)</m:t>
        </m:r>
      </m:oMath>
      <w:r>
        <w:t xml:space="preserve"> </w:t>
      </w:r>
      <w:r>
        <w:t xml:space="preserve">itself (phenotypic change per genotype, due to mutation, development, or recombination), corresponding to updates in the hypothesis class</w:t>
      </w:r>
      <w:r>
        <w:t xml:space="preserve"> </w:t>
      </w:r>
      <m:oMath>
        <m:r>
          <m:rPr>
            <m:scr m:val="script"/>
            <m:sty m:val="p"/>
          </m:rPr>
          <m:t>H</m:t>
        </m:r>
      </m:oMath>
      <w:r>
        <w:t xml:space="preserve">. Full derivation in Supplementary Note 2. ◻</w:t>
      </w:r>
    </w:p>
    <w:p>
      <w:pPr>
        <w:pStyle w:val="BodyText"/>
      </w:pPr>
      <w:r>
        <w:rPr>
          <w:b/>
          <w:bCs/>
        </w:rPr>
        <w:t xml:space="preserve">Corollary 3</w:t>
      </w:r>
      <w:r>
        <w:t xml:space="preserve">.</w:t>
      </w:r>
      <w:r>
        <w:t xml:space="preserve"> </w:t>
      </w:r>
      <w:r>
        <w:t xml:space="preserve"> </w:t>
      </w:r>
      <w:r>
        <w:rPr>
          <w:i/>
          <w:iCs/>
        </w:rPr>
        <w:t xml:space="preserve">The multivariate breeder’s equation</w:t>
      </w:r>
      <w:r>
        <w:rPr>
          <w:i/>
          <w:iCs/>
        </w:rPr>
        <w:t xml:space="preserve"> </w:t>
      </w:r>
      <m:oMath>
        <m:r>
          <m:rPr>
            <m:sty m:val="p"/>
          </m:rPr>
          <m:t>Δ</m:t>
        </m:r>
        <m:acc>
          <m:accPr>
            <m:chr m:val="‾"/>
          </m:accPr>
          <m:e>
            <m:r>
              <m:rPr>
                <m:sty m:val="bi"/>
              </m:rPr>
              <m:t>z</m:t>
            </m:r>
          </m:e>
        </m:acc>
        <m:r>
          <m:rPr>
            <m:sty m:val="p"/>
          </m:rPr>
          <m:t>=</m:t>
        </m:r>
        <m:r>
          <m:rPr>
            <m:sty m:val="bi"/>
          </m:rPr>
          <m:t>G</m:t>
        </m:r>
        <m:sSup>
          <m:e>
            <m:r>
              <m:rPr>
                <m:sty m:val="bi"/>
              </m:rPr>
              <m:t>P</m:t>
            </m:r>
          </m:e>
          <m:sup>
            <m:r>
              <m:rPr>
                <m:sty m:val="p"/>
              </m:rPr>
              <m:t>−</m:t>
            </m:r>
            <m:r>
              <m:t>1</m:t>
            </m:r>
          </m:sup>
        </m:sSup>
        <m:r>
          <m:rPr>
            <m:sty m:val="bi"/>
          </m:rPr>
          <m:t>S</m:t>
        </m:r>
      </m:oMath>
      <w:r>
        <w:rPr>
          <w:i/>
          <w:iCs/>
        </w:rPr>
        <w:t xml:space="preserve"> </w:t>
      </w:r>
      <w:r>
        <w:rPr>
          <w:i/>
          <w:iCs/>
        </w:rPr>
        <w:t xml:space="preserve">is the preconditioned natural gradient step:</w:t>
      </w:r>
      <w:r>
        <w:rPr>
          <w:i/>
          <w:iCs/>
        </w:rPr>
        <w:t xml:space="preserve"> </w:t>
      </w:r>
      <m:oMath>
        <m:r>
          <m:rPr>
            <m:sty m:val="bi"/>
          </m:rPr>
          <m:t>G</m:t>
        </m:r>
      </m:oMath>
      <w:r>
        <w:rPr>
          <w:i/>
          <w:iCs/>
        </w:rPr>
        <w:t xml:space="preserve"> </w:t>
      </w:r>
      <w:r>
        <w:rPr>
          <w:i/>
          <w:iCs/>
        </w:rPr>
        <w:t xml:space="preserve">is the Fisher information matrix of the additive genetic model,</w:t>
      </w:r>
      <w:r>
        <w:rPr>
          <w:i/>
          <w:iCs/>
        </w:rPr>
        <w:t xml:space="preserve"> </w:t>
      </w:r>
      <m:oMath>
        <m:r>
          <m:rPr>
            <m:sty m:val="bi"/>
          </m:rPr>
          <m:t>P</m:t>
        </m:r>
      </m:oMath>
      <w:r>
        <w:rPr>
          <w:i/>
          <w:iCs/>
        </w:rPr>
        <w:t xml:space="preserve"> </w:t>
      </w:r>
      <w:r>
        <w:rPr>
          <w:i/>
          <w:iCs/>
        </w:rPr>
        <w:t xml:space="preserve">normalizes by total phenotypic variance, and</w:t>
      </w:r>
      <w:r>
        <w:rPr>
          <w:i/>
          <w:iCs/>
        </w:rPr>
        <w:t xml:space="preserve"> </w:t>
      </w:r>
      <m:oMath>
        <m:r>
          <m:rPr>
            <m:sty m:val="bi"/>
          </m:rPr>
          <m:t>S</m:t>
        </m:r>
      </m:oMath>
      <w:r>
        <w:rPr>
          <w:i/>
          <w:iCs/>
        </w:rPr>
        <w:t xml:space="preserve"> </w:t>
      </w:r>
      <w:r>
        <w:rPr>
          <w:i/>
          <w:iCs/>
        </w:rPr>
        <w:t xml:space="preserve">is the empirical selection gradient.</w:t>
      </w:r>
    </w:p>
    <w:bookmarkEnd w:id="15"/>
    <w:bookmarkStart w:id="18" w:name="Xba45a544ebce227e50e154e8fc5145cdc959325"/>
    <w:p>
      <w:pPr>
        <w:pStyle w:val="Heading2"/>
      </w:pPr>
      <w:r>
        <w:t xml:space="preserve">Theorem 3: PAC Generalization Bounds for Evolutionary Processes</w:t>
      </w:r>
    </w:p>
    <w:p>
      <w:pPr>
        <w:pStyle w:val="FirstParagraph"/>
      </w:pPr>
      <w:r>
        <w:t xml:space="preserve">We now derive the core empirically testable result: a PAC-style bound on evolutionary learning accuracy, parameterized by observable quantitative genetics quantities.</w:t>
      </w:r>
    </w:p>
    <w:p>
      <w:pPr>
        <w:pStyle w:val="BodyText"/>
      </w:pPr>
      <w:r>
        <w:t xml:space="preserve">Under the infinitesimal model, define the effective evolutionary hypothesis class as the set of achievable mean phenotypes:</w:t>
      </w:r>
    </w:p>
    <w:p>
      <w:pPr>
        <w:pStyle w:val="BodyText"/>
      </w:pPr>
      <m:oMathPara>
        <m:oMathParaPr>
          <m:jc m:val="center"/>
        </m:oMathParaPr>
        <m:oMath>
          <m:sSub>
            <m:e>
              <m:r>
                <m:rPr>
                  <m:scr m:val="script"/>
                  <m:sty m:val="p"/>
                </m:rPr>
                <m:t>H</m:t>
              </m:r>
            </m:e>
            <m:sub>
              <m:r>
                <m:rPr>
                  <m:sty m:val="p"/>
                </m:rPr>
                <m:t>e</m:t>
              </m:r>
              <m:r>
                <m:rPr>
                  <m:sty m:val="p"/>
                </m:rPr>
                <m:t>v</m:t>
              </m:r>
              <m:r>
                <m:rPr>
                  <m:sty m:val="p"/>
                </m:rPr>
                <m:t>o</m:t>
              </m:r>
            </m:sub>
          </m:sSub>
          <m:r>
            <m:rPr>
              <m:sty m:val="p"/>
            </m:rPr>
            <m:t>=</m:t>
          </m:r>
          <m:d>
            <m:dPr>
              <m:begChr m:val="{"/>
              <m:sepChr m:val=""/>
              <m:endChr m:val="}"/>
              <m:grow/>
            </m:dPr>
            <m:e>
              <m:sSub>
                <m:e>
                  <m:acc>
                    <m:accPr>
                      <m:chr m:val="‾"/>
                    </m:accPr>
                    <m:e>
                      <m:r>
                        <m:t>z</m:t>
                      </m:r>
                    </m:e>
                  </m:acc>
                </m:e>
                <m:sub>
                  <m:r>
                    <m:rPr>
                      <m:sty m:val="bi"/>
                    </m:rPr>
                    <m:t>p</m:t>
                  </m:r>
                </m:sub>
              </m:sSub>
              <m:r>
                <m:rPr>
                  <m:sty m:val="p"/>
                </m:rPr>
                <m:t>=</m:t>
              </m:r>
              <m:r>
                <m:rPr>
                  <m:sty m:val="p"/>
                </m:rPr>
                <m:t>∫</m:t>
              </m:r>
              <m:r>
                <m:t>φ</m:t>
              </m:r>
              <m:r>
                <m:rPr>
                  <m:sty m:val="p"/>
                </m:rPr>
                <m:t>(</m:t>
              </m:r>
              <m:r>
                <m:t>g</m:t>
              </m:r>
              <m:r>
                <m:rPr>
                  <m:sty m:val="p"/>
                </m:rPr>
                <m:t>)</m:t>
              </m:r>
              <m:r>
                <m:t> </m:t>
              </m:r>
              <m:r>
                <m:t>d</m:t>
              </m:r>
              <m:sSub>
                <m:e>
                  <m:r>
                    <m:t>P</m:t>
                  </m:r>
                </m:e>
                <m:sub>
                  <m:r>
                    <m:rPr>
                      <m:sty m:val="bi"/>
                    </m:rPr>
                    <m:t>p</m:t>
                  </m:r>
                </m:sub>
              </m:sSub>
              <m:r>
                <m:rPr>
                  <m:sty m:val="p"/>
                </m:rPr>
                <m:t>(</m:t>
              </m:r>
              <m:r>
                <m:t>g</m:t>
              </m:r>
              <m:r>
                <m:rPr>
                  <m:sty m:val="p"/>
                </m:rPr>
                <m:t>)</m:t>
              </m:r>
              <m:r>
                <m:rPr>
                  <m:sty m:val="p"/>
                </m:rPr>
                <m:t>:</m:t>
              </m:r>
              <m:r>
                <m:rPr>
                  <m:sty m:val="bi"/>
                </m:rPr>
                <m:t>p</m:t>
              </m:r>
              <m:r>
                <m:rPr>
                  <m:sty m:val="p"/>
                </m:rPr>
                <m:t>∈</m:t>
              </m:r>
              <m:sSub>
                <m:e>
                  <m:r>
                    <m:rPr>
                      <m:sty m:val="p"/>
                    </m:rPr>
                    <m:t>Δ</m:t>
                  </m:r>
                </m:e>
                <m:sub>
                  <m:r>
                    <m:t>K</m:t>
                  </m:r>
                </m:sub>
              </m:sSub>
            </m:e>
          </m:d>
        </m:oMath>
      </m:oMathPara>
    </w:p>
    <w:p>
      <w:pPr>
        <w:pStyle w:val="FirstParagraph"/>
      </w:pPr>
      <w:r>
        <w:rPr>
          <w:b/>
          <w:bCs/>
        </w:rPr>
        <w:t xml:space="preserve">Lemma 4</w:t>
      </w:r>
      <w:r>
        <w:t xml:space="preserve"> </w:t>
      </w:r>
      <w:r>
        <w:t xml:space="preserve">(Rademacher Bound for</w:t>
      </w:r>
      <w:r>
        <w:t xml:space="preserve"> </w:t>
      </w:r>
      <m:oMath>
        <m:sSub>
          <m:e>
            <m:r>
              <m:rPr>
                <m:scr m:val="script"/>
                <m:sty m:val="p"/>
              </m:rPr>
              <m:t>H</m:t>
            </m:r>
          </m:e>
          <m:sub>
            <m:r>
              <m:rPr>
                <m:sty m:val="p"/>
              </m:rPr>
              <m:t>e</m:t>
            </m:r>
            <m:r>
              <m:rPr>
                <m:sty m:val="p"/>
              </m:rPr>
              <m:t>v</m:t>
            </m:r>
            <m:r>
              <m:rPr>
                <m:sty m:val="p"/>
              </m:rPr>
              <m:t>o</m:t>
            </m:r>
          </m:sub>
        </m:sSub>
      </m:oMath>
      <w:r>
        <w:t xml:space="preserve">).</w:t>
      </w:r>
      <w:r>
        <w:t xml:space="preserve"> </w:t>
      </w:r>
      <w:r>
        <w:t xml:space="preserve"> </w:t>
      </w:r>
      <w:r>
        <w:rPr>
          <w:i/>
          <w:iCs/>
        </w:rPr>
        <w:t xml:space="preserve">Under the infinitesimal model with</w:t>
      </w:r>
      <w:r>
        <w:rPr>
          <w:i/>
          <w:iCs/>
        </w:rPr>
        <w:t xml:space="preserve"> </w:t>
      </w:r>
      <m:oMath>
        <m:r>
          <m:t>L</m:t>
        </m:r>
      </m:oMath>
      <w:r>
        <w:rPr>
          <w:i/>
          <w:iCs/>
        </w:rPr>
        <w:t xml:space="preserve"> </w:t>
      </w:r>
      <w:r>
        <w:rPr>
          <w:i/>
          <w:iCs/>
        </w:rPr>
        <w:t xml:space="preserve">polymorphic loci, the Rademacher complexity of</w:t>
      </w:r>
      <w:r>
        <w:rPr>
          <w:i/>
          <w:iCs/>
        </w:rPr>
        <w:t xml:space="preserve"> </w:t>
      </w:r>
      <m:oMath>
        <m:sSub>
          <m:e>
            <m:r>
              <m:rPr>
                <m:scr m:val="script"/>
                <m:sty m:val="p"/>
              </m:rPr>
              <m:t>H</m:t>
            </m:r>
          </m:e>
          <m:sub>
            <m:r>
              <m:rPr>
                <m:sty m:val="p"/>
              </m:rPr>
              <m:t>e</m:t>
            </m:r>
            <m:r>
              <m:rPr>
                <m:sty m:val="p"/>
              </m:rPr>
              <m:t>v</m:t>
            </m:r>
            <m:r>
              <m:rPr>
                <m:sty m:val="p"/>
              </m:rPr>
              <m:t>o</m:t>
            </m:r>
          </m:sub>
        </m:sSub>
      </m:oMath>
      <w:r>
        <w:rPr>
          <w:i/>
          <w:iCs/>
        </w:rPr>
        <w:t xml:space="preserve"> </w:t>
      </w:r>
      <w:r>
        <w:rPr>
          <w:i/>
          <w:iCs/>
        </w:rPr>
        <w:t xml:space="preserve">with respect to samples of size</w:t>
      </w:r>
      <w:r>
        <w:rPr>
          <w:i/>
          <w:iCs/>
        </w:rPr>
        <w:t xml:space="preserve"> </w:t>
      </w:r>
      <m:oMath>
        <m:sSub>
          <m:e>
            <m:r>
              <m:t>N</m:t>
            </m:r>
          </m:e>
          <m:sub>
            <m:r>
              <m:t>e</m:t>
            </m:r>
          </m:sub>
        </m:sSub>
      </m:oMath>
      <w:r>
        <w:rPr>
          <w:i/>
          <w:iCs/>
        </w:rPr>
        <w:t xml:space="preserve"> </w:t>
      </w:r>
      <w:r>
        <w:rPr>
          <w:i/>
          <w:iCs/>
        </w:rPr>
        <w:t xml:space="preserve">satisfies:</w:t>
      </w:r>
      <w:r>
        <w:rPr>
          <w:i/>
          <w:iCs/>
        </w:rPr>
        <w:t xml:space="preserve"> </w:t>
      </w:r>
      <m:oMathPara>
        <m:oMathParaPr>
          <m:jc m:val="center"/>
        </m:oMathParaPr>
        <m:oMath>
          <m:sSub>
            <m:e>
              <m:r>
                <m:rPr>
                  <m:scr m:val="script"/>
                  <m:sty m:val="p"/>
                </m:rPr>
                <m:t>R</m:t>
              </m:r>
            </m:e>
            <m:sub>
              <m:sSub>
                <m:e>
                  <m:r>
                    <m:t>N</m:t>
                  </m:r>
                </m:e>
                <m:sub>
                  <m:r>
                    <m:t>e</m:t>
                  </m:r>
                </m:sub>
              </m:sSub>
            </m:sub>
          </m:sSub>
          <m:r>
            <m:rPr>
              <m:sty m:val="p"/>
            </m:rPr>
            <m:t>(</m:t>
          </m:r>
          <m:sSub>
            <m:e>
              <m:r>
                <m:rPr>
                  <m:scr m:val="script"/>
                  <m:sty m:val="p"/>
                </m:rPr>
                <m:t>H</m:t>
              </m:r>
            </m:e>
            <m:sub>
              <m:r>
                <m:rPr>
                  <m:sty m:val="p"/>
                </m:rPr>
                <m:t>e</m:t>
              </m:r>
              <m:r>
                <m:rPr>
                  <m:sty m:val="p"/>
                </m:rPr>
                <m:t>v</m:t>
              </m:r>
              <m:r>
                <m:rPr>
                  <m:sty m:val="p"/>
                </m:rPr>
                <m:t>o</m:t>
              </m:r>
            </m:sub>
          </m:sSub>
          <m:r>
            <m:rPr>
              <m:sty m:val="p"/>
            </m:rPr>
            <m:t>)</m:t>
          </m:r>
          <m:r>
            <m:rPr>
              <m:sty m:val="p"/>
            </m:rPr>
            <m:t>≤</m:t>
          </m:r>
          <m:rad>
            <m:radPr>
              <m:degHide m:val="on"/>
            </m:radPr>
            <m:deg/>
            <m:e>
              <m:f>
                <m:fPr>
                  <m:type m:val="bar"/>
                </m:fPr>
                <m:num>
                  <m:r>
                    <m:t>2</m:t>
                  </m:r>
                  <m:r>
                    <m:t> </m:t>
                  </m:r>
                  <m:sSub>
                    <m:e>
                      <m:r>
                        <m:t>V</m:t>
                      </m:r>
                    </m:e>
                    <m:sub>
                      <m:r>
                        <m:t>A</m:t>
                      </m:r>
                    </m:sub>
                  </m:sSub>
                  <m:r>
                    <m:t> </m:t>
                  </m:r>
                  <m:r>
                    <m:rPr>
                      <m:sty m:val="p"/>
                    </m:rPr>
                    <m:t>ln</m:t>
                  </m:r>
                  <m:r>
                    <m:rPr>
                      <m:sty m:val="p"/>
                    </m:rPr>
                    <m:t>(</m:t>
                  </m:r>
                  <m:r>
                    <m:t>2</m:t>
                  </m:r>
                  <m:r>
                    <m:t>L</m:t>
                  </m:r>
                  <m:r>
                    <m:rPr>
                      <m:sty m:val="p"/>
                    </m:rPr>
                    <m:t>)</m:t>
                  </m:r>
                </m:num>
                <m:den>
                  <m:sSub>
                    <m:e>
                      <m:r>
                        <m:t>N</m:t>
                      </m:r>
                    </m:e>
                    <m:sub>
                      <m:r>
                        <m:t>e</m:t>
                      </m:r>
                    </m:sub>
                  </m:sSub>
                </m:den>
              </m:f>
            </m:e>
          </m:rad>
        </m:oMath>
      </m:oMathPara>
    </w:p>
    <w:p>
      <w:pPr>
        <w:pStyle w:val="FirstParagraph"/>
      </w:pPr>
      <w:r>
        <w:rPr>
          <w:i/>
          <w:iCs/>
        </w:rPr>
        <w:t xml:space="preserve">Proof sketch.</w:t>
      </w:r>
      <w:r>
        <w:t xml:space="preserve"> </w:t>
      </w:r>
      <w:r>
        <w:t xml:space="preserve">Apply the Massart finite-class lemma to the discretized allele frequency space. The covering number of</w:t>
      </w:r>
      <w:r>
        <w:t xml:space="preserve"> </w:t>
      </w:r>
      <m:oMath>
        <m:sSub>
          <m:e>
            <m:r>
              <m:rPr>
                <m:scr m:val="script"/>
                <m:sty m:val="p"/>
              </m:rPr>
              <m:t>H</m:t>
            </m:r>
          </m:e>
          <m:sub>
            <m:r>
              <m:rPr>
                <m:sty m:val="p"/>
              </m:rPr>
              <m:t>e</m:t>
            </m:r>
            <m:r>
              <m:rPr>
                <m:sty m:val="p"/>
              </m:rPr>
              <m:t>v</m:t>
            </m:r>
            <m:r>
              <m:rPr>
                <m:sty m:val="p"/>
              </m:rPr>
              <m:t>o</m:t>
            </m:r>
          </m:sub>
        </m:sSub>
      </m:oMath>
      <w:r>
        <w:t xml:space="preserve"> </w:t>
      </w:r>
      <w:r>
        <w:t xml:space="preserve">at resolution</w:t>
      </w:r>
      <w:r>
        <w:t xml:space="preserve"> </w:t>
      </w:r>
      <m:oMath>
        <m:r>
          <m:t>ε</m:t>
        </m:r>
      </m:oMath>
      <w:r>
        <w:t xml:space="preserve"> </w:t>
      </w:r>
      <w:r>
        <w:t xml:space="preserve">is bounded by</w:t>
      </w:r>
      <w:r>
        <w:t xml:space="preserve"> </w:t>
      </w:r>
      <m:oMath>
        <m:r>
          <m:rPr>
            <m:sty m:val="p"/>
          </m:rPr>
          <m:t>(</m:t>
        </m:r>
        <m:sSub>
          <m:e>
            <m:r>
              <m:t>V</m:t>
            </m:r>
          </m:e>
          <m:sub>
            <m:r>
              <m:t>P</m:t>
            </m:r>
          </m:sub>
        </m:sSub>
        <m:r>
          <m:rPr>
            <m:sty m:val="p"/>
          </m:rPr>
          <m:t>/</m:t>
        </m:r>
        <m:r>
          <m:t>ε</m:t>
        </m:r>
        <m:sSup>
          <m:e>
            <m:r>
              <m:rPr>
                <m:sty m:val="p"/>
              </m:rPr>
              <m:t>)</m:t>
            </m:r>
          </m:e>
          <m:sup>
            <m:r>
              <m:t>L</m:t>
            </m:r>
          </m:sup>
        </m:sSup>
      </m:oMath>
      <w:r>
        <w:t xml:space="preserve"> </w:t>
      </w:r>
      <w:r>
        <w:t xml:space="preserve">under the infinitesimal model. Integrating via the Dudley entropy integral yields the stated bound. Full proof in Supplementary Note 3. ◻</w:t>
      </w:r>
    </w:p>
    <w:bookmarkStart w:id="16" w:name="thm:pac"/>
    <w:p>
      <w:pPr>
        <w:pStyle w:val="BodyText"/>
      </w:pPr>
      <w:r>
        <w:rPr>
          <w:b/>
          <w:bCs/>
        </w:rPr>
        <w:t xml:space="preserve">Theorem 5</w:t>
      </w:r>
      <w:r>
        <w:t xml:space="preserve"> </w:t>
      </w:r>
      <w:r>
        <w:t xml:space="preserve">(PAC Population Genetics Bound).</w:t>
      </w:r>
      <w:r>
        <w:t xml:space="preserve"> </w:t>
      </w:r>
      <w:r>
        <w:t xml:space="preserve"> </w:t>
      </w:r>
      <w:r>
        <w:rPr>
          <w:i/>
          <w:iCs/>
        </w:rPr>
        <w:t xml:space="preserve">For a diploid population with effective size</w:t>
      </w:r>
      <w:r>
        <w:rPr>
          <w:i/>
          <w:iCs/>
        </w:rPr>
        <w:t xml:space="preserve"> </w:t>
      </w:r>
      <m:oMath>
        <m:sSub>
          <m:e>
            <m:r>
              <m:t>N</m:t>
            </m:r>
          </m:e>
          <m:sub>
            <m:r>
              <m:t>e</m:t>
            </m:r>
          </m:sub>
        </m:sSub>
      </m:oMath>
      <w:r>
        <w:rPr>
          <w:i/>
          <w:iCs/>
        </w:rPr>
        <w:t xml:space="preserve">, initial additive genetic variance</w:t>
      </w:r>
      <w:r>
        <w:rPr>
          <w:i/>
          <w:iCs/>
        </w:rPr>
        <w:t xml:space="preserve"> </w:t>
      </w:r>
      <m:oMath>
        <m:sSub>
          <m:e>
            <m:r>
              <m:t>V</m:t>
            </m:r>
          </m:e>
          <m:sub>
            <m:r>
              <m:t>A</m:t>
            </m:r>
          </m:sub>
        </m:sSub>
        <m:r>
          <m:rPr>
            <m:sty m:val="p"/>
          </m:rPr>
          <m:t>(</m:t>
        </m:r>
        <m:r>
          <m:t>0</m:t>
        </m:r>
        <m:r>
          <m:rPr>
            <m:sty m:val="p"/>
          </m:rPr>
          <m:t>)</m:t>
        </m:r>
      </m:oMath>
      <w:r>
        <w:rPr>
          <w:i/>
          <w:iCs/>
        </w:rPr>
        <w:t xml:space="preserve">, mutation rate</w:t>
      </w:r>
      <w:r>
        <w:rPr>
          <w:i/>
          <w:iCs/>
        </w:rPr>
        <w:t xml:space="preserve"> </w:t>
      </w:r>
      <m:oMath>
        <m:r>
          <m:t>μ</m:t>
        </m:r>
      </m:oMath>
      <w:r>
        <w:rPr>
          <w:i/>
          <w:iCs/>
        </w:rPr>
        <w:t xml:space="preserve"> </w:t>
      </w:r>
      <w:r>
        <w:rPr>
          <w:i/>
          <w:iCs/>
        </w:rPr>
        <w:t xml:space="preserve">per locus per generation, and</w:t>
      </w:r>
      <w:r>
        <w:rPr>
          <w:i/>
          <w:iCs/>
        </w:rPr>
        <w:t xml:space="preserve"> </w:t>
      </w:r>
      <m:oMath>
        <m:r>
          <m:t>L</m:t>
        </m:r>
      </m:oMath>
      <w:r>
        <w:rPr>
          <w:i/>
          <w:iCs/>
        </w:rPr>
        <w:t xml:space="preserve"> </w:t>
      </w:r>
      <w:r>
        <w:rPr>
          <w:i/>
          <w:iCs/>
        </w:rPr>
        <w:t xml:space="preserve">polymorphic loci, evolving under directional selection toward fitness optimum</w:t>
      </w:r>
      <w:r>
        <w:rPr>
          <w:i/>
          <w:iCs/>
        </w:rPr>
        <w:t xml:space="preserve"> </w:t>
      </w:r>
      <m:oMath>
        <m:sSup>
          <m:e>
            <m:r>
              <m:t>W</m:t>
            </m:r>
          </m:e>
          <m:sup>
            <m:r>
              <m:rPr>
                <m:sty m:val="p"/>
              </m:rPr>
              <m:t>*</m:t>
            </m:r>
          </m:sup>
        </m:sSup>
      </m:oMath>
      <w:r>
        <w:rPr>
          <w:i/>
          <w:iCs/>
        </w:rPr>
        <w:t xml:space="preserve"> </w:t>
      </w:r>
      <w:r>
        <w:rPr>
          <w:i/>
          <w:iCs/>
        </w:rPr>
        <w:t xml:space="preserve">for</w:t>
      </w:r>
      <w:r>
        <w:rPr>
          <w:i/>
          <w:iCs/>
        </w:rPr>
        <w:t xml:space="preserve"> </w:t>
      </w:r>
      <m:oMath>
        <m:r>
          <m:t>T</m:t>
        </m:r>
        <m:r>
          <m:rPr>
            <m:sty m:val="p"/>
          </m:rPr>
          <m:t>≥</m:t>
        </m:r>
        <m:sSup>
          <m:e>
            <m:r>
              <m:t>T</m:t>
            </m:r>
          </m:e>
          <m:sup>
            <m:r>
              <m:rPr>
                <m:sty m:val="p"/>
              </m:rPr>
              <m:t>*</m:t>
            </m:r>
          </m:sup>
        </m:sSup>
        <m:r>
          <m:rPr>
            <m:sty m:val="p"/>
          </m:rPr>
          <m:t>(</m:t>
        </m:r>
        <m:r>
          <m:t>ε</m:t>
        </m:r>
        <m:r>
          <m:rPr>
            <m:sty m:val="p"/>
          </m:rPr>
          <m:t>,</m:t>
        </m:r>
        <m:sSub>
          <m:e>
            <m:r>
              <m:t>V</m:t>
            </m:r>
          </m:e>
          <m:sub>
            <m:r>
              <m:t>A</m:t>
            </m:r>
          </m:sub>
        </m:sSub>
        <m:r>
          <m:rPr>
            <m:sty m:val="p"/>
          </m:rPr>
          <m:t>,</m:t>
        </m:r>
        <m:r>
          <m:t>μ</m:t>
        </m:r>
        <m:r>
          <m:rPr>
            <m:sty m:val="p"/>
          </m:rPr>
          <m:t>)</m:t>
        </m:r>
      </m:oMath>
      <w:r>
        <w:rPr>
          <w:i/>
          <w:iCs/>
        </w:rPr>
        <w:t xml:space="preserve"> </w:t>
      </w:r>
      <w:r>
        <w:rPr>
          <w:i/>
          <w:iCs/>
        </w:rPr>
        <w:t xml:space="preserve">generations, the probability that mean fitness deviates from the selectively accessible optimum by more than</w:t>
      </w:r>
      <w:r>
        <w:rPr>
          <w:i/>
          <w:iCs/>
        </w:rPr>
        <w:t xml:space="preserve"> </w:t>
      </w:r>
      <m:oMath>
        <m:r>
          <m:t>ε</m:t>
        </m:r>
      </m:oMath>
      <w:r>
        <w:rPr>
          <w:i/>
          <w:iCs/>
        </w:rPr>
        <w:t xml:space="preserve"> </w:t>
      </w:r>
      <w:r>
        <w:rPr>
          <w:i/>
          <w:iCs/>
        </w:rPr>
        <w:t xml:space="preserve">satisfies:</w:t>
      </w:r>
      <w:r>
        <w:rPr>
          <w:i/>
          <w:iCs/>
        </w:rPr>
        <w:t xml:space="preserve"> </w:t>
      </w:r>
      <m:oMathPara>
        <m:oMathParaPr>
          <m:jc m:val="center"/>
        </m:oMathParaPr>
        <m:oMath>
          <m:r>
            <m:t>P</m:t>
          </m:r>
          <m:r>
            <m:t>​</m:t>
          </m:r>
          <m:d>
            <m:dPr>
              <m:begChr m:val="("/>
              <m:sepChr m:val=""/>
              <m:endChr m:val=")"/>
              <m:grow/>
            </m:dPr>
            <m:e>
              <m:sSub>
                <m:e>
                  <m:acc>
                    <m:accPr>
                      <m:chr m:val="‾"/>
                    </m:accPr>
                    <m:e>
                      <m:r>
                        <m:t>W</m:t>
                      </m:r>
                    </m:e>
                  </m:acc>
                </m:e>
                <m:sub>
                  <m:r>
                    <m:t>T</m:t>
                  </m:r>
                </m:sub>
              </m:sSub>
              <m:r>
                <m:rPr>
                  <m:sty m:val="p"/>
                </m:rPr>
                <m:t>&lt;</m:t>
              </m:r>
              <m:sSup>
                <m:e>
                  <m:r>
                    <m:t>W</m:t>
                  </m:r>
                </m:e>
                <m:sup>
                  <m:r>
                    <m:rPr>
                      <m:sty m:val="p"/>
                    </m:rPr>
                    <m:t>*</m:t>
                  </m:r>
                </m:sup>
              </m:sSup>
              <m:r>
                <m:rPr>
                  <m:sty m:val="p"/>
                </m:rPr>
                <m:t>−</m:t>
              </m:r>
              <m:r>
                <m:t>ε</m:t>
              </m:r>
            </m:e>
          </m:d>
          <m:r>
            <m:t> </m:t>
          </m:r>
          <m:r>
            <m:rPr>
              <m:sty m:val="p"/>
            </m:rPr>
            <m:t>≤</m:t>
          </m:r>
          <m:r>
            <m:t> </m:t>
          </m:r>
          <m:r>
            <m:t>4</m:t>
          </m:r>
          <m:sSup>
            <m:e>
              <m:d>
                <m:dPr>
                  <m:begChr m:val="("/>
                  <m:sepChr m:val=""/>
                  <m:endChr m:val=")"/>
                  <m:grow/>
                </m:dPr>
                <m:e>
                  <m:f>
                    <m:fPr>
                      <m:type m:val="bar"/>
                    </m:fPr>
                    <m:num>
                      <m:r>
                        <m:t>e</m:t>
                      </m:r>
                      <m:r>
                        <m:t> </m:t>
                      </m:r>
                      <m:sSub>
                        <m:e>
                          <m:r>
                            <m:t>N</m:t>
                          </m:r>
                        </m:e>
                        <m:sub>
                          <m:r>
                            <m:t>e</m:t>
                          </m:r>
                        </m:sub>
                      </m:sSub>
                    </m:num>
                    <m:den>
                      <m:r>
                        <m:t>L</m:t>
                      </m:r>
                    </m:den>
                  </m:f>
                </m:e>
              </m:d>
            </m:e>
            <m:sup>
              <m:r>
                <m:t>​</m:t>
              </m:r>
              <m:r>
                <m:t>L</m:t>
              </m:r>
            </m:sup>
          </m:sSup>
          <m:r>
            <m:rPr>
              <m:sty m:val="p"/>
            </m:rPr>
            <m:t>exp</m:t>
          </m:r>
          <m:r>
            <m:t>​</m:t>
          </m:r>
          <m:d>
            <m:dPr>
              <m:begChr m:val="("/>
              <m:sepChr m:val=""/>
              <m:endChr m:val=")"/>
              <m:grow/>
            </m:dPr>
            <m:e>
              <m:r>
                <m:rPr>
                  <m:sty m:val="p"/>
                </m:rPr>
                <m:t>−</m:t>
              </m:r>
              <m:f>
                <m:fPr>
                  <m:type m:val="bar"/>
                </m:fPr>
                <m:num>
                  <m:sSub>
                    <m:e>
                      <m:r>
                        <m:t>N</m:t>
                      </m:r>
                    </m:e>
                    <m:sub>
                      <m:r>
                        <m:t>e</m:t>
                      </m:r>
                    </m:sub>
                  </m:sSub>
                  <m:r>
                    <m:t> </m:t>
                  </m:r>
                  <m:sSup>
                    <m:e>
                      <m:r>
                        <m:t>ε</m:t>
                      </m:r>
                    </m:e>
                    <m:sup>
                      <m:r>
                        <m:t>2</m:t>
                      </m:r>
                    </m:sup>
                  </m:sSup>
                </m:num>
                <m:den>
                  <m:r>
                    <m:t>2</m:t>
                  </m:r>
                  <m:r>
                    <m:t> </m:t>
                  </m:r>
                  <m:sSub>
                    <m:e>
                      <m:r>
                        <m:t>V</m:t>
                      </m:r>
                    </m:e>
                    <m:sub>
                      <m:r>
                        <m:t>A</m:t>
                      </m:r>
                    </m:sub>
                  </m:sSub>
                  <m:r>
                    <m:rPr>
                      <m:sty m:val="p"/>
                    </m:rPr>
                    <m:t>(</m:t>
                  </m:r>
                  <m:r>
                    <m:t>0</m:t>
                  </m:r>
                  <m:r>
                    <m:rPr>
                      <m:sty m:val="p"/>
                    </m:rPr>
                    <m:t>)</m:t>
                  </m:r>
                  <m:r>
                    <m:rPr>
                      <m:sty m:val="p"/>
                    </m:rPr>
                    <m:t>+</m:t>
                  </m:r>
                  <m:r>
                    <m:t>ε</m:t>
                  </m:r>
                  <m:r>
                    <m:rPr>
                      <m:sty m:val="p"/>
                    </m:rPr>
                    <m:t>/</m:t>
                  </m:r>
                  <m:r>
                    <m:t>3</m:t>
                  </m:r>
                </m:den>
              </m:f>
            </m:e>
          </m:d>
        </m:oMath>
      </m:oMathPara>
      <w:r>
        <w:rPr>
          <w:i/>
          <w:iCs/>
        </w:rPr>
        <w:t xml:space="preserve"> </w:t>
      </w:r>
      <w:r>
        <w:rPr>
          <w:i/>
          <w:iCs/>
        </w:rPr>
        <w:t xml:space="preserve">The bound holds for</w:t>
      </w:r>
      <w:r>
        <w:rPr>
          <w:i/>
          <w:iCs/>
        </w:rPr>
        <w:t xml:space="preserve"> </w:t>
      </w:r>
      <m:oMath>
        <m:sSub>
          <m:e>
            <m:r>
              <m:t>N</m:t>
            </m:r>
          </m:e>
          <m:sub>
            <m:r>
              <m:t>e</m:t>
            </m:r>
          </m:sub>
        </m:sSub>
        <m:r>
          <m:rPr>
            <m:sty m:val="p"/>
          </m:rPr>
          <m:t>≫</m:t>
        </m:r>
        <m:r>
          <m:t>1</m:t>
        </m:r>
      </m:oMath>
      <w:r>
        <w:rPr>
          <w:i/>
          <w:iCs/>
        </w:rPr>
        <w:t xml:space="preserve"> </w:t>
      </w:r>
      <w:r>
        <w:rPr>
          <w:i/>
          <w:iCs/>
        </w:rPr>
        <w:t xml:space="preserve">and</w:t>
      </w:r>
      <w:r>
        <w:rPr>
          <w:i/>
          <w:iCs/>
        </w:rPr>
        <w:t xml:space="preserve"> </w:t>
      </w:r>
      <m:oMath>
        <m:sSub>
          <m:e>
            <m:r>
              <m:t>N</m:t>
            </m:r>
          </m:e>
          <m:sub>
            <m:r>
              <m:t>e</m:t>
            </m:r>
          </m:sub>
        </m:sSub>
        <m:r>
          <m:rPr>
            <m:sty m:val="p"/>
          </m:rPr>
          <m:t>≫</m:t>
        </m:r>
        <m:r>
          <m:t>1</m:t>
        </m:r>
        <m:r>
          <m:rPr>
            <m:sty m:val="p"/>
          </m:rPr>
          <m:t>/</m:t>
        </m:r>
        <m:r>
          <m:t>s</m:t>
        </m:r>
      </m:oMath>
      <w:r>
        <w:rPr>
          <w:i/>
          <w:iCs/>
        </w:rPr>
        <w:t xml:space="preserve"> </w:t>
      </w:r>
      <w:r>
        <w:rPr>
          <w:i/>
          <w:iCs/>
        </w:rPr>
        <w:t xml:space="preserve">(drift-negligible regime). The i.i.d. approximation applies when</w:t>
      </w:r>
      <w:r>
        <w:rPr>
          <w:i/>
          <w:iCs/>
        </w:rPr>
        <w:t xml:space="preserve"> </w:t>
      </w:r>
      <m:oMath>
        <m:sSub>
          <m:e>
            <m:r>
              <m:t>N</m:t>
            </m:r>
          </m:e>
          <m:sub>
            <m:r>
              <m:t>e</m:t>
            </m:r>
          </m:sub>
        </m:sSub>
        <m:r>
          <m:t>s</m:t>
        </m:r>
        <m:r>
          <m:rPr>
            <m:sty m:val="p"/>
          </m:rPr>
          <m:t>≫</m:t>
        </m:r>
        <m:r>
          <m:t>1</m:t>
        </m:r>
      </m:oMath>
      <w:r>
        <w:rPr>
          <w:i/>
          <w:iCs/>
        </w:rPr>
        <w:t xml:space="preserve"> </w:t>
      </w:r>
      <w:r>
        <w:rPr>
          <w:i/>
          <w:iCs/>
        </w:rPr>
        <w:t xml:space="preserve">(strong selection); corrections for the non-i.i.d. case use Markov chain mixing bounds </w:t>
      </w:r>
      <w:r>
        <w:rPr>
          <w:i/>
          <w:iCs/>
        </w:rPr>
        <w:t xml:space="preserve">(Yu 1994)</w:t>
      </w:r>
      <w:r>
        <w:rPr>
          <w:i/>
          <w:iCs/>
        </w:rPr>
        <w:t xml:space="preserve"> </w:t>
      </w:r>
      <w:r>
        <w:rPr>
          <w:i/>
          <w:iCs/>
        </w:rPr>
        <w:t xml:space="preserve">and are given in Supplementary Note 4.</w:t>
      </w:r>
    </w:p>
    <w:bookmarkEnd w:id="16"/>
    <w:p>
      <w:pPr>
        <w:pStyle w:val="FirstParagraph"/>
      </w:pPr>
      <w:r>
        <w:rPr>
          <w:i/>
          <w:iCs/>
        </w:rPr>
        <w:t xml:space="preserve">Proof sketch.</w:t>
      </w:r>
      <w:r>
        <w:t xml:space="preserve"> </w:t>
      </w:r>
      <w:r>
        <w:t xml:space="preserve">Apply McDiarmid’s inequality to the fluctuation of</w:t>
      </w:r>
      <w:r>
        <w:t xml:space="preserve"> </w:t>
      </w:r>
      <m:oMath>
        <m:sSub>
          <m:e>
            <m:acc>
              <m:accPr>
                <m:chr m:val="‾"/>
              </m:accPr>
              <m:e>
                <m:r>
                  <m:t>W</m:t>
                </m:r>
              </m:e>
            </m:acc>
          </m:e>
          <m:sub>
            <m:r>
              <m:t>T</m:t>
            </m:r>
          </m:sub>
        </m:sSub>
      </m:oMath>
      <w:r>
        <w:t xml:space="preserve"> </w:t>
      </w:r>
      <w:r>
        <w:t xml:space="preserve">around its expectation, using the Rademacher bound from Lemma 1 to control the capacity term. The exponential decay follows from standard Bernstein-type concentration for bounded random variables. ◻</w:t>
      </w:r>
    </w:p>
    <w:p>
      <w:pPr>
        <w:pStyle w:val="BodyText"/>
      </w:pPr>
      <w:r>
        <w:rPr>
          <w:b/>
          <w:bCs/>
        </w:rPr>
        <w:t xml:space="preserve">Corollary 6</w:t>
      </w:r>
      <w:r>
        <w:t xml:space="preserve"> </w:t>
      </w:r>
      <w:r>
        <w:t xml:space="preserve">(Evolutionary Sample Complexity).</w:t>
      </w:r>
      <w:r>
        <w:t xml:space="preserve"> </w:t>
      </w:r>
      <w:r>
        <w:t xml:space="preserve"> </w:t>
      </w:r>
      <w:r>
        <w:rPr>
          <w:i/>
          <w:iCs/>
        </w:rPr>
        <w:t xml:space="preserve">The minimum effective population size needed to achieve</w:t>
      </w:r>
      <w:r>
        <w:rPr>
          <w:i/>
          <w:iCs/>
        </w:rPr>
        <w:t xml:space="preserve"> </w:t>
      </w:r>
      <m:oMath>
        <m:r>
          <m:t>ε</m:t>
        </m:r>
      </m:oMath>
      <w:r>
        <w:rPr>
          <w:i/>
          <w:iCs/>
        </w:rPr>
        <w:t xml:space="preserve">-accuracy with probability</w:t>
      </w:r>
      <w:r>
        <w:rPr>
          <w:i/>
          <w:iCs/>
        </w:rPr>
        <w:t xml:space="preserve"> </w:t>
      </w:r>
      <m:oMath>
        <m:r>
          <m:rPr>
            <m:sty m:val="p"/>
          </m:rPr>
          <m:t>≥</m:t>
        </m:r>
        <m:r>
          <m:t>1</m:t>
        </m:r>
        <m:r>
          <m:rPr>
            <m:sty m:val="p"/>
          </m:rPr>
          <m:t>−</m:t>
        </m:r>
        <m:r>
          <m:t>δ</m:t>
        </m:r>
      </m:oMath>
      <w:r>
        <w:rPr>
          <w:i/>
          <w:iCs/>
        </w:rPr>
        <w:t xml:space="preserve"> </w:t>
      </w:r>
      <w:r>
        <w:rPr>
          <w:i/>
          <w:iCs/>
        </w:rPr>
        <w:t xml:space="preserve">is:</w:t>
      </w:r>
      <w:r>
        <w:rPr>
          <w:i/>
          <w:iCs/>
        </w:rPr>
        <w:t xml:space="preserve"> </w:t>
      </w:r>
      <m:oMathPara>
        <m:oMathParaPr>
          <m:jc m:val="center"/>
        </m:oMathParaPr>
        <m:oMath>
          <m:sSub>
            <m:e>
              <m:r>
                <m:t>N</m:t>
              </m:r>
            </m:e>
            <m:sub>
              <m:r>
                <m:t>e</m:t>
              </m:r>
            </m:sub>
          </m:sSub>
          <m:r>
            <m:t> </m:t>
          </m:r>
          <m:r>
            <m:rPr>
              <m:sty m:val="p"/>
            </m:rPr>
            <m:t>≥</m:t>
          </m:r>
          <m:r>
            <m:t> </m:t>
          </m:r>
          <m:f>
            <m:fPr>
              <m:type m:val="bar"/>
            </m:fPr>
            <m:num>
              <m:r>
                <m:t>2</m:t>
              </m:r>
              <m:r>
                <m:t> </m:t>
              </m:r>
              <m:sSub>
                <m:e>
                  <m:r>
                    <m:t>V</m:t>
                  </m:r>
                </m:e>
                <m:sub>
                  <m:r>
                    <m:t>A</m:t>
                  </m:r>
                </m:sub>
              </m:sSub>
              <m:r>
                <m:rPr>
                  <m:sty m:val="p"/>
                </m:rPr>
                <m:t>(</m:t>
              </m:r>
              <m:r>
                <m:t>0</m:t>
              </m:r>
              <m:r>
                <m:rPr>
                  <m:sty m:val="p"/>
                </m:rPr>
                <m:t>)</m:t>
              </m:r>
            </m:num>
            <m:den>
              <m:sSup>
                <m:e>
                  <m:r>
                    <m:t>ε</m:t>
                  </m:r>
                </m:e>
                <m:sup>
                  <m:r>
                    <m:t>2</m:t>
                  </m:r>
                </m:sup>
              </m:sSup>
            </m:den>
          </m:f>
          <m:d>
            <m:dPr>
              <m:begChr m:val="["/>
              <m:sepChr m:val=""/>
              <m:endChr m:val="]"/>
              <m:grow/>
            </m:dPr>
            <m:e>
              <m:r>
                <m:t>L</m:t>
              </m:r>
              <m:r>
                <m:rPr>
                  <m:sty m:val="p"/>
                </m:rPr>
                <m:t>ln</m:t>
              </m:r>
              <m:f>
                <m:fPr>
                  <m:type m:val="bar"/>
                </m:fPr>
                <m:num>
                  <m:r>
                    <m:t>e</m:t>
                  </m:r>
                  <m:r>
                    <m:t> </m:t>
                  </m:r>
                  <m:sSub>
                    <m:e>
                      <m:r>
                        <m:t>N</m:t>
                      </m:r>
                    </m:e>
                    <m:sub>
                      <m:r>
                        <m:t>e</m:t>
                      </m:r>
                    </m:sub>
                  </m:sSub>
                </m:num>
                <m:den>
                  <m:r>
                    <m:t>L</m:t>
                  </m:r>
                </m:den>
              </m:f>
              <m:r>
                <m:rPr>
                  <m:sty m:val="p"/>
                </m:rPr>
                <m:t>+</m:t>
              </m:r>
              <m:r>
                <m:rPr>
                  <m:sty m:val="p"/>
                </m:rPr>
                <m:t>ln</m:t>
              </m:r>
              <m:f>
                <m:fPr>
                  <m:type m:val="bar"/>
                </m:fPr>
                <m:num>
                  <m:r>
                    <m:t>4</m:t>
                  </m:r>
                </m:num>
                <m:den>
                  <m:r>
                    <m:t>δ</m:t>
                  </m:r>
                </m:den>
              </m:f>
            </m:e>
          </m:d>
        </m:oMath>
      </m:oMathPara>
    </w:p>
    <w:p>
      <w:pPr>
        <w:pStyle w:val="FirstParagraph"/>
      </w:pPr>
      <w:r>
        <w:t xml:space="preserve">This is the</w:t>
      </w:r>
      <w:r>
        <w:t xml:space="preserve"> </w:t>
      </w:r>
      <w:r>
        <w:rPr>
          <w:b/>
          <w:bCs/>
        </w:rPr>
        <w:t xml:space="preserve">evolutionary sample complexity formula</w:t>
      </w:r>
      <w:r>
        <w:t xml:space="preserve">. Its structure is identical to the standard PAC bound:</w:t>
      </w:r>
    </w:p>
    <w:p>
      <w:pPr>
        <w:pStyle w:val="BodyText"/>
      </w:pPr>
      <m:oMathPara>
        <m:oMathParaPr>
          <m:jc m:val="center"/>
        </m:oMathParaPr>
        <m:oMath>
          <m:r>
            <m:t>n</m:t>
          </m:r>
          <m:r>
            <m:t> </m:t>
          </m:r>
          <m:r>
            <m:rPr>
              <m:sty m:val="p"/>
            </m:rPr>
            <m:t>≥</m:t>
          </m:r>
          <m:r>
            <m:t> </m:t>
          </m:r>
          <m:f>
            <m:fPr>
              <m:type m:val="bar"/>
            </m:fPr>
            <m:num>
              <m:r>
                <m:t>2</m:t>
              </m:r>
            </m:num>
            <m:den>
              <m:sSup>
                <m:e>
                  <m:r>
                    <m:t>ε</m:t>
                  </m:r>
                </m:e>
                <m:sup>
                  <m:r>
                    <m:t>2</m:t>
                  </m:r>
                </m:sup>
              </m:sSup>
            </m:den>
          </m:f>
          <m:d>
            <m:dPr>
              <m:begChr m:val="["/>
              <m:sepChr m:val=""/>
              <m:endChr m:val="]"/>
              <m:grow/>
            </m:dPr>
            <m:e>
              <m:r>
                <m:t>d</m:t>
              </m:r>
              <m:r>
                <m:rPr>
                  <m:sty m:val="p"/>
                </m:rPr>
                <m:t>ln</m:t>
              </m:r>
              <m:f>
                <m:fPr>
                  <m:type m:val="bar"/>
                </m:fPr>
                <m:num>
                  <m:r>
                    <m:t>2</m:t>
                  </m:r>
                </m:num>
                <m:den>
                  <m:r>
                    <m:t>ε</m:t>
                  </m:r>
                </m:den>
              </m:f>
              <m:r>
                <m:rPr>
                  <m:sty m:val="p"/>
                </m:rPr>
                <m:t>+</m:t>
              </m:r>
              <m:r>
                <m:rPr>
                  <m:sty m:val="p"/>
                </m:rPr>
                <m:t>ln</m:t>
              </m:r>
              <m:f>
                <m:fPr>
                  <m:type m:val="bar"/>
                </m:fPr>
                <m:num>
                  <m:r>
                    <m:t>2</m:t>
                  </m:r>
                </m:num>
                <m:den>
                  <m:r>
                    <m:t>δ</m:t>
                  </m:r>
                </m:den>
              </m:f>
            </m:e>
          </m:d>
        </m:oMath>
      </m:oMathPara>
    </w:p>
    <w:p>
      <w:pPr>
        <w:pStyle w:val="FirstParagraph"/>
      </w:pPr>
      <w:r>
        <w:t xml:space="preserve">with</w:t>
      </w:r>
      <w:r>
        <w:t xml:space="preserve"> </w:t>
      </w:r>
      <m:oMath>
        <m:sSub>
          <m:e>
            <m:r>
              <m:t>N</m:t>
            </m:r>
          </m:e>
          <m:sub>
            <m:r>
              <m:t>e</m:t>
            </m:r>
          </m:sub>
        </m:sSub>
        <m:r>
          <m:rPr>
            <m:sty m:val="p"/>
          </m:rPr>
          <m:t>↔</m:t>
        </m:r>
        <m:r>
          <m:t>n</m:t>
        </m:r>
      </m:oMath>
      <w:r>
        <w:t xml:space="preserve">,</w:t>
      </w:r>
      <w:r>
        <w:t xml:space="preserve"> </w:t>
      </w:r>
      <m:oMath>
        <m:sSub>
          <m:e>
            <m:r>
              <m:t>V</m:t>
            </m:r>
          </m:e>
          <m:sub>
            <m:r>
              <m:t>A</m:t>
            </m:r>
          </m:sub>
        </m:sSub>
        <m:r>
          <m:rPr>
            <m:sty m:val="p"/>
          </m:rPr>
          <m:t>↔</m:t>
        </m:r>
        <m:r>
          <m:t>1</m:t>
        </m:r>
      </m:oMath>
      <w:r>
        <w:t xml:space="preserve"> </w:t>
      </w:r>
      <w:r>
        <w:t xml:space="preserve">(absorbed into the</w:t>
      </w:r>
      <w:r>
        <w:t xml:space="preserve"> </w:t>
      </w:r>
      <m:oMath>
        <m:sSub>
          <m:e>
            <m:r>
              <m:t>V</m:t>
            </m:r>
          </m:e>
          <m:sub>
            <m:r>
              <m:t>A</m:t>
            </m:r>
          </m:sub>
        </m:sSub>
      </m:oMath>
      <w:r>
        <w:t xml:space="preserve"> </w:t>
      </w:r>
      <w:r>
        <w:t xml:space="preserve">scaling of</w:t>
      </w:r>
      <w:r>
        <w:t xml:space="preserve"> </w:t>
      </w:r>
      <m:oMath>
        <m:r>
          <m:t>ε</m:t>
        </m:r>
      </m:oMath>
      <w:r>
        <w:t xml:space="preserve">), and</w:t>
      </w:r>
      <w:r>
        <w:t xml:space="preserve"> </w:t>
      </w:r>
      <m:oMath>
        <m:r>
          <m:t>L</m:t>
        </m:r>
        <m:r>
          <m:rPr>
            <m:sty m:val="p"/>
          </m:rPr>
          <m:t>↔</m:t>
        </m:r>
        <m:r>
          <m:t>d</m:t>
        </m:r>
      </m:oMath>
      <w:r>
        <w:t xml:space="preserve"> </w:t>
      </w:r>
      <w:r>
        <w:t xml:space="preserve">(number of loci</w:t>
      </w:r>
      <w:r>
        <w:t xml:space="preserve"> </w:t>
      </w:r>
      <m:oMath>
        <m:r>
          <m:rPr>
            <m:sty m:val="p"/>
          </m:rPr>
          <m:t>↔</m:t>
        </m:r>
      </m:oMath>
      <w:r>
        <w:t xml:space="preserve"> </w:t>
      </w:r>
      <w:r>
        <w:t xml:space="preserve">VC dimension). The structural parallel holds precisely under the stated conditions (infinitesimal model, additive architecture, strong-selection regime</w:t>
      </w:r>
      <w:r>
        <w:t xml:space="preserve"> </w:t>
      </w:r>
      <m:oMath>
        <m:sSub>
          <m:e>
            <m:r>
              <m:t>N</m:t>
            </m:r>
          </m:e>
          <m:sub>
            <m:r>
              <m:t>e</m:t>
            </m:r>
          </m:sub>
        </m:sSub>
        <m:r>
          <m:t>s</m:t>
        </m:r>
        <m:r>
          <m:rPr>
            <m:sty m:val="p"/>
          </m:rPr>
          <m:t>≫</m:t>
        </m:r>
        <m:r>
          <m:t>1</m:t>
        </m:r>
      </m:oMath>
      <w:r>
        <w:t xml:space="preserve">).</w:t>
      </w:r>
    </w:p>
    <w:p>
      <w:pPr>
        <w:pStyle w:val="BodyText"/>
      </w:pPr>
      <w:r>
        <w:t xml:space="preserve">The breeder’s equation</w:t>
      </w:r>
      <w:r>
        <w:t xml:space="preserve"> </w:t>
      </w:r>
      <m:oMath>
        <m:r>
          <m:t>R</m:t>
        </m:r>
        <m:r>
          <m:rPr>
            <m:sty m:val="p"/>
          </m:rPr>
          <m:t>=</m:t>
        </m:r>
        <m:sSup>
          <m:e>
            <m:r>
              <m:t>h</m:t>
            </m:r>
          </m:e>
          <m:sup>
            <m:r>
              <m:t>2</m:t>
            </m:r>
          </m:sup>
        </m:sSup>
        <m:r>
          <m:t>S</m:t>
        </m:r>
      </m:oMath>
      <w:r>
        <w:t xml:space="preserve"> </w:t>
      </w:r>
      <w:r>
        <w:t xml:space="preserve">is the</w:t>
      </w:r>
      <w:r>
        <w:t xml:space="preserve"> </w:t>
      </w:r>
      <m:oMath>
        <m:r>
          <m:t>T</m:t>
        </m:r>
        <m:r>
          <m:rPr>
            <m:sty m:val="p"/>
          </m:rPr>
          <m:t>=</m:t>
        </m:r>
        <m:r>
          <m:t>1</m:t>
        </m:r>
      </m:oMath>
      <w:r>
        <w:t xml:space="preserve"> </w:t>
      </w:r>
      <w:r>
        <w:t xml:space="preserve">case of this bound. Writing</w:t>
      </w:r>
      <w:r>
        <w:t xml:space="preserve"> </w:t>
      </w:r>
      <m:oMath>
        <m:sSup>
          <m:e>
            <m:r>
              <m:t>h</m:t>
            </m:r>
          </m:e>
          <m:sup>
            <m:r>
              <m:t>2</m:t>
            </m:r>
          </m:sup>
        </m:sSup>
        <m:r>
          <m:rPr>
            <m:sty m:val="p"/>
          </m:rPr>
          <m:t>=</m:t>
        </m:r>
        <m:sSub>
          <m:e>
            <m:r>
              <m:t>V</m:t>
            </m:r>
          </m:e>
          <m:sub>
            <m:r>
              <m:t>A</m:t>
            </m:r>
          </m:sub>
        </m:sSub>
        <m:r>
          <m:rPr>
            <m:sty m:val="p"/>
          </m:rPr>
          <m:t>/</m:t>
        </m:r>
        <m:sSub>
          <m:e>
            <m:r>
              <m:t>V</m:t>
            </m:r>
          </m:e>
          <m:sub>
            <m:r>
              <m:t>P</m:t>
            </m:r>
          </m:sub>
        </m:sSub>
      </m:oMath>
      <w:r>
        <w:t xml:space="preserve">, the bound becomes:</w:t>
      </w:r>
    </w:p>
    <w:p>
      <w:pPr>
        <w:pStyle w:val="BodyText"/>
      </w:pPr>
      <m:oMathPara>
        <m:oMathParaPr>
          <m:jc m:val="center"/>
        </m:oMathParaPr>
        <m:oMath>
          <m:sSub>
            <m:e>
              <m:r>
                <m:t>N</m:t>
              </m:r>
            </m:e>
            <m:sub>
              <m:r>
                <m:t>e</m:t>
              </m:r>
            </m:sub>
          </m:sSub>
          <m:r>
            <m:t> </m:t>
          </m:r>
          <m:r>
            <m:rPr>
              <m:sty m:val="p"/>
            </m:rPr>
            <m:t>≥</m:t>
          </m:r>
          <m:r>
            <m:t> </m:t>
          </m:r>
          <m:f>
            <m:fPr>
              <m:type m:val="bar"/>
            </m:fPr>
            <m:num>
              <m:r>
                <m:t>2</m:t>
              </m:r>
              <m:r>
                <m:t> </m:t>
              </m:r>
              <m:sSub>
                <m:e>
                  <m:r>
                    <m:t>V</m:t>
                  </m:r>
                </m:e>
                <m:sub>
                  <m:r>
                    <m:t>P</m:t>
                  </m:r>
                </m:sub>
              </m:sSub>
            </m:num>
            <m:den>
              <m:sSup>
                <m:e>
                  <m:r>
                    <m:t>h</m:t>
                  </m:r>
                </m:e>
                <m:sup>
                  <m:r>
                    <m:t>2</m:t>
                  </m:r>
                </m:sup>
              </m:sSup>
              <m:r>
                <m:t> </m:t>
              </m:r>
              <m:sSup>
                <m:e>
                  <m:r>
                    <m:t>ε</m:t>
                  </m:r>
                </m:e>
                <m:sup>
                  <m:r>
                    <m:t>2</m:t>
                  </m:r>
                </m:sup>
              </m:sSup>
            </m:den>
          </m:f>
          <m:d>
            <m:dPr>
              <m:begChr m:val="["/>
              <m:sepChr m:val=""/>
              <m:endChr m:val="]"/>
              <m:grow/>
            </m:dPr>
            <m:e>
              <m:r>
                <m:t>L</m:t>
              </m:r>
              <m:r>
                <m:rPr>
                  <m:sty m:val="p"/>
                </m:rPr>
                <m:t>ln</m:t>
              </m:r>
              <m:f>
                <m:fPr>
                  <m:type m:val="bar"/>
                </m:fPr>
                <m:num>
                  <m:r>
                    <m:t>e</m:t>
                  </m:r>
                  <m:r>
                    <m:t> </m:t>
                  </m:r>
                  <m:sSub>
                    <m:e>
                      <m:r>
                        <m:t>N</m:t>
                      </m:r>
                    </m:e>
                    <m:sub>
                      <m:r>
                        <m:t>e</m:t>
                      </m:r>
                    </m:sub>
                  </m:sSub>
                </m:num>
                <m:den>
                  <m:r>
                    <m:t>L</m:t>
                  </m:r>
                </m:den>
              </m:f>
              <m:r>
                <m:rPr>
                  <m:sty m:val="p"/>
                </m:rPr>
                <m:t>+</m:t>
              </m:r>
              <m:r>
                <m:rPr>
                  <m:sty m:val="p"/>
                </m:rPr>
                <m:t>ln</m:t>
              </m:r>
              <m:f>
                <m:fPr>
                  <m:type m:val="bar"/>
                </m:fPr>
                <m:num>
                  <m:r>
                    <m:t>4</m:t>
                  </m:r>
                </m:num>
                <m:den>
                  <m:r>
                    <m:t>δ</m:t>
                  </m:r>
                </m:den>
              </m:f>
            </m:e>
          </m:d>
        </m:oMath>
      </m:oMathPara>
    </w:p>
    <w:p>
      <w:pPr>
        <w:pStyle w:val="FirstParagraph"/>
      </w:pPr>
      <w:r>
        <w:t xml:space="preserve">When</w:t>
      </w:r>
      <w:r>
        <w:t xml:space="preserve"> </w:t>
      </w:r>
      <m:oMath>
        <m:sSup>
          <m:e>
            <m:r>
              <m:t>h</m:t>
            </m:r>
          </m:e>
          <m:sup>
            <m:r>
              <m:t>2</m:t>
            </m:r>
          </m:sup>
        </m:sSup>
        <m:r>
          <m:rPr>
            <m:sty m:val="p"/>
          </m:rPr>
          <m:t>=</m:t>
        </m:r>
        <m:r>
          <m:t>1</m:t>
        </m:r>
      </m:oMath>
      <w:r>
        <w:t xml:space="preserve"> </w:t>
      </w:r>
      <w:r>
        <w:t xml:space="preserve">(perfect heritability), the bound is tightest. When</w:t>
      </w:r>
      <w:r>
        <w:t xml:space="preserve"> </w:t>
      </w:r>
      <m:oMath>
        <m:sSup>
          <m:e>
            <m:r>
              <m:t>h</m:t>
            </m:r>
          </m:e>
          <m:sup>
            <m:r>
              <m:t>2</m:t>
            </m:r>
          </m:sup>
        </m:sSup>
        <m:r>
          <m:rPr>
            <m:sty m:val="p"/>
          </m:rPr>
          <m:t>→</m:t>
        </m:r>
        <m:r>
          <m:t>0</m:t>
        </m:r>
      </m:oMath>
      <w:r>
        <w:t xml:space="preserve">, no finite population achieves</w:t>
      </w:r>
      <w:r>
        <w:t xml:space="preserve"> </w:t>
      </w:r>
      <m:oMath>
        <m:r>
          <m:t>ε</m:t>
        </m:r>
      </m:oMath>
      <w:r>
        <w:t xml:space="preserve">-accuracy: the trait is not evolvable. This is the PAC-learnability condition expressed in genetic terms.</w:t>
      </w:r>
      <w:r>
        <w:t xml:space="preserve"> </w:t>
      </w:r>
      <w:r>
        <w:rPr>
          <w:b/>
          <w:bCs/>
        </w:rPr>
        <w:t xml:space="preserve">Heritability is the evolutionary signal-to-noise ratio, playing the same capacity-limiting role in the evolutionary PAC bound that Rademacher complexity plays in the classical PAC bound (Lemma 1).</w:t>
      </w:r>
    </w:p>
    <w:bookmarkStart w:id="17" w:name="a-note-on-pac-conditions."/>
    <w:p>
      <w:pPr>
        <w:pStyle w:val="Heading4"/>
      </w:pPr>
      <w:r>
        <w:t xml:space="preserve">A note on PAC conditions.</w:t>
      </w:r>
    </w:p>
    <w:p>
      <w:pPr>
        <w:pStyle w:val="FirstParagraph"/>
      </w:pPr>
      <w:r>
        <w:t xml:space="preserve">Biological populations violate classical PAC assumptions: individuals are genealogically related (non-i.i.d.), the genotype space shifts across generations, and selection operates on realized fitness rather than labelled examples. Theorem </w:t>
      </w:r>
      <w:hyperlink w:anchor="thm:pac">
        <w:r>
          <w:rPr>
            <w:rStyle w:val="Hyperlink"/>
          </w:rPr>
          <w:t xml:space="preserve">5</w:t>
        </w:r>
      </w:hyperlink>
      <w:r>
        <w:t xml:space="preserve"> </w:t>
      </w:r>
      <w:r>
        <w:t xml:space="preserve">therefore produces</w:t>
      </w:r>
      <w:r>
        <w:t xml:space="preserve"> </w:t>
      </w:r>
      <w:r>
        <w:rPr>
          <w:i/>
          <w:iCs/>
        </w:rPr>
        <w:t xml:space="preserve">evolutionary concentration bounds with PAC structure</w:t>
      </w:r>
      <w:r>
        <w:t xml:space="preserve"> </w:t>
      </w:r>
      <w:r>
        <w:t xml:space="preserve">rather than strict PAC bounds. The non-i.i.d. correction via Wright–Fisher mixing-time arguments </w:t>
      </w:r>
      <w:r>
        <w:t xml:space="preserve">(Yu 1994)</w:t>
      </w:r>
      <w:r>
        <w:t xml:space="preserve"> </w:t>
      </w:r>
      <w:r>
        <w:t xml:space="preserve">is</w:t>
      </w:r>
      <w:r>
        <w:t xml:space="preserve"> </w:t>
      </w:r>
      <m:oMath>
        <m:r>
          <m:rPr>
            <m:scr m:val="script"/>
            <m:sty m:val="p"/>
          </m:rPr>
          <m:t>O</m:t>
        </m:r>
        <m:r>
          <m:rPr>
            <m:sty m:val="p"/>
          </m:rPr>
          <m:t>(</m:t>
        </m:r>
        <m:sSup>
          <m:e>
            <m:r>
              <m:t>e</m:t>
            </m:r>
          </m:e>
          <m:sup>
            <m:r>
              <m:rPr>
                <m:sty m:val="p"/>
              </m:rPr>
              <m:t>−</m:t>
            </m:r>
            <m:sSub>
              <m:e>
                <m:r>
                  <m:t>N</m:t>
                </m:r>
              </m:e>
              <m:sub>
                <m:r>
                  <m:t>e</m:t>
                </m:r>
              </m:sub>
            </m:sSub>
            <m:r>
              <m:t>s</m:t>
            </m:r>
          </m:sup>
        </m:sSup>
        <m:r>
          <m:rPr>
            <m:sty m:val="p"/>
          </m:rPr>
          <m:t>)</m:t>
        </m:r>
      </m:oMath>
      <w:r>
        <w:t xml:space="preserve"> </w:t>
      </w:r>
      <w:r>
        <w:t xml:space="preserve">in the strong-selection regime and negligible for the cancer-evolution parameter ranges used below.</w:t>
      </w:r>
    </w:p>
    <w:bookmarkEnd w:id="17"/>
    <w:bookmarkEnd w:id="18"/>
    <w:bookmarkStart w:id="20" w:name="theorem-4-the-g-matrix-as-vc-dimension"/>
    <w:p>
      <w:pPr>
        <w:pStyle w:val="Heading2"/>
      </w:pPr>
      <w:r>
        <w:t xml:space="preserve">Theorem 4: The G Matrix as VC Dimension</w:t>
      </w:r>
    </w:p>
    <w:p>
      <w:pPr>
        <w:pStyle w:val="FirstParagraph"/>
      </w:pPr>
      <w:r>
        <w:t xml:space="preserve">In multivariate selection on</w:t>
      </w:r>
      <w:r>
        <w:t xml:space="preserve"> </w:t>
      </w:r>
      <m:oMath>
        <m:r>
          <m:t>m</m:t>
        </m:r>
      </m:oMath>
      <w:r>
        <w:t xml:space="preserve"> </w:t>
      </w:r>
      <w:r>
        <w:t xml:space="preserve">quantitative traits, the effective learning capacity of the population is determined by the additive genetic covariance matrix</w:t>
      </w:r>
      <w:r>
        <w:t xml:space="preserve"> </w:t>
      </w:r>
      <m:oMath>
        <m:r>
          <m:rPr>
            <m:sty m:val="bi"/>
          </m:rPr>
          <m:t>G</m:t>
        </m:r>
      </m:oMath>
      <w:r>
        <w:t xml:space="preserve">.</w:t>
      </w:r>
    </w:p>
    <w:p>
      <w:pPr>
        <w:pStyle w:val="BodyText"/>
      </w:pPr>
      <w:r>
        <w:rPr>
          <w:b/>
          <w:bCs/>
        </w:rPr>
        <w:t xml:space="preserve">Theorem 7</w:t>
      </w:r>
      <w:r>
        <w:t xml:space="preserve"> </w:t>
      </w:r>
      <w:r>
        <w:t xml:space="preserve">(G-Matrix Capacity Theorem).</w:t>
      </w:r>
      <w:r>
        <w:t xml:space="preserve"> </w:t>
      </w:r>
      <w:r>
        <w:t xml:space="preserve"> </w:t>
      </w:r>
      <w:r>
        <w:rPr>
          <w:i/>
          <w:iCs/>
        </w:rPr>
        <w:t xml:space="preserve">Under the linear-additive genetic architecture of the infinitesimal model, the effective VC dimension of the multivariate evolutionary learning problem equals</w:t>
      </w:r>
      <w:r>
        <w:rPr>
          <w:i/>
          <w:iCs/>
        </w:rPr>
        <w:t xml:space="preserve"> </w:t>
      </w:r>
      <m:oMath>
        <m:r>
          <m:rPr>
            <m:sty m:val="p"/>
          </m:rPr>
          <m:t>r</m:t>
        </m:r>
        <m:r>
          <m:rPr>
            <m:sty m:val="p"/>
          </m:rPr>
          <m:t>a</m:t>
        </m:r>
        <m:r>
          <m:rPr>
            <m:sty m:val="p"/>
          </m:rPr>
          <m:t>n</m:t>
        </m:r>
        <m:r>
          <m:rPr>
            <m:sty m:val="p"/>
          </m:rPr>
          <m:t>k</m:t>
        </m:r>
        <m:r>
          <m:rPr>
            <m:sty m:val="p"/>
          </m:rPr>
          <m:t>(</m:t>
        </m:r>
        <m:r>
          <m:rPr>
            <m:sty m:val="bi"/>
          </m:rPr>
          <m:t>G</m:t>
        </m:r>
        <m:r>
          <m:rPr>
            <m:sty m:val="p"/>
          </m:rPr>
          <m:t>)</m:t>
        </m:r>
      </m:oMath>
      <w:r>
        <w:rPr>
          <w:i/>
          <w:iCs/>
        </w:rPr>
        <w:t xml:space="preserve">. Traits in the null space of</w:t>
      </w:r>
      <w:r>
        <w:rPr>
          <w:i/>
          <w:iCs/>
        </w:rPr>
        <w:t xml:space="preserve"> </w:t>
      </w:r>
      <m:oMath>
        <m:r>
          <m:rPr>
            <m:sty m:val="bi"/>
          </m:rPr>
          <m:t>G</m:t>
        </m:r>
      </m:oMath>
      <w:r>
        <w:rPr>
          <w:i/>
          <w:iCs/>
        </w:rPr>
        <w:t xml:space="preserve"> </w:t>
      </w:r>
      <w:r>
        <w:rPr>
          <w:i/>
          <w:iCs/>
        </w:rPr>
        <w:t xml:space="preserve">are unlearnable regardless of</w:t>
      </w:r>
      <w:r>
        <w:rPr>
          <w:i/>
          <w:iCs/>
        </w:rPr>
        <w:t xml:space="preserve"> </w:t>
      </w:r>
      <m:oMath>
        <m:sSub>
          <m:e>
            <m:r>
              <m:t>N</m:t>
            </m:r>
          </m:e>
          <m:sub>
            <m:r>
              <m:t>e</m:t>
            </m:r>
          </m:sub>
        </m:sSub>
      </m:oMath>
      <w:r>
        <w:rPr>
          <w:i/>
          <w:iCs/>
        </w:rPr>
        <w:t xml:space="preserve"> </w:t>
      </w:r>
      <w:r>
        <w:rPr>
          <w:i/>
          <w:iCs/>
        </w:rPr>
        <w:t xml:space="preserve">or</w:t>
      </w:r>
      <w:r>
        <w:rPr>
          <w:i/>
          <w:iCs/>
        </w:rPr>
        <w:t xml:space="preserve"> </w:t>
      </w:r>
      <m:oMath>
        <m:r>
          <m:t>T</m:t>
        </m:r>
      </m:oMath>
      <w:r>
        <w:rPr>
          <w:i/>
          <w:iCs/>
        </w:rPr>
        <w:t xml:space="preserve">. The eigenvalues</w:t>
      </w:r>
      <w:r>
        <w:rPr>
          <w:i/>
          <w:iCs/>
        </w:rPr>
        <w:t xml:space="preserve"> </w:t>
      </w:r>
      <m:oMath>
        <m:r>
          <m:rPr>
            <m:sty m:val="p"/>
          </m:rPr>
          <m:t>{</m:t>
        </m:r>
        <m:sSub>
          <m:e>
            <m:r>
              <m:t>λ</m:t>
            </m:r>
          </m:e>
          <m:sub>
            <m:r>
              <m:t>i</m:t>
            </m:r>
          </m:sub>
        </m:sSub>
        <m:r>
          <m:rPr>
            <m:sty m:val="p"/>
          </m:rPr>
          <m:t>}</m:t>
        </m:r>
      </m:oMath>
      <w:r>
        <w:rPr>
          <w:i/>
          <w:iCs/>
        </w:rPr>
        <w:t xml:space="preserve"> </w:t>
      </w:r>
      <w:r>
        <w:rPr>
          <w:i/>
          <w:iCs/>
        </w:rPr>
        <w:t xml:space="preserve">of</w:t>
      </w:r>
      <w:r>
        <w:rPr>
          <w:i/>
          <w:iCs/>
        </w:rPr>
        <w:t xml:space="preserve"> </w:t>
      </w:r>
      <m:oMath>
        <m:r>
          <m:rPr>
            <m:sty m:val="bi"/>
          </m:rPr>
          <m:t>G</m:t>
        </m:r>
      </m:oMath>
      <w:r>
        <w:rPr>
          <w:i/>
          <w:iCs/>
        </w:rPr>
        <w:t xml:space="preserve"> </w:t>
      </w:r>
      <w:r>
        <w:rPr>
          <w:i/>
          <w:iCs/>
        </w:rPr>
        <w:t xml:space="preserve">play the role of per-dimension Rademacher complexities: eigendirections with small</w:t>
      </w:r>
      <w:r>
        <w:rPr>
          <w:i/>
          <w:iCs/>
        </w:rPr>
        <w:t xml:space="preserve"> </w:t>
      </w:r>
      <m:oMath>
        <m:sSub>
          <m:e>
            <m:r>
              <m:t>λ</m:t>
            </m:r>
          </m:e>
          <m:sub>
            <m:r>
              <m:t>i</m:t>
            </m:r>
          </m:sub>
        </m:sSub>
      </m:oMath>
      <w:r>
        <w:rPr>
          <w:i/>
          <w:iCs/>
        </w:rPr>
        <w:t xml:space="preserve"> </w:t>
      </w:r>
      <w:r>
        <w:rPr>
          <w:i/>
          <w:iCs/>
        </w:rPr>
        <w:t xml:space="preserve">correspond to dimensions where evolutionary learning is slow and requires large</w:t>
      </w:r>
      <w:r>
        <w:rPr>
          <w:i/>
          <w:iCs/>
        </w:rPr>
        <w:t xml:space="preserve"> </w:t>
      </w:r>
      <m:oMath>
        <m:sSub>
          <m:e>
            <m:r>
              <m:t>N</m:t>
            </m:r>
          </m:e>
          <m:sub>
            <m:r>
              <m:t>e</m:t>
            </m:r>
          </m:sub>
        </m:sSub>
      </m:oMath>
      <w:r>
        <w:rPr>
          <w:i/>
          <w:iCs/>
        </w:rPr>
        <w:t xml:space="preserve"> </w:t>
      </w:r>
      <w:r>
        <w:rPr>
          <w:i/>
          <w:iCs/>
        </w:rPr>
        <w:t xml:space="preserve">for accurate generalization.</w:t>
      </w:r>
    </w:p>
    <w:p>
      <w:pPr>
        <w:pStyle w:val="BodyText"/>
      </w:pPr>
      <w:r>
        <w:rPr>
          <w:i/>
          <w:iCs/>
        </w:rPr>
        <w:t xml:space="preserve">Proof sketch.</w:t>
      </w:r>
      <w:r>
        <w:t xml:space="preserve"> </w:t>
      </w:r>
      <w:r>
        <w:t xml:space="preserve">The multivariate breeder’s equation</w:t>
      </w:r>
      <w:r>
        <w:t xml:space="preserve"> </w:t>
      </w:r>
      <m:oMath>
        <m:r>
          <m:rPr>
            <m:sty m:val="p"/>
          </m:rPr>
          <m:t>Δ</m:t>
        </m:r>
        <m:acc>
          <m:accPr>
            <m:chr m:val="‾"/>
          </m:accPr>
          <m:e>
            <m:r>
              <m:rPr>
                <m:sty m:val="bi"/>
              </m:rPr>
              <m:t>z</m:t>
            </m:r>
          </m:e>
        </m:acc>
        <m:r>
          <m:rPr>
            <m:sty m:val="p"/>
          </m:rPr>
          <m:t>=</m:t>
        </m:r>
        <m:r>
          <m:rPr>
            <m:sty m:val="bi"/>
          </m:rPr>
          <m:t>G</m:t>
        </m:r>
        <m:r>
          <m:rPr>
            <m:sty m:val="bi"/>
          </m:rPr>
          <m:t>β</m:t>
        </m:r>
      </m:oMath>
      <w:r>
        <w:t xml:space="preserve"> </w:t>
      </w:r>
      <w:r>
        <w:t xml:space="preserve">defines a linear map from the space of selection gradients to the space of phenotypic responses. The image of this map is</w:t>
      </w:r>
      <w:r>
        <w:t xml:space="preserve"> </w:t>
      </w:r>
      <m:oMath>
        <m:r>
          <m:rPr>
            <m:sty m:val="p"/>
          </m:rPr>
          <m:t>i</m:t>
        </m:r>
        <m:r>
          <m:rPr>
            <m:sty m:val="p"/>
          </m:rPr>
          <m:t>m</m:t>
        </m:r>
        <m:r>
          <m:rPr>
            <m:sty m:val="p"/>
          </m:rPr>
          <m:t>(</m:t>
        </m:r>
        <m:r>
          <m:rPr>
            <m:sty m:val="bi"/>
          </m:rPr>
          <m:t>G</m:t>
        </m:r>
        <m:r>
          <m:rPr>
            <m:sty m:val="p"/>
          </m:rPr>
          <m:t>)</m:t>
        </m:r>
      </m:oMath>
      <w:r>
        <w:t xml:space="preserve">; selection in</w:t>
      </w:r>
      <w:r>
        <w:t xml:space="preserve"> </w:t>
      </w:r>
      <m:oMath>
        <m:r>
          <m:rPr>
            <m:sty m:val="p"/>
          </m:rPr>
          <m:t>ker</m:t>
        </m:r>
        <m:r>
          <m:rPr>
            <m:sty m:val="p"/>
          </m:rPr>
          <m:t>(</m:t>
        </m:r>
        <m:r>
          <m:rPr>
            <m:sty m:val="bi"/>
          </m:rPr>
          <m:t>G</m:t>
        </m:r>
        <m:r>
          <m:rPr>
            <m:sty m:val="p"/>
          </m:rPr>
          <m:t>)</m:t>
        </m:r>
      </m:oMath>
      <w:r>
        <w:t xml:space="preserve"> </w:t>
      </w:r>
      <w:r>
        <w:t xml:space="preserve">produces no response. The per-dimension learning rate in the</w:t>
      </w:r>
      <w:r>
        <w:t xml:space="preserve"> </w:t>
      </w:r>
      <m:oMath>
        <m:r>
          <m:t>i</m:t>
        </m:r>
      </m:oMath>
      <w:r>
        <w:t xml:space="preserve">-th eigendirection of</w:t>
      </w:r>
      <w:r>
        <w:t xml:space="preserve"> </w:t>
      </w:r>
      <m:oMath>
        <m:r>
          <m:rPr>
            <m:sty m:val="bi"/>
          </m:rPr>
          <m:t>G</m:t>
        </m:r>
      </m:oMath>
      <w:r>
        <w:t xml:space="preserve"> </w:t>
      </w:r>
      <w:r>
        <w:t xml:space="preserve">is</w:t>
      </w:r>
      <w:r>
        <w:t xml:space="preserve"> </w:t>
      </w:r>
      <m:oMath>
        <m:sSub>
          <m:e>
            <m:r>
              <m:t>λ</m:t>
            </m:r>
          </m:e>
          <m:sub>
            <m:r>
              <m:t>i</m:t>
            </m:r>
          </m:sub>
        </m:sSub>
        <m:r>
          <m:rPr>
            <m:sty m:val="p"/>
          </m:rPr>
          <m:t>⋅</m:t>
        </m:r>
        <m:sSub>
          <m:e>
            <m:r>
              <m:t>s</m:t>
            </m:r>
          </m:e>
          <m:sub>
            <m:r>
              <m:t>i</m:t>
            </m:r>
          </m:sub>
        </m:sSub>
        <m:r>
          <m:rPr>
            <m:sty m:val="p"/>
          </m:rPr>
          <m:t>/</m:t>
        </m:r>
        <m:sSub>
          <m:e>
            <m:r>
              <m:t>V</m:t>
            </m:r>
          </m:e>
          <m:sub>
            <m:r>
              <m:t>P</m:t>
            </m:r>
          </m:sub>
        </m:sSub>
      </m:oMath>
      <w:r>
        <w:t xml:space="preserve">, where</w:t>
      </w:r>
      <w:r>
        <w:t xml:space="preserve"> </w:t>
      </w:r>
      <m:oMath>
        <m:sSub>
          <m:e>
            <m:r>
              <m:t>s</m:t>
            </m:r>
          </m:e>
          <m:sub>
            <m:r>
              <m:t>i</m:t>
            </m:r>
          </m:sub>
        </m:sSub>
      </m:oMath>
      <w:r>
        <w:t xml:space="preserve"> </w:t>
      </w:r>
      <w:r>
        <w:t xml:space="preserve">is the selection coefficient in that direction. The multivariate PAC bound decomposes along eigendirections, with</w:t>
      </w:r>
      <w:r>
        <w:t xml:space="preserve"> </w:t>
      </w:r>
      <m:oMath>
        <m:sSub>
          <m:e>
            <m:r>
              <m:t>λ</m:t>
            </m:r>
          </m:e>
          <m:sub>
            <m:r>
              <m:t>i</m:t>
            </m:r>
          </m:sub>
        </m:sSub>
      </m:oMath>
      <w:r>
        <w:t xml:space="preserve"> </w:t>
      </w:r>
      <w:r>
        <w:t xml:space="preserve">replacing</w:t>
      </w:r>
      <w:r>
        <w:t xml:space="preserve"> </w:t>
      </w:r>
      <m:oMath>
        <m:sSub>
          <m:e>
            <m:r>
              <m:t>V</m:t>
            </m:r>
          </m:e>
          <m:sub>
            <m:r>
              <m:t>A</m:t>
            </m:r>
          </m:sub>
        </m:sSub>
      </m:oMath>
      <w:r>
        <w:t xml:space="preserve"> </w:t>
      </w:r>
      <w:r>
        <w:t xml:space="preserve">in each dimension. ◻</w:t>
      </w:r>
    </w:p>
    <w:bookmarkStart w:id="19" w:name="implications."/>
    <w:p>
      <w:pPr>
        <w:pStyle w:val="Heading4"/>
      </w:pPr>
      <w:r>
        <w:t xml:space="preserve">Implications.</w:t>
      </w:r>
    </w:p>
    <w:p>
      <w:pPr>
        <w:pStyle w:val="FirstParagraph"/>
      </w:pPr>
      <w:r>
        <w:t xml:space="preserve">(i) Evolutionary constraints—the classic</w:t>
      </w:r>
      <w:r>
        <w:t xml:space="preserve"> </w:t>
      </w:r>
      <w:r>
        <w:t xml:space="preserve">“lines of least resistance”</w:t>
      </w:r>
      <w:r>
        <w:t xml:space="preserve"> </w:t>
      </w:r>
      <w:r>
        <w:t xml:space="preserve">in morphological evolution </w:t>
      </w:r>
      <w:r>
        <w:t xml:space="preserve">(Schluter 1996)</w:t>
      </w:r>
      <w:r>
        <w:t xml:space="preserve">—are exactly the high-eigenvalue eigenvectors of</w:t>
      </w:r>
      <w:r>
        <w:t xml:space="preserve"> </w:t>
      </w:r>
      <m:oMath>
        <m:r>
          <m:rPr>
            <m:sty m:val="bi"/>
          </m:rPr>
          <m:t>G</m:t>
        </m:r>
      </m:oMath>
      <w:r>
        <w:t xml:space="preserve">: the easy learning directions. (ii) A low-rank</w:t>
      </w:r>
      <w:r>
        <w:t xml:space="preserve"> </w:t>
      </w:r>
      <m:oMath>
        <m:r>
          <m:rPr>
            <m:sty m:val="bi"/>
          </m:rPr>
          <m:t>G</m:t>
        </m:r>
      </m:oMath>
      <w:r>
        <w:t xml:space="preserve"> </w:t>
      </w:r>
      <w:r>
        <w:t xml:space="preserve">forces the population to learn in a constrained subspace, analogously to how an architectural bottleneck constrains a neural network. (iii) Changes in</w:t>
      </w:r>
      <w:r>
        <w:t xml:space="preserve"> </w:t>
      </w:r>
      <m:oMath>
        <m:r>
          <m:rPr>
            <m:sty m:val="bi"/>
          </m:rPr>
          <m:t>G</m:t>
        </m:r>
      </m:oMath>
      <w:r>
        <w:t xml:space="preserve"> </w:t>
      </w:r>
      <w:r>
        <w:t xml:space="preserve">across generations (the evolution of evolvability) are the evolutionary analogue of neural architecture search and meta-learning.</w:t>
      </w:r>
    </w:p>
    <w:bookmarkEnd w:id="19"/>
    <w:bookmarkEnd w:id="20"/>
    <w:bookmarkStart w:id="26" w:name="X6dc0f486cbf2a85d4d96ff50a71850d17da03f5"/>
    <w:p>
      <w:pPr>
        <w:pStyle w:val="Heading2"/>
      </w:pPr>
      <w:r>
        <w:t xml:space="preserve">Empirical Validation: Cancer Evolutionary Genomics</w:t>
      </w:r>
    </w:p>
    <w:bookmarkStart w:id="21" w:name="rationale."/>
    <w:p>
      <w:pPr>
        <w:pStyle w:val="Heading4"/>
      </w:pPr>
      <w:r>
        <w:t xml:space="preserve">Rationale.</w:t>
      </w:r>
    </w:p>
    <w:p>
      <w:pPr>
        <w:pStyle w:val="FirstParagraph"/>
      </w:pPr>
      <w:r>
        <w:t xml:space="preserve">Tumour cell populations evolve under strong, measurable selection in finite populations whose</w:t>
      </w:r>
      <w:r>
        <w:t xml:space="preserve"> </w:t>
      </w:r>
      <m:oMath>
        <m:sSub>
          <m:e>
            <m:r>
              <m:t>N</m:t>
            </m:r>
          </m:e>
          <m:sub>
            <m:r>
              <m:t>e</m:t>
            </m:r>
          </m:sub>
        </m:sSub>
      </m:oMath>
      <w:r>
        <w:t xml:space="preserve"> </w:t>
      </w:r>
      <w:r>
        <w:t xml:space="preserve">is estimable from the VAF site-frequency spectrum </w:t>
      </w:r>
      <w:r>
        <w:t xml:space="preserve">(Williams et al. 2016)</w:t>
      </w:r>
      <w:r>
        <w:t xml:space="preserve">. Selection coefficients are measurable from longitudinal whole-genome sequencing, and many independent evolutionary</w:t>
      </w:r>
      <w:r>
        <w:t xml:space="preserve"> </w:t>
      </w:r>
      <w:r>
        <w:t xml:space="preserve">“runs”</w:t>
      </w:r>
      <w:r>
        <w:t xml:space="preserve"> </w:t>
      </w:r>
      <w:r>
        <w:t xml:space="preserve">are observable across patients of the same tumour type—making cancer evolution an ideal empirical test of Theorems 1 and 3.</w:t>
      </w:r>
    </w:p>
    <w:bookmarkEnd w:id="21"/>
    <w:bookmarkStart w:id="22" w:name="operationalization."/>
    <w:p>
      <w:pPr>
        <w:pStyle w:val="Heading4"/>
      </w:pPr>
      <w:r>
        <w:t xml:space="preserve">Operationalization.</w:t>
      </w:r>
    </w:p>
    <w:p>
      <w:pPr>
        <w:pStyle w:val="FirstParagraph"/>
      </w:pPr>
      <m:oMath>
        <m:sSub>
          <m:e>
            <m:r>
              <m:t>V</m:t>
            </m:r>
          </m:e>
          <m:sub>
            <m:r>
              <m:t>A</m:t>
            </m:r>
          </m:sub>
        </m:sSub>
      </m:oMath>
      <w:r>
        <w:t xml:space="preserve"> </w:t>
      </w:r>
      <w:r>
        <w:t xml:space="preserve">is estimated as CCF variance across subclonal mutations at treatment initiation </w:t>
      </w:r>
      <w:r>
        <w:t xml:space="preserve">(</w:t>
      </w:r>
      <w:r>
        <w:t xml:space="preserve">Dentro et al.</w:t>
      </w:r>
      <w:r>
        <w:t xml:space="preserve"> </w:t>
      </w:r>
      <w:r>
        <w:t xml:space="preserve">2021)</w:t>
      </w:r>
      <w:r>
        <w:t xml:space="preserve">;</w:t>
      </w:r>
      <w:r>
        <w:t xml:space="preserve"> </w:t>
      </w:r>
      <m:oMath>
        <m:sSub>
          <m:e>
            <m:r>
              <m:t>N</m:t>
            </m:r>
          </m:e>
          <m:sub>
            <m:r>
              <m:t>e</m:t>
            </m:r>
          </m:sub>
        </m:sSub>
      </m:oMath>
      <w:r>
        <w:t xml:space="preserve"> </w:t>
      </w:r>
      <w:r>
        <w:t xml:space="preserve">from the neutral site-frequency spectrum </w:t>
      </w:r>
      <w:r>
        <w:t xml:space="preserve">(Williams et al. 2016)</w:t>
      </w:r>
      <w:r>
        <w:t xml:space="preserve">. The intratumour heterogeneity (ITH) index (proportion of subclonal somatic mutations) serves as the</w:t>
      </w:r>
      <w:r>
        <w:t xml:space="preserve"> </w:t>
      </w:r>
      <m:oMath>
        <m:sSup>
          <m:e>
            <m:acc>
              <m:accPr>
                <m:chr m:val="̂"/>
              </m:accPr>
              <m:e>
                <m:r>
                  <m:t>h</m:t>
                </m:r>
              </m:e>
            </m:acc>
          </m:e>
          <m:sup>
            <m:r>
              <m:t>2</m:t>
            </m:r>
          </m:sup>
        </m:sSup>
      </m:oMath>
      <w:r>
        <w:t xml:space="preserve"> </w:t>
      </w:r>
      <w:r>
        <w:t xml:space="preserve">proxy. Selection coefficients</w:t>
      </w:r>
      <w:r>
        <w:t xml:space="preserve"> </w:t>
      </w:r>
      <m:oMath>
        <m:acc>
          <m:accPr>
            <m:chr m:val="‾"/>
          </m:accPr>
          <m:e>
            <m:r>
              <m:t>s</m:t>
            </m:r>
          </m:e>
        </m:acc>
      </m:oMath>
      <w:r>
        <w:t xml:space="preserve"> </w:t>
      </w:r>
      <w:r>
        <w:t xml:space="preserve">are inferred from VAF trajectory dynamics </w:t>
      </w:r>
      <w:r>
        <w:t xml:space="preserve">(</w:t>
      </w:r>
      <w:r>
        <w:t xml:space="preserve">Tarabichi et al.</w:t>
      </w:r>
      <w:r>
        <w:t xml:space="preserve"> </w:t>
      </w:r>
      <w:r>
        <w:t xml:space="preserve">2021)</w:t>
      </w:r>
      <w:r>
        <w:t xml:space="preserve">.</w:t>
      </w:r>
    </w:p>
    <w:bookmarkEnd w:id="22"/>
    <w:bookmarkStart w:id="23" w:name="X1606497987af8bd3f6a0aafa4961063005c0a31"/>
    <w:p>
      <w:pPr>
        <w:pStyle w:val="Heading4"/>
      </w:pPr>
      <w:r>
        <w:t xml:space="preserve">Primary analysis: TRACERx 421 NSCLC cohort (Figure 2A).</w:t>
      </w:r>
    </w:p>
    <w:p>
      <w:pPr>
        <w:pStyle w:val="FirstParagraph"/>
      </w:pPr>
      <w:r>
        <w:t xml:space="preserve">We tested the breeder’s equation prediction</w:t>
      </w:r>
      <w:r>
        <w:t xml:space="preserve"> </w:t>
      </w:r>
      <m:oMath>
        <m:r>
          <m:t>R</m:t>
        </m:r>
        <m:r>
          <m:rPr>
            <m:sty m:val="p"/>
          </m:rPr>
          <m:t>=</m:t>
        </m:r>
        <m:sSup>
          <m:e>
            <m:r>
              <m:t>h</m:t>
            </m:r>
          </m:e>
          <m:sup>
            <m:r>
              <m:t>2</m:t>
            </m:r>
          </m:sup>
        </m:sSup>
        <m:r>
          <m:t>S</m:t>
        </m:r>
      </m:oMath>
      <w:r>
        <w:t xml:space="preserve"> </w:t>
      </w:r>
      <w:r>
        <w:t xml:space="preserve">using published aggregate statistics from the 421 non-small-cell lung cancer (NSCLC) patients in the TRACERx 421 cohort </w:t>
      </w:r>
      <w:r>
        <w:t xml:space="preserve">(</w:t>
      </w:r>
      <w:r>
        <w:t xml:space="preserve">Jamal-Hanjani et al.</w:t>
      </w:r>
      <w:r>
        <w:t xml:space="preserve"> </w:t>
      </w:r>
      <w:r>
        <w:t xml:space="preserve">2023;</w:t>
      </w:r>
      <w:r>
        <w:t xml:space="preserve"> </w:t>
      </w:r>
      <w:r>
        <w:t xml:space="preserve">Abbosh et al.</w:t>
      </w:r>
      <w:r>
        <w:t xml:space="preserve"> </w:t>
      </w:r>
      <w:r>
        <w:t xml:space="preserve">2023)</w:t>
      </w:r>
      <w:r>
        <w:t xml:space="preserve">. Patients were stratified into ITH tertiles by subclonal mutation fraction (</w:t>
      </w:r>
      <m:oMath>
        <m:sSup>
          <m:e>
            <m:acc>
              <m:accPr>
                <m:chr m:val="̂"/>
              </m:accPr>
              <m:e>
                <m:r>
                  <m:t>h</m:t>
                </m:r>
              </m:e>
            </m:acc>
          </m:e>
          <m:sup>
            <m:r>
              <m:t>2</m:t>
            </m:r>
          </m:sup>
        </m:sSup>
      </m:oMath>
      <w:r>
        <w:t xml:space="preserve"> </w:t>
      </w:r>
      <w:r>
        <w:t xml:space="preserve">proxy); clonal adaptation rates (mean clonal VAF increase per ctDNA interval) were read directly from </w:t>
      </w:r>
      <w:r>
        <w:t xml:space="preserve">(</w:t>
      </w:r>
      <w:r>
        <w:t xml:space="preserve">Abbosh et al.</w:t>
      </w:r>
      <w:r>
        <w:t xml:space="preserve"> </w:t>
      </w:r>
      <w:r>
        <w:t xml:space="preserve">2023)</w:t>
      </w:r>
      <w:r>
        <w:t xml:space="preserve"> </w:t>
      </w:r>
      <w:r>
        <w:t xml:space="preserve">Figure 3b/c. The published median adaptation rates for low-, mid-, and high-ITH tertiles were 0.027, 0.040, and 0.055 per interval respectively—a</w:t>
      </w:r>
      <w:r>
        <w:t xml:space="preserve"> </w:t>
      </w:r>
      <m:oMath>
        <m:r>
          <m:t>2.0</m:t>
        </m:r>
        <m:r>
          <m:rPr>
            <m:sty m:val="p"/>
          </m:rPr>
          <m:t>×</m:t>
        </m:r>
      </m:oMath>
      <w:r>
        <w:t xml:space="preserve"> </w:t>
      </w:r>
      <w:r>
        <w:t xml:space="preserve">difference between the extreme tertiles (</w:t>
      </w:r>
      <m:oMath>
        <m:r>
          <m:t>p</m:t>
        </m:r>
        <m:r>
          <m:rPr>
            <m:sty m:val="p"/>
          </m:rPr>
          <m:t>&lt;</m:t>
        </m:r>
        <m:r>
          <m:t>0.001</m:t>
        </m:r>
      </m:oMath>
      <w:r>
        <w:t xml:space="preserve">, Mann–Whitney; Figure 2A), exactly as predicted by</w:t>
      </w:r>
      <w:r>
        <w:t xml:space="preserve"> </w:t>
      </w:r>
      <m:oMath>
        <m:r>
          <m:t>R</m:t>
        </m:r>
        <m:r>
          <m:rPr>
            <m:sty m:val="p"/>
          </m:rPr>
          <m:t>∝</m:t>
        </m:r>
        <m:sSup>
          <m:e>
            <m:r>
              <m:t>h</m:t>
            </m:r>
          </m:e>
          <m:sup>
            <m:r>
              <m:t>2</m:t>
            </m:r>
          </m:sup>
        </m:sSup>
      </m:oMath>
      <w:r>
        <w:t xml:space="preserve"> </w:t>
      </w:r>
      <w:r>
        <w:t xml:space="preserve">when</w:t>
      </w:r>
      <w:r>
        <w:t xml:space="preserve"> </w:t>
      </w:r>
      <m:oMath>
        <m:r>
          <m:t>S</m:t>
        </m:r>
      </m:oMath>
      <w:r>
        <w:t xml:space="preserve"> </w:t>
      </w:r>
      <w:r>
        <w:t xml:space="preserve">is held approximately constant across patients receiving the same watchful-waiting protocol.</w:t>
      </w:r>
    </w:p>
    <w:bookmarkEnd w:id="23"/>
    <w:bookmarkStart w:id="24" w:name="Xe431724fce64193263670f630452339265527a7"/>
    <w:p>
      <w:pPr>
        <w:pStyle w:val="Heading4"/>
      </w:pPr>
      <w:r>
        <w:t xml:space="preserve">Independent replication: MSK PD-1 NSCLC (Figure 2B).</w:t>
      </w:r>
    </w:p>
    <w:p>
      <w:pPr>
        <w:pStyle w:val="FirstParagraph"/>
      </w:pPr>
      <w:r>
        <w:t xml:space="preserve">The breeder’s equation framework applies equally when the</w:t>
      </w:r>
      <w:r>
        <w:t xml:space="preserve"> </w:t>
      </w:r>
      <w:r>
        <w:rPr>
          <w:i/>
          <w:iCs/>
        </w:rPr>
        <w:t xml:space="preserve">immune system</w:t>
      </w:r>
      <w:r>
        <w:t xml:space="preserve"> </w:t>
      </w:r>
      <w:r>
        <w:t xml:space="preserve">is the adaptive learner. Under anti-PD-1 blockade, the immune system operates as an ERM learner facing a neoantigen landscape;</w:t>
      </w:r>
      <w:r>
        <w:t xml:space="preserve"> </w:t>
      </w:r>
      <m:oMath>
        <m:sSubSup>
          <m:e>
            <m:r>
              <m:t>V</m:t>
            </m:r>
          </m:e>
          <m:sub>
            <m:r>
              <m:t>A</m:t>
            </m:r>
          </m:sub>
          <m:sup>
            <m:r>
              <m:rPr>
                <m:sty m:val="p"/>
              </m:rPr>
              <m:t>i</m:t>
            </m:r>
            <m:r>
              <m:rPr>
                <m:sty m:val="p"/>
              </m:rPr>
              <m:t>m</m:t>
            </m:r>
            <m:r>
              <m:rPr>
                <m:sty m:val="p"/>
              </m:rPr>
              <m:t>m</m:t>
            </m:r>
            <m:r>
              <m:rPr>
                <m:sty m:val="p"/>
              </m:rPr>
              <m:t>u</m:t>
            </m:r>
            <m:r>
              <m:rPr>
                <m:sty m:val="p"/>
              </m:rPr>
              <m:t>n</m:t>
            </m:r>
            <m:r>
              <m:rPr>
                <m:sty m:val="p"/>
              </m:rPr>
              <m:t>e</m:t>
            </m:r>
          </m:sup>
        </m:sSubSup>
      </m:oMath>
      <w:r>
        <w:t xml:space="preserve"> </w:t>
      </w:r>
      <w:r>
        <w:t xml:space="preserve">scales with tumour mutational burden (TMB) because more non-synonymous mutations provide more independent antigenic selection signals (</w:t>
      </w:r>
      <m:oMath>
        <m:sSub>
          <m:e>
            <m:r>
              <m:t>S</m:t>
            </m:r>
          </m:e>
          <m:sub>
            <m:r>
              <m:rPr>
                <m:sty m:val="p"/>
              </m:rPr>
              <m:t>i</m:t>
            </m:r>
            <m:r>
              <m:rPr>
                <m:sty m:val="p"/>
              </m:rPr>
              <m:t>m</m:t>
            </m:r>
            <m:r>
              <m:rPr>
                <m:sty m:val="p"/>
              </m:rPr>
              <m:t>m</m:t>
            </m:r>
            <m:r>
              <m:rPr>
                <m:sty m:val="p"/>
              </m:rPr>
              <m:t>u</m:t>
            </m:r>
            <m:r>
              <m:rPr>
                <m:sty m:val="p"/>
              </m:rPr>
              <m:t>n</m:t>
            </m:r>
            <m:r>
              <m:rPr>
                <m:sty m:val="p"/>
              </m:rPr>
              <m:t>e</m:t>
            </m:r>
          </m:sub>
        </m:sSub>
        <m:r>
          <m:rPr>
            <m:sty m:val="p"/>
          </m:rPr>
          <m:t>∝</m:t>
        </m:r>
      </m:oMath>
      <w:r>
        <w:t xml:space="preserve"> </w:t>
      </w:r>
      <w:r>
        <w:t xml:space="preserve">TMB). The theory therefore predicts</w:t>
      </w:r>
      <w:r>
        <w:t xml:space="preserve"> </w:t>
      </w:r>
      <m:oMath>
        <m:sSub>
          <m:e>
            <m:r>
              <m:t>R</m:t>
            </m:r>
          </m:e>
          <m:sub>
            <m:r>
              <m:rPr>
                <m:sty m:val="p"/>
              </m:rPr>
              <m:t>i</m:t>
            </m:r>
            <m:r>
              <m:rPr>
                <m:sty m:val="p"/>
              </m:rPr>
              <m:t>m</m:t>
            </m:r>
            <m:r>
              <m:rPr>
                <m:sty m:val="p"/>
              </m:rPr>
              <m:t>m</m:t>
            </m:r>
            <m:r>
              <m:rPr>
                <m:sty m:val="p"/>
              </m:rPr>
              <m:t>u</m:t>
            </m:r>
            <m:r>
              <m:rPr>
                <m:sty m:val="p"/>
              </m:rPr>
              <m:t>n</m:t>
            </m:r>
            <m:r>
              <m:rPr>
                <m:sty m:val="p"/>
              </m:rPr>
              <m:t>e</m:t>
            </m:r>
          </m:sub>
        </m:sSub>
        <m:r>
          <m:rPr>
            <m:sty m:val="p"/>
          </m:rPr>
          <m:t>∝</m:t>
        </m:r>
      </m:oMath>
      <w:r>
        <w:t xml:space="preserve"> </w:t>
      </w:r>
      <w:r>
        <w:t xml:space="preserve">TMB, hence longer tumour control (longer PFS) for high-TMB patients. In 239 advanced NSCLC patients from the MSK PD-1 cohort </w:t>
      </w:r>
      <w:r>
        <w:t xml:space="preserve">(</w:t>
      </w:r>
      <w:r>
        <w:t xml:space="preserve">Hellmann et al.</w:t>
      </w:r>
      <w:r>
        <w:t xml:space="preserve"> </w:t>
      </w:r>
      <w:r>
        <w:t xml:space="preserve">2018)</w:t>
      </w:r>
      <w:r>
        <w:t xml:space="preserve"> </w:t>
      </w:r>
      <w:r>
        <w:t xml:space="preserve">(cBioPortal public data),</w:t>
      </w:r>
      <w:r>
        <w:t xml:space="preserve"> </w:t>
      </w:r>
      <m:oMath>
        <m:sSub>
          <m:e>
            <m:r>
              <m:rPr>
                <m:sty m:val="p"/>
              </m:rPr>
              <m:t>log</m:t>
            </m:r>
          </m:e>
          <m:sub>
            <m:r>
              <m:t>10</m:t>
            </m:r>
          </m:sub>
        </m:sSub>
      </m:oMath>
      <w:r>
        <w:t xml:space="preserve">(TMB) was positively and significantly associated with</w:t>
      </w:r>
      <w:r>
        <w:t xml:space="preserve"> </w:t>
      </w:r>
      <m:oMath>
        <m:sSub>
          <m:e>
            <m:r>
              <m:rPr>
                <m:sty m:val="p"/>
              </m:rPr>
              <m:t>log</m:t>
            </m:r>
          </m:e>
          <m:sub>
            <m:r>
              <m:t>10</m:t>
            </m:r>
          </m:sub>
        </m:sSub>
      </m:oMath>
      <w:r>
        <w:t xml:space="preserve">(PFS) (Pearson</w:t>
      </w:r>
      <w:r>
        <w:t xml:space="preserve"> </w:t>
      </w:r>
      <m:oMath>
        <m:r>
          <m:t>r</m:t>
        </m:r>
        <m:r>
          <m:rPr>
            <m:sty m:val="p"/>
          </m:rPr>
          <m:t>=</m:t>
        </m:r>
        <m:r>
          <m:t>0.15</m:t>
        </m:r>
      </m:oMath>
      <w:r>
        <w:t xml:space="preserve">,</w:t>
      </w:r>
      <w:r>
        <w:t xml:space="preserve"> </w:t>
      </w:r>
      <m:oMath>
        <m:r>
          <m:t>p</m:t>
        </m:r>
        <m:r>
          <m:rPr>
            <m:sty m:val="p"/>
          </m:rPr>
          <m:t>=</m:t>
        </m:r>
        <m:r>
          <m:t>0.022</m:t>
        </m:r>
      </m:oMath>
      <w:r>
        <w:t xml:space="preserve">; Figure 2B), consistent with this prediction.</w:t>
      </w:r>
    </w:p>
    <w:bookmarkEnd w:id="24"/>
    <w:bookmarkStart w:id="25" w:name="cross-cancer-pac-bound-test-figure-3a."/>
    <w:p>
      <w:pPr>
        <w:pStyle w:val="Heading4"/>
      </w:pPr>
      <w:r>
        <w:t xml:space="preserve">Cross-cancer PAC bound test (Figure 3A).</w:t>
      </w:r>
    </w:p>
    <w:p>
      <w:pPr>
        <w:pStyle w:val="FirstParagraph"/>
      </w:pPr>
      <w:r>
        <w:t xml:space="preserve">The theoretical PAC bound</w:t>
      </w:r>
      <w:r>
        <w:t xml:space="preserve"> </w:t>
      </w:r>
      <m:oMath>
        <m:sSup>
          <m:e>
            <m:r>
              <m:t>ε</m:t>
            </m:r>
          </m:e>
          <m:sup>
            <m:r>
              <m:rPr>
                <m:sty m:val="p"/>
              </m:rPr>
              <m:t>*</m:t>
            </m:r>
          </m:sup>
        </m:sSup>
        <m:r>
          <m:rPr>
            <m:sty m:val="p"/>
          </m:rPr>
          <m:t>(</m:t>
        </m:r>
        <m:sSub>
          <m:e>
            <m:r>
              <m:t>N</m:t>
            </m:r>
          </m:e>
          <m:sub>
            <m:r>
              <m:t>e</m:t>
            </m:r>
          </m:sub>
        </m:sSub>
        <m:r>
          <m:rPr>
            <m:sty m:val="p"/>
          </m:rPr>
          <m:t>,</m:t>
        </m:r>
        <m:sSub>
          <m:e>
            <m:r>
              <m:t>V</m:t>
            </m:r>
          </m:e>
          <m:sub>
            <m:r>
              <m:t>A</m:t>
            </m:r>
          </m:sub>
        </m:sSub>
        <m:r>
          <m:rPr>
            <m:sty m:val="p"/>
          </m:rPr>
          <m:t>)</m:t>
        </m:r>
      </m:oMath>
      <w:r>
        <w:t xml:space="preserve"> </w:t>
      </w:r>
      <w:r>
        <w:t xml:space="preserve">from Theorem </w:t>
      </w:r>
      <w:hyperlink w:anchor="thm:pac">
        <w:r>
          <w:rPr>
            <w:rStyle w:val="Hyperlink"/>
          </w:rPr>
          <w:t xml:space="preserve">5</w:t>
        </w:r>
      </w:hyperlink>
      <w:r>
        <w:t xml:space="preserve"> </w:t>
      </w:r>
      <w:r>
        <w:t xml:space="preserve">was computed for nine cancer types using published</w:t>
      </w:r>
      <w:r>
        <w:t xml:space="preserve"> </w:t>
      </w:r>
      <m:oMath>
        <m:sSub>
          <m:e>
            <m:r>
              <m:t>N</m:t>
            </m:r>
          </m:e>
          <m:sub>
            <m:r>
              <m:t>e</m:t>
            </m:r>
          </m:sub>
        </m:sSub>
      </m:oMath>
      <w:r>
        <w:t xml:space="preserve"> </w:t>
      </w:r>
      <w:r>
        <w:t xml:space="preserve">estimates </w:t>
      </w:r>
      <w:r>
        <w:t xml:space="preserve">(Williams et al. 2016)</w:t>
      </w:r>
      <w:r>
        <w:t xml:space="preserve"> </w:t>
      </w:r>
      <w:r>
        <w:t xml:space="preserve">and CCF variance (</w:t>
      </w:r>
      <m:oMath>
        <m:sSub>
          <m:e>
            <m:r>
              <m:t>V</m:t>
            </m:r>
          </m:e>
          <m:sub>
            <m:r>
              <m:t>A</m:t>
            </m:r>
          </m:sub>
        </m:sSub>
      </m:oMath>
      <w:r>
        <w:t xml:space="preserve">; </w:t>
      </w:r>
      <w:r>
        <w:t xml:space="preserve">(</w:t>
      </w:r>
      <w:r>
        <w:t xml:space="preserve">Dentro et al.</w:t>
      </w:r>
      <w:r>
        <w:t xml:space="preserve"> </w:t>
      </w:r>
      <w:r>
        <w:t xml:space="preserve">2021)</w:t>
      </w:r>
      <w:r>
        <w:t xml:space="preserve">). We operationalized the observed generalization error as the reciprocal of the median time to second progression after first resistance emergence (</w:t>
      </w:r>
      <m:oMath>
        <m:r>
          <m:t>1</m:t>
        </m:r>
        <m:r>
          <m:rPr>
            <m:sty m:val="p"/>
          </m:rPr>
          <m:t>/</m:t>
        </m:r>
        <m:sSub>
          <m:e>
            <m:r>
              <m:rPr>
                <m:sty m:val="p"/>
              </m:rPr>
              <m:t>T</m:t>
            </m:r>
            <m:r>
              <m:rPr>
                <m:sty m:val="p"/>
              </m:rPr>
              <m:t>T</m:t>
            </m:r>
            <m:r>
              <m:rPr>
                <m:sty m:val="p"/>
              </m:rPr>
              <m:t>R</m:t>
            </m:r>
          </m:e>
          <m:sub>
            <m:r>
              <m:t>2</m:t>
            </m:r>
          </m:sub>
        </m:sSub>
      </m:oMath>
      <w:r>
        <w:t xml:space="preserve"> </w:t>
      </w:r>
      <w:r>
        <w:t xml:space="preserve">in months</w:t>
      </w:r>
      <m:oMath>
        <m:sSup>
          <m:e>
            <m:r>
              <m:t>​</m:t>
            </m:r>
          </m:e>
          <m:sup>
            <m:r>
              <m:rPr>
                <m:sty m:val="p"/>
              </m:rPr>
              <m:t>−</m:t>
            </m:r>
            <m:r>
              <m:t>1</m:t>
            </m:r>
          </m:sup>
        </m:sSup>
      </m:oMath>
      <w:r>
        <w:t xml:space="preserve">): high-</w:t>
      </w:r>
      <m:oMath>
        <m:sSup>
          <m:e>
            <m:r>
              <m:t>ε</m:t>
            </m:r>
          </m:e>
          <m:sup>
            <m:r>
              <m:rPr>
                <m:sty m:val="p"/>
              </m:rPr>
              <m:t>*</m:t>
            </m:r>
          </m:sup>
        </m:sSup>
      </m:oMath>
      <w:r>
        <w:t xml:space="preserve"> </w:t>
      </w:r>
      <w:r>
        <w:t xml:space="preserve">populations, which the theory predicts will settle in suboptimal resistance states, should also show shorter resistance durability and thus higher</w:t>
      </w:r>
      <w:r>
        <w:t xml:space="preserve"> </w:t>
      </w:r>
      <m:oMath>
        <m:r>
          <m:t>1</m:t>
        </m:r>
        <m:r>
          <m:rPr>
            <m:sty m:val="p"/>
          </m:rPr>
          <m:t>/</m:t>
        </m:r>
        <m:sSub>
          <m:e>
            <m:r>
              <m:rPr>
                <m:sty m:val="p"/>
              </m:rPr>
              <m:t>T</m:t>
            </m:r>
            <m:r>
              <m:rPr>
                <m:sty m:val="p"/>
              </m:rPr>
              <m:t>T</m:t>
            </m:r>
            <m:r>
              <m:rPr>
                <m:sty m:val="p"/>
              </m:rPr>
              <m:t>R</m:t>
            </m:r>
          </m:e>
          <m:sub>
            <m:r>
              <m:t>2</m:t>
            </m:r>
          </m:sub>
        </m:sSub>
      </m:oMath>
      <w:r>
        <w:t xml:space="preserve">. Published</w:t>
      </w:r>
      <w:r>
        <w:t xml:space="preserve"> </w:t>
      </w:r>
      <m:oMath>
        <m:sSub>
          <m:e>
            <m:r>
              <m:rPr>
                <m:sty m:val="p"/>
              </m:rPr>
              <m:t>T</m:t>
            </m:r>
            <m:r>
              <m:rPr>
                <m:sty m:val="p"/>
              </m:rPr>
              <m:t>T</m:t>
            </m:r>
            <m:r>
              <m:rPr>
                <m:sty m:val="p"/>
              </m:rPr>
              <m:t>R</m:t>
            </m:r>
          </m:e>
          <m:sub>
            <m:r>
              <m:t>2</m:t>
            </m:r>
          </m:sub>
        </m:sSub>
      </m:oMath>
      <w:r>
        <w:t xml:space="preserve"> </w:t>
      </w:r>
      <w:r>
        <w:t xml:space="preserve">values were obtained from disease-specific clinical studies </w:t>
      </w:r>
      <w:r>
        <w:t xml:space="preserve">(</w:t>
      </w:r>
      <w:r>
        <w:t xml:space="preserve">Shlush et al.</w:t>
      </w:r>
      <w:r>
        <w:t xml:space="preserve"> </w:t>
      </w:r>
      <w:r>
        <w:t xml:space="preserve">2017; Omuro and DeAngelis 2013;</w:t>
      </w:r>
      <w:r>
        <w:t xml:space="preserve"> </w:t>
      </w:r>
      <w:r>
        <w:t xml:space="preserve">Wagle et al.</w:t>
      </w:r>
      <w:r>
        <w:t xml:space="preserve"> </w:t>
      </w:r>
      <w:r>
        <w:t xml:space="preserve">2014;</w:t>
      </w:r>
      <w:r>
        <w:t xml:space="preserve"> </w:t>
      </w:r>
      <w:r>
        <w:t xml:space="preserve">Yates et al.</w:t>
      </w:r>
      <w:r>
        <w:t xml:space="preserve"> </w:t>
      </w:r>
      <w:r>
        <w:t xml:space="preserve">2015;</w:t>
      </w:r>
      <w:r>
        <w:t xml:space="preserve"> </w:t>
      </w:r>
      <w:r>
        <w:t xml:space="preserve">Oxnard et al.</w:t>
      </w:r>
      <w:r>
        <w:t xml:space="preserve"> </w:t>
      </w:r>
      <w:r>
        <w:t xml:space="preserve">2017;</w:t>
      </w:r>
      <w:r>
        <w:t xml:space="preserve"> </w:t>
      </w:r>
      <w:r>
        <w:t xml:space="preserve">Hellmann et al.</w:t>
      </w:r>
      <w:r>
        <w:t xml:space="preserve"> </w:t>
      </w:r>
      <w:r>
        <w:t xml:space="preserve">2019; Osumi et al. 2021;</w:t>
      </w:r>
      <w:r>
        <w:t xml:space="preserve"> </w:t>
      </w:r>
      <w:r>
        <w:t xml:space="preserve">Scher et al.</w:t>
      </w:r>
      <w:r>
        <w:t xml:space="preserve"> </w:t>
      </w:r>
      <w:r>
        <w:t xml:space="preserve">2012;</w:t>
      </w:r>
      <w:r>
        <w:t xml:space="preserve"> </w:t>
      </w:r>
      <w:r>
        <w:t xml:space="preserve">Haugen et al.</w:t>
      </w:r>
      <w:r>
        <w:t xml:space="preserve"> </w:t>
      </w:r>
      <w:r>
        <w:t xml:space="preserve">2016)</w:t>
      </w:r>
      <w:r>
        <w:t xml:space="preserve">. Computed</w:t>
      </w:r>
      <w:r>
        <w:t xml:space="preserve"> </w:t>
      </w:r>
      <m:oMath>
        <m:sSup>
          <m:e>
            <m:r>
              <m:t>ε</m:t>
            </m:r>
          </m:e>
          <m:sup>
            <m:r>
              <m:rPr>
                <m:sty m:val="p"/>
              </m:rPr>
              <m:t>*</m:t>
            </m:r>
          </m:sup>
        </m:sSup>
      </m:oMath>
      <w:r>
        <w:t xml:space="preserve"> </w:t>
      </w:r>
      <w:r>
        <w:t xml:space="preserve">ranged from 0.017 (THCA, high-</w:t>
      </w:r>
      <m:oMath>
        <m:sSub>
          <m:e>
            <m:r>
              <m:t>N</m:t>
            </m:r>
          </m:e>
          <m:sub>
            <m:r>
              <m:t>e</m:t>
            </m:r>
          </m:sub>
        </m:sSub>
      </m:oMath>
      <w:r>
        <w:t xml:space="preserve">, low-</w:t>
      </w:r>
      <m:oMath>
        <m:sSub>
          <m:e>
            <m:r>
              <m:t>V</m:t>
            </m:r>
          </m:e>
          <m:sub>
            <m:r>
              <m:t>A</m:t>
            </m:r>
          </m:sub>
        </m:sSub>
      </m:oMath>
      <w:r>
        <w:t xml:space="preserve">) to 0.151 (AML, low-</w:t>
      </w:r>
      <m:oMath>
        <m:sSub>
          <m:e>
            <m:r>
              <m:t>N</m:t>
            </m:r>
          </m:e>
          <m:sub>
            <m:r>
              <m:t>e</m:t>
            </m:r>
          </m:sub>
        </m:sSub>
      </m:oMath>
      <w:r>
        <w:t xml:space="preserve">, high-</w:t>
      </w:r>
      <m:oMath>
        <m:sSub>
          <m:e>
            <m:r>
              <m:t>V</m:t>
            </m:r>
          </m:e>
          <m:sub>
            <m:r>
              <m:t>A</m:t>
            </m:r>
          </m:sub>
        </m:sSub>
      </m:oMath>
      <w:r>
        <w:t xml:space="preserve">), and was strongly correlated with observed</w:t>
      </w:r>
      <w:r>
        <w:t xml:space="preserve"> </w:t>
      </w:r>
      <m:oMath>
        <m:r>
          <m:t>1</m:t>
        </m:r>
        <m:r>
          <m:rPr>
            <m:sty m:val="p"/>
          </m:rPr>
          <m:t>/</m:t>
        </m:r>
        <m:sSub>
          <m:e>
            <m:r>
              <m:rPr>
                <m:sty m:val="p"/>
              </m:rPr>
              <m:t>T</m:t>
            </m:r>
            <m:r>
              <m:rPr>
                <m:sty m:val="p"/>
              </m:rPr>
              <m:t>T</m:t>
            </m:r>
            <m:r>
              <m:rPr>
                <m:sty m:val="p"/>
              </m:rPr>
              <m:t>R</m:t>
            </m:r>
          </m:e>
          <m:sub>
            <m:r>
              <m:t>2</m:t>
            </m:r>
          </m:sub>
        </m:sSub>
      </m:oMath>
      <w:r>
        <w:t xml:space="preserve"> </w:t>
      </w:r>
      <w:r>
        <w:t xml:space="preserve">(Pearson</w:t>
      </w:r>
      <w:r>
        <w:t xml:space="preserve"> </w:t>
      </w:r>
      <m:oMath>
        <m:r>
          <m:t>r</m:t>
        </m:r>
        <m:r>
          <m:rPr>
            <m:sty m:val="p"/>
          </m:rPr>
          <m:t>=</m:t>
        </m:r>
        <m:r>
          <m:t>0.96</m:t>
        </m:r>
      </m:oMath>
      <w:r>
        <w:t xml:space="preserve">,</w:t>
      </w:r>
      <w:r>
        <w:t xml:space="preserve"> </w:t>
      </w:r>
      <m:oMath>
        <m:r>
          <m:t>p</m:t>
        </m:r>
        <m:r>
          <m:rPr>
            <m:sty m:val="p"/>
          </m:rPr>
          <m:t>&lt;</m:t>
        </m:r>
        <m:r>
          <m:t>0.0001</m:t>
        </m:r>
      </m:oMath>
      <w:r>
        <w:t xml:space="preserve">,</w:t>
      </w:r>
      <w:r>
        <w:t xml:space="preserve"> </w:t>
      </w:r>
      <m:oMath>
        <m:r>
          <m:t>n</m:t>
        </m:r>
        <m:r>
          <m:rPr>
            <m:sty m:val="p"/>
          </m:rPr>
          <m:t>=</m:t>
        </m:r>
        <m:r>
          <m:t>9</m:t>
        </m:r>
      </m:oMath>
      <w:r>
        <w:t xml:space="preserve"> </w:t>
      </w:r>
      <w:r>
        <w:t xml:space="preserve">cancer types; Figure 3A). THCA, with the tightest PAC bound (</w:t>
      </w:r>
      <m:oMath>
        <m:sSup>
          <m:e>
            <m:r>
              <m:t>ε</m:t>
            </m:r>
          </m:e>
          <m:sup>
            <m:r>
              <m:rPr>
                <m:sty m:val="p"/>
              </m:rPr>
              <m:t>*</m:t>
            </m:r>
          </m:sup>
        </m:sSup>
        <m:r>
          <m:rPr>
            <m:sty m:val="p"/>
          </m:rPr>
          <m:t>=</m:t>
        </m:r>
        <m:r>
          <m:t>0.017</m:t>
        </m:r>
      </m:oMath>
      <w:r>
        <w:t xml:space="preserve">), had the most durable resistance (</w:t>
      </w:r>
      <m:oMath>
        <m:sSub>
          <m:e>
            <m:r>
              <m:rPr>
                <m:sty m:val="p"/>
              </m:rPr>
              <m:t>T</m:t>
            </m:r>
            <m:r>
              <m:rPr>
                <m:sty m:val="p"/>
              </m:rPr>
              <m:t>T</m:t>
            </m:r>
            <m:r>
              <m:rPr>
                <m:sty m:val="p"/>
              </m:rPr>
              <m:t>R</m:t>
            </m:r>
          </m:e>
          <m:sub>
            <m:r>
              <m:t>2</m:t>
            </m:r>
          </m:sub>
        </m:sSub>
        <m:r>
          <m:rPr>
            <m:sty m:val="p"/>
          </m:rPr>
          <m:t>≈</m:t>
        </m:r>
        <m:r>
          <m:t>50</m:t>
        </m:r>
      </m:oMath>
      <w:r>
        <w:t xml:space="preserve"> </w:t>
      </w:r>
      <w:r>
        <w:t xml:space="preserve">months). AML, with the loosest bound (</w:t>
      </w:r>
      <m:oMath>
        <m:sSup>
          <m:e>
            <m:r>
              <m:t>ε</m:t>
            </m:r>
          </m:e>
          <m:sup>
            <m:r>
              <m:rPr>
                <m:sty m:val="p"/>
              </m:rPr>
              <m:t>*</m:t>
            </m:r>
          </m:sup>
        </m:sSup>
        <m:r>
          <m:rPr>
            <m:sty m:val="p"/>
          </m:rPr>
          <m:t>=</m:t>
        </m:r>
        <m:r>
          <m:t>0.151</m:t>
        </m:r>
      </m:oMath>
      <w:r>
        <w:t xml:space="preserve">), had the least durable resistance (</w:t>
      </w:r>
      <m:oMath>
        <m:sSub>
          <m:e>
            <m:r>
              <m:rPr>
                <m:sty m:val="p"/>
              </m:rPr>
              <m:t>T</m:t>
            </m:r>
            <m:r>
              <m:rPr>
                <m:sty m:val="p"/>
              </m:rPr>
              <m:t>T</m:t>
            </m:r>
            <m:r>
              <m:rPr>
                <m:sty m:val="p"/>
              </m:rPr>
              <m:t>R</m:t>
            </m:r>
          </m:e>
          <m:sub>
            <m:r>
              <m:t>2</m:t>
            </m:r>
          </m:sub>
        </m:sSub>
        <m:r>
          <m:rPr>
            <m:sty m:val="p"/>
          </m:rPr>
          <m:t>≈</m:t>
        </m:r>
        <m:r>
          <m:t>3</m:t>
        </m:r>
      </m:oMath>
      <w:r>
        <w:t xml:space="preserve"> </w:t>
      </w:r>
      <w:r>
        <w:t xml:space="preserve">months).</w:t>
      </w:r>
    </w:p>
    <w:p>
      <w:pPr>
        <w:pStyle w:val="BodyText"/>
      </w:pPr>
      <w:r>
        <w:t xml:space="preserve">Taken together, these results validate two independent quantitative predictions of the unified framework across 660 cancer patients (421 from TRACERx 421 + 239 from MSK PD-1 NSCLC) and 9 cancer types spanning four orders of magnitude in</w:t>
      </w:r>
      <w:r>
        <w:t xml:space="preserve"> </w:t>
      </w:r>
      <m:oMath>
        <m:sSub>
          <m:e>
            <m:r>
              <m:t>N</m:t>
            </m:r>
          </m:e>
          <m:sub>
            <m:r>
              <m:t>e</m:t>
            </m:r>
          </m:sub>
        </m:sSub>
      </m:oMath>
      <w:r>
        <w:t xml:space="preserve">.</w:t>
      </w:r>
    </w:p>
    <w:bookmarkEnd w:id="25"/>
    <w:bookmarkEnd w:id="26"/>
    <w:bookmarkEnd w:id="27"/>
    <w:bookmarkStart w:id="38" w:name="discussion"/>
    <w:p>
      <w:pPr>
        <w:pStyle w:val="Heading1"/>
      </w:pPr>
      <w:r>
        <w:t xml:space="preserve">Discussion</w:t>
      </w:r>
    </w:p>
    <w:bookmarkStart w:id="28" w:name="the-central-claim."/>
    <w:p>
      <w:pPr>
        <w:pStyle w:val="Heading4"/>
      </w:pPr>
      <w:r>
        <w:t xml:space="preserve">The central claim.</w:t>
      </w:r>
    </w:p>
    <w:p>
      <w:pPr>
        <w:pStyle w:val="FirstParagraph"/>
      </w:pPr>
      <w:r>
        <w:t xml:space="preserve">This paper has one primary claim: natural selection and PAC learning are both instances of empirical risk minimization on a Fisher-information manifold, and the quantities that govern evolutionary adaptation (</w:t>
      </w:r>
      <m:oMath>
        <m:sSub>
          <m:e>
            <m:r>
              <m:t>V</m:t>
            </m:r>
          </m:e>
          <m:sub>
            <m:r>
              <m:t>A</m:t>
            </m:r>
          </m:sub>
        </m:sSub>
      </m:oMath>
      <w:r>
        <w:t xml:space="preserve">,</w:t>
      </w:r>
      <w:r>
        <w:t xml:space="preserve"> </w:t>
      </w:r>
      <m:oMath>
        <m:sSup>
          <m:e>
            <m:r>
              <m:t>h</m:t>
            </m:r>
          </m:e>
          <m:sup>
            <m:r>
              <m:t>2</m:t>
            </m:r>
          </m:sup>
        </m:sSup>
      </m:oMath>
      <w:r>
        <w:t xml:space="preserve">,</w:t>
      </w:r>
      <w:r>
        <w:t xml:space="preserve"> </w:t>
      </w:r>
      <m:oMath>
        <m:sSub>
          <m:e>
            <m:r>
              <m:t>N</m:t>
            </m:r>
          </m:e>
          <m:sub>
            <m:r>
              <m:t>e</m:t>
            </m:r>
          </m:sub>
        </m:sSub>
      </m:oMath>
      <w:r>
        <w:t xml:space="preserve">) are the same quantities that govern learning-theoretic generalization. The four theorems each express a different facet of this geometric unity—convergence rate (Theorem 1), gradient structure (Theorem 2), generalization bounds (Theorem 3), capacity dimensionality (Theorem 4). The empirical results demonstrate that the framework generates quantitatively testable, non-trivial predictions about cancer evolution. Everything else in the paper supports, qualifies, or extends that single geometric claim.</w:t>
      </w:r>
    </w:p>
    <w:bookmarkEnd w:id="28"/>
    <w:bookmarkStart w:id="29" w:name="X2ce1568bad5b4e9deb96b26c1bf4f1c8ea9a798"/>
    <w:p>
      <w:pPr>
        <w:pStyle w:val="Heading4"/>
      </w:pPr>
      <w:r>
        <w:t xml:space="preserve">Sequential monotherapy as an inadvertent training protocol.</w:t>
      </w:r>
    </w:p>
    <w:p>
      <w:pPr>
        <w:pStyle w:val="FirstParagraph"/>
      </w:pPr>
      <w:r>
        <w:t xml:space="preserve">The framework compels a direct confrontation with the dominant paradigm in oncology. Standard of care in most advanced solid tumours is sequential monotherapy: administer a targeted agent, wait for progression, identify the resistance mechanism, administer a second agent, and repeat. This approach is intuitively reasonable—it adapts treatment to the emerging tumour biology. Formally, however, it is the worst possible strategy from an evolutionary sample complexity perspective. Each line of therapy constitutes a selective trial in which the surviving cell population is exposed to a new fitness landscape, allowed to reach a new adaptive peak, and only then challenged with a different landscape. This is not disrupting the tumour’s learning process—it is providing the tumour with a sequentially annotated training dataset, each treatment line a labelled example, each relapse a weight update. The PAC bound of Theorem </w:t>
      </w:r>
      <w:hyperlink w:anchor="thm:pac">
        <w:r>
          <w:rPr>
            <w:rStyle w:val="Hyperlink"/>
          </w:rPr>
          <w:t xml:space="preserve">5</w:t>
        </w:r>
      </w:hyperlink>
      <w:r>
        <w:t xml:space="preserve"> </w:t>
      </w:r>
      <w:r>
        <w:t xml:space="preserve">makes the mathematical consequence explicit: the effective sample complexity available to the tumour scales with the number of selective trials it survives. A tumour that has survived</w:t>
      </w:r>
      <w:r>
        <w:t xml:space="preserve"> </w:t>
      </w:r>
      <m:oMath>
        <m:r>
          <m:t>k</m:t>
        </m:r>
      </m:oMath>
      <w:r>
        <w:t xml:space="preserve"> </w:t>
      </w:r>
      <w:r>
        <w:t xml:space="preserve">lines of sequential therapy has had</w:t>
      </w:r>
      <w:r>
        <w:t xml:space="preserve"> </w:t>
      </w:r>
      <m:oMath>
        <m:r>
          <m:t>k</m:t>
        </m:r>
      </m:oMath>
      <w:r>
        <w:t xml:space="preserve"> </w:t>
      </w:r>
      <w:r>
        <w:t xml:space="preserve">independent opportunities to explore the resistance landscape; the probability of reliable resistance learning grows with each cycle. By contrast, an upfront combination regimen engineered to suppress</w:t>
      </w:r>
      <w:r>
        <w:t xml:space="preserve"> </w:t>
      </w:r>
      <m:oMath>
        <m:sSub>
          <m:e>
            <m:r>
              <m:t>N</m:t>
            </m:r>
          </m:e>
          <m:sub>
            <m:r>
              <m:t>e</m:t>
            </m:r>
          </m:sub>
        </m:sSub>
      </m:oMath>
      <w:r>
        <w:t xml:space="preserve"> </w:t>
      </w:r>
      <w:r>
        <w:t xml:space="preserve">below the evolutionary sample complexity threshold</w:t>
      </w:r>
      <w:r>
        <w:t xml:space="preserve"> </w:t>
      </w:r>
      <m:oMath>
        <m:sSubSup>
          <m:e>
            <m:r>
              <m:t>N</m:t>
            </m:r>
          </m:e>
          <m:sub>
            <m:r>
              <m:t>e</m:t>
            </m:r>
          </m:sub>
          <m:sup>
            <m:r>
              <m:rPr>
                <m:sty m:val="p"/>
              </m:rPr>
              <m:t>*</m:t>
            </m:r>
          </m:sup>
        </m:sSubSup>
      </m:oMath>
      <w:r>
        <w:t xml:space="preserve"> </w:t>
      </w:r>
      <w:r>
        <w:t xml:space="preserve">and maintain it there would deny the tumour training loops simultaneously—collapsing available sample size below the threshold for reliable learning before a single resistance clone can be stably selected. Under the assumptions of this framework, the mathematics implies that sequential monotherapy is sub-optimal from an evolutionary sample-complexity perspective. Within the model, resistance becomes a predictable computational process: in principle, it can be bounded and prevented by maintaining</w:t>
      </w:r>
      <w:r>
        <w:t xml:space="preserve"> </w:t>
      </w:r>
      <m:oMath>
        <m:sSub>
          <m:e>
            <m:r>
              <m:t>N</m:t>
            </m:r>
          </m:e>
          <m:sub>
            <m:r>
              <m:t>e</m:t>
            </m:r>
          </m:sub>
        </m:sSub>
      </m:oMath>
      <w:r>
        <w:t xml:space="preserve"> </w:t>
      </w:r>
      <w:r>
        <w:t xml:space="preserve">below</w:t>
      </w:r>
      <w:r>
        <w:t xml:space="preserve"> </w:t>
      </w:r>
      <m:oMath>
        <m:sSubSup>
          <m:e>
            <m:r>
              <m:t>N</m:t>
            </m:r>
          </m:e>
          <m:sub>
            <m:r>
              <m:t>e</m:t>
            </m:r>
          </m:sub>
          <m:sup>
            <m:r>
              <m:rPr>
                <m:sty m:val="p"/>
              </m:rPr>
              <m:t>*</m:t>
            </m:r>
          </m:sup>
        </m:sSubSup>
      </m:oMath>
      <w:r>
        <w:t xml:space="preserve">.</w:t>
      </w:r>
    </w:p>
    <w:bookmarkEnd w:id="29"/>
    <w:bookmarkStart w:id="30" w:name="X66bf96d4eb856f51b47cec647bf0b3e2f48a2c3"/>
    <w:p>
      <w:pPr>
        <w:pStyle w:val="Heading4"/>
      </w:pPr>
      <w:r>
        <w:t xml:space="preserve">What the unification means for evolutionary genetics.</w:t>
      </w:r>
    </w:p>
    <w:p>
      <w:pPr>
        <w:pStyle w:val="FirstParagraph"/>
      </w:pPr>
      <w:r>
        <w:t xml:space="preserve">Fisher’s Fundamental Theorem of Natural Selection has been the subject of interpretive controversy since its publication </w:t>
      </w:r>
      <w:r>
        <w:t xml:space="preserve">(Ewens 1989; Lessard 1997; Price 1972; Grafen 2003)</w:t>
      </w:r>
      <w:r>
        <w:t xml:space="preserve">. We offer a specific geometric interpretation: under the infinitesimal model, the theorem is the convergence theorem for natural gradient ascent on the allele-frequency manifold. This gives the FTNS a precise meaning as a statement about the speed of a well-defined optimization process, and may help clarify some of the longstanding interpretive disagreements.</w:t>
      </w:r>
    </w:p>
    <w:p>
      <w:pPr>
        <w:pStyle w:val="BodyText"/>
      </w:pPr>
      <w:r>
        <w:t xml:space="preserve">The Price Equation similarly gains a new interpretation as the first-order condition for empirical risk minimization, with the transmission term identifying the meta-learning component of evolutionary dynamics. This decomposition is not merely aesthetic—it predicts that evolutionary processes with high transmission noise (high mutation, high recombination) will behave like learning algorithms with noisy gradients, exhibiting slower but potentially more robust adaptation.</w:t>
      </w:r>
    </w:p>
    <w:p>
      <w:pPr>
        <w:pStyle w:val="BodyText"/>
      </w:pPr>
      <w:r>
        <w:t xml:space="preserve">The</w:t>
      </w:r>
      <w:r>
        <w:t xml:space="preserve"> </w:t>
      </w:r>
      <m:oMath>
        <m:r>
          <m:rPr>
            <m:sty m:val="bi"/>
          </m:rPr>
          <m:t>G</m:t>
        </m:r>
      </m:oMath>
      <w:r>
        <w:t xml:space="preserve"> </w:t>
      </w:r>
      <w:r>
        <w:t xml:space="preserve">matrix capacity theorem formalizes, with mathematical precision, the intuition that evolutionary constraints are evolutionary capabilities: the genetic covariance structure both limits which phenotypic changes are accessible and determines which are easy. This connects the quantitative genetics of evolvability </w:t>
      </w:r>
      <w:r>
        <w:t xml:space="preserve">(Houle 1992; Pigliucci 2008)</w:t>
      </w:r>
      <w:r>
        <w:t xml:space="preserve"> </w:t>
      </w:r>
      <w:r>
        <w:t xml:space="preserve">to the information-theoretic notion of model capacity in a way that yields quantitative predictions.</w:t>
      </w:r>
    </w:p>
    <w:bookmarkEnd w:id="30"/>
    <w:bookmarkStart w:id="31" w:name="X5bd62f3dcb5c051cc7f1ab8c4240a011b2113c7"/>
    <w:p>
      <w:pPr>
        <w:pStyle w:val="Heading4"/>
      </w:pPr>
      <w:r>
        <w:t xml:space="preserve">What the unification means for ML and learning theory.</w:t>
      </w:r>
    </w:p>
    <w:p>
      <w:pPr>
        <w:pStyle w:val="FirstParagraph"/>
      </w:pPr>
      <w:r>
        <w:t xml:space="preserve">Evolutionary genetics provides a 3.8-billion-year empirical validation record for a class of learning processes operating in regimes that are rarely treated rigorously in statistical learning theory: extremely small effective sample sizes (</w:t>
      </w:r>
      <m:oMath>
        <m:sSub>
          <m:e>
            <m:r>
              <m:t>N</m:t>
            </m:r>
          </m:e>
          <m:sub>
            <m:r>
              <m:t>e</m:t>
            </m:r>
          </m:sub>
        </m:sSub>
      </m:oMath>
      <w:r>
        <w:t xml:space="preserve"> </w:t>
      </w:r>
      <w:r>
        <w:t xml:space="preserve">as low as</w:t>
      </w:r>
      <w:r>
        <w:t xml:space="preserve"> </w:t>
      </w:r>
      <m:oMath>
        <m:sSup>
          <m:e>
            <m:r>
              <m:t>10</m:t>
            </m:r>
          </m:e>
          <m:sup>
            <m:r>
              <m:t>2</m:t>
            </m:r>
          </m:sup>
        </m:sSup>
      </m:oMath>
      <w:r>
        <w:t xml:space="preserve"> </w:t>
      </w:r>
      <w:r>
        <w:t xml:space="preserve">in endangered species,</w:t>
      </w:r>
      <w:r>
        <w:t xml:space="preserve"> </w:t>
      </w:r>
      <m:oMath>
        <m:sSup>
          <m:e>
            <m:r>
              <m:t>10</m:t>
            </m:r>
          </m:e>
          <m:sup>
            <m:r>
              <m:t>4</m:t>
            </m:r>
          </m:sup>
        </m:sSup>
      </m:oMath>
      <w:r>
        <w:t xml:space="preserve">–</w:t>
      </w:r>
      <m:oMath>
        <m:sSup>
          <m:e>
            <m:r>
              <m:t>10</m:t>
            </m:r>
          </m:e>
          <m:sup>
            <m:r>
              <m:t>6</m:t>
            </m:r>
          </m:sup>
        </m:sSup>
      </m:oMath>
      <w:r>
        <w:t xml:space="preserve"> </w:t>
      </w:r>
      <w:r>
        <w:t xml:space="preserve">in typical populations), non-i.i.d. correlated</w:t>
      </w:r>
      <w:r>
        <w:t xml:space="preserve"> </w:t>
      </w:r>
      <w:r>
        <w:t xml:space="preserve">“data”</w:t>
      </w:r>
      <w:r>
        <w:t xml:space="preserve"> </w:t>
      </w:r>
      <w:r>
        <w:t xml:space="preserve">(individuals in a breeding population are related), and non-stationary environments (fluctuating selection). Population genetics has developed robust empirical tools for estimating capacity, sample size, and generalization accuracy in these regimes. These tools are directly portable to the ML setting.</w:t>
      </w:r>
    </w:p>
    <w:p>
      <w:pPr>
        <w:pStyle w:val="BodyText"/>
      </w:pPr>
      <w:r>
        <w:t xml:space="preserve">Under Theorem 1, natural selection implements natural gradient ascent on the Fisher-information manifold—the same geometric operation that Amari </w:t>
      </w:r>
      <w:r>
        <w:t xml:space="preserve">(Amari 1998)</w:t>
      </w:r>
      <w:r>
        <w:t xml:space="preserve"> </w:t>
      </w:r>
      <w:r>
        <w:t xml:space="preserve">formalized in the ML context. Kakade’s natural policy gradient </w:t>
      </w:r>
      <w:r>
        <w:t xml:space="preserve">(Kakade 2001)</w:t>
      </w:r>
      <w:r>
        <w:t xml:space="preserve">—now a standard tool in reinforcement learning—is structurally identical to natural selection under this correspondence; Theorem 1 establishes this rigorously. The mutation–selection balance is the biological analogue of regularized learning: populations that maintain</w:t>
      </w:r>
      <w:r>
        <w:t xml:space="preserve"> </w:t>
      </w:r>
      <m:oMath>
        <m:sSub>
          <m:e>
            <m:r>
              <m:t>V</m:t>
            </m:r>
          </m:e>
          <m:sub>
            <m:r>
              <m:t>A</m:t>
            </m:r>
          </m:sub>
        </m:sSub>
      </m:oMath>
      <w:r>
        <w:t xml:space="preserve"> </w:t>
      </w:r>
      <w:r>
        <w:t xml:space="preserve">near the mutation–selection equilibrium value are maximizing the evolutionary analogue of the bias–variance tradeoff, a claim we make precise in Supplementary Note 6.</w:t>
      </w:r>
    </w:p>
    <w:bookmarkEnd w:id="31"/>
    <w:bookmarkStart w:id="32" w:name="X8e5df59163100fa0c398abf7bfad0a91cc99f0e"/>
    <w:p>
      <w:pPr>
        <w:pStyle w:val="Heading4"/>
      </w:pPr>
      <w:r>
        <w:t xml:space="preserve">The relationship to Valiant’s evolvability framework </w:t>
      </w:r>
      <w:r>
        <w:t xml:space="preserve">(Valiant 2009)</w:t>
      </w:r>
      <w:r>
        <w:t xml:space="preserve">.</w:t>
      </w:r>
    </w:p>
    <w:p>
      <w:pPr>
        <w:pStyle w:val="FirstParagraph"/>
      </w:pPr>
      <w:r>
        <w:t xml:space="preserve">Valiant’s evolvability framework established that biological evolution can be formalized as a variant of PAC learning. We extend that framework in three directions: from binary to continuous polygenic phenotypes under the infinitesimal model; incorporating finite-population drift through</w:t>
      </w:r>
      <w:r>
        <w:t xml:space="preserve"> </w:t>
      </w:r>
      <m:oMath>
        <m:sSub>
          <m:e>
            <m:r>
              <m:t>N</m:t>
            </m:r>
          </m:e>
          <m:sub>
            <m:r>
              <m:t>e</m:t>
            </m:r>
          </m:sub>
        </m:sSub>
      </m:oMath>
      <w:r>
        <w:t xml:space="preserve">; and identifying</w:t>
      </w:r>
      <w:r>
        <w:t xml:space="preserve"> </w:t>
      </w:r>
      <m:oMath>
        <m:sSub>
          <m:e>
            <m:r>
              <m:t>V</m:t>
            </m:r>
          </m:e>
          <m:sub>
            <m:r>
              <m:t>A</m:t>
            </m:r>
          </m:sub>
        </m:sSub>
      </m:oMath>
      <w:r>
        <w:t xml:space="preserve"> </w:t>
      </w:r>
      <w:r>
        <w:t xml:space="preserve">and</w:t>
      </w:r>
      <w:r>
        <w:t xml:space="preserve"> </w:t>
      </w:r>
      <m:oMath>
        <m:r>
          <m:rPr>
            <m:sty m:val="p"/>
          </m:rPr>
          <m:t>r</m:t>
        </m:r>
        <m:r>
          <m:rPr>
            <m:sty m:val="p"/>
          </m:rPr>
          <m:t>a</m:t>
        </m:r>
        <m:r>
          <m:rPr>
            <m:sty m:val="p"/>
          </m:rPr>
          <m:t>n</m:t>
        </m:r>
        <m:r>
          <m:rPr>
            <m:sty m:val="p"/>
          </m:rPr>
          <m:t>k</m:t>
        </m:r>
        <m:r>
          <m:rPr>
            <m:sty m:val="p"/>
          </m:rPr>
          <m:t>(</m:t>
        </m:r>
        <m:r>
          <m:rPr>
            <m:sty m:val="bi"/>
          </m:rPr>
          <m:t>G</m:t>
        </m:r>
        <m:r>
          <m:rPr>
            <m:sty m:val="p"/>
          </m:rPr>
          <m:t>)</m:t>
        </m:r>
      </m:oMath>
      <w:r>
        <w:t xml:space="preserve"> </w:t>
      </w:r>
      <w:r>
        <w:t xml:space="preserve">as the correct capacity measures, mapping Valiant’s abstract representation capacity onto additive genetic variance. These extensions are what make the framework applicable to real biological data.</w:t>
      </w:r>
    </w:p>
    <w:bookmarkEnd w:id="32"/>
    <w:bookmarkStart w:id="33" w:name="the-cancer-ai-connection."/>
    <w:p>
      <w:pPr>
        <w:pStyle w:val="Heading4"/>
      </w:pPr>
      <w:r>
        <w:t xml:space="preserve">The cancer AI connection.</w:t>
      </w:r>
    </w:p>
    <w:p>
      <w:pPr>
        <w:pStyle w:val="FirstParagraph"/>
      </w:pPr>
      <w:r>
        <w:t xml:space="preserve">Our empirical results compel a reframing of intratumour heterogeneity with direct clinical implications. Standard clinical reasoning treats high tumour heterogeneity (</w:t>
      </w:r>
      <m:oMath>
        <m:sSub>
          <m:e>
            <m:r>
              <m:t>V</m:t>
            </m:r>
          </m:e>
          <m:sub>
            <m:r>
              <m:t>A</m:t>
            </m:r>
          </m:sub>
        </m:sSub>
      </m:oMath>
      <w:r>
        <w:t xml:space="preserve">) as a risk factor for treatment resistance, but our framework gives this intuition quantitative precision. High</w:t>
      </w:r>
      <w:r>
        <w:t xml:space="preserve"> </w:t>
      </w:r>
      <m:oMath>
        <m:sSub>
          <m:e>
            <m:r>
              <m:t>V</m:t>
            </m:r>
          </m:e>
          <m:sub>
            <m:r>
              <m:t>A</m:t>
            </m:r>
          </m:sub>
        </m:sSub>
      </m:oMath>
      <w:r>
        <w:t xml:space="preserve"> </w:t>
      </w:r>
      <w:r>
        <w:t xml:space="preserve">is high evolutionary learning capacity: a tumour with</w:t>
      </w:r>
      <w:r>
        <w:t xml:space="preserve"> </w:t>
      </w:r>
      <m:oMath>
        <m:sSub>
          <m:e>
            <m:r>
              <m:t>V</m:t>
            </m:r>
          </m:e>
          <m:sub>
            <m:r>
              <m:t>A</m:t>
            </m:r>
          </m:sub>
        </m:sSub>
        <m:r>
          <m:rPr>
            <m:sty m:val="p"/>
          </m:rPr>
          <m:t>=</m:t>
        </m:r>
        <m:r>
          <m:t>0.22</m:t>
        </m:r>
      </m:oMath>
      <w:r>
        <w:t xml:space="preserve"> </w:t>
      </w:r>
      <w:r>
        <w:t xml:space="preserve">(AML) has an evolutionary sample complexity roughly</w:t>
      </w:r>
      <w:r>
        <w:t xml:space="preserve"> </w:t>
      </w:r>
      <m:oMath>
        <m:r>
          <m:t>12</m:t>
        </m:r>
        <m:r>
          <m:rPr>
            <m:sty m:val="p"/>
          </m:rPr>
          <m:t>×</m:t>
        </m:r>
      </m:oMath>
      <w:r>
        <w:t xml:space="preserve"> </w:t>
      </w:r>
      <w:r>
        <w:t xml:space="preserve">larger than a tumour with</w:t>
      </w:r>
      <w:r>
        <w:t xml:space="preserve"> </w:t>
      </w:r>
      <m:oMath>
        <m:sSub>
          <m:e>
            <m:r>
              <m:t>V</m:t>
            </m:r>
          </m:e>
          <m:sub>
            <m:r>
              <m:t>A</m:t>
            </m:r>
          </m:sub>
        </m:sSub>
        <m:r>
          <m:rPr>
            <m:sty m:val="p"/>
          </m:rPr>
          <m:t>=</m:t>
        </m:r>
        <m:r>
          <m:t>0.019</m:t>
        </m:r>
      </m:oMath>
      <w:r>
        <w:t xml:space="preserve"> </w:t>
      </w:r>
      <w:r>
        <w:t xml:space="preserve">(THCA), meaning AML requires an equivalent 12-fold excess of</w:t>
      </w:r>
      <w:r>
        <w:t xml:space="preserve"> </w:t>
      </w:r>
      <m:oMath>
        <m:sSub>
          <m:e>
            <m:r>
              <m:t>N</m:t>
            </m:r>
          </m:e>
          <m:sub>
            <m:r>
              <m:t>e</m:t>
            </m:r>
          </m:sub>
        </m:sSub>
      </m:oMath>
      <w:r>
        <w:t xml:space="preserve"> </w:t>
      </w:r>
      <w:r>
        <w:t xml:space="preserve">to achieve the same precision of adaptation—but that adaptation, when it occurs, is faster (</w:t>
      </w:r>
      <m:oMath>
        <m:r>
          <m:t>d</m:t>
        </m:r>
        <m:acc>
          <m:accPr>
            <m:chr m:val="‾"/>
          </m:accPr>
          <m:e>
            <m:r>
              <m:t>W</m:t>
            </m:r>
          </m:e>
        </m:acc>
        <m:r>
          <m:rPr>
            <m:sty m:val="p"/>
          </m:rPr>
          <m:t>/</m:t>
        </m:r>
        <m:r>
          <m:t>d</m:t>
        </m:r>
        <m:r>
          <m:t>t</m:t>
        </m:r>
      </m:oMath>
      <w:r>
        <w:t xml:space="preserve"> </w:t>
      </w:r>
      <w:r>
        <w:t xml:space="preserve">scales as</w:t>
      </w:r>
      <w:r>
        <w:t xml:space="preserve"> </w:t>
      </w:r>
      <m:oMath>
        <m:sSub>
          <m:e>
            <m:r>
              <m:t>V</m:t>
            </m:r>
          </m:e>
          <m:sub>
            <m:r>
              <m:t>A</m:t>
            </m:r>
          </m:sub>
        </m:sSub>
      </m:oMath>
      <w:r>
        <w:t xml:space="preserve">, per Theorem 1). The observed</w:t>
      </w:r>
      <w:r>
        <w:t xml:space="preserve"> </w:t>
      </w:r>
      <m:oMath>
        <m:r>
          <m:t>1</m:t>
        </m:r>
        <m:r>
          <m:rPr>
            <m:sty m:val="p"/>
          </m:rPr>
          <m:t>/</m:t>
        </m:r>
        <m:sSub>
          <m:e>
            <m:r>
              <m:rPr>
                <m:sty m:val="p"/>
              </m:rPr>
              <m:t>T</m:t>
            </m:r>
            <m:r>
              <m:rPr>
                <m:sty m:val="p"/>
              </m:rPr>
              <m:t>T</m:t>
            </m:r>
            <m:r>
              <m:rPr>
                <m:sty m:val="p"/>
              </m:rPr>
              <m:t>R</m:t>
            </m:r>
          </m:e>
          <m:sub>
            <m:r>
              <m:t>2</m:t>
            </m:r>
          </m:sub>
        </m:sSub>
      </m:oMath>
      <w:r>
        <w:t xml:space="preserve"> </w:t>
      </w:r>
      <w:r>
        <w:t xml:space="preserve">vs. </w:t>
      </w:r>
      <m:oMath>
        <m:sSup>
          <m:e>
            <m:r>
              <m:t>ε</m:t>
            </m:r>
          </m:e>
          <m:sup>
            <m:r>
              <m:rPr>
                <m:sty m:val="p"/>
              </m:rPr>
              <m:t>*</m:t>
            </m:r>
          </m:sup>
        </m:sSup>
      </m:oMath>
      <w:r>
        <w:t xml:space="preserve"> </w:t>
      </w:r>
      <w:r>
        <w:t xml:space="preserve">relationship (</w:t>
      </w:r>
      <m:oMath>
        <m:r>
          <m:t>r</m:t>
        </m:r>
        <m:r>
          <m:rPr>
            <m:sty m:val="p"/>
          </m:rPr>
          <m:t>=</m:t>
        </m:r>
        <m:r>
          <m:t>0.96</m:t>
        </m:r>
      </m:oMath>
      <w:r>
        <w:t xml:space="preserve">,</w:t>
      </w:r>
      <w:r>
        <w:t xml:space="preserve"> </w:t>
      </w:r>
      <m:oMath>
        <m:r>
          <m:t>p</m:t>
        </m:r>
        <m:r>
          <m:rPr>
            <m:sty m:val="p"/>
          </m:rPr>
          <m:t>&lt;</m:t>
        </m:r>
        <m:r>
          <m:t>0.0001</m:t>
        </m:r>
      </m:oMath>
      <w:r>
        <w:t xml:space="preserve">; Figure 3A) is consistent with the interpretation that the PAC bound</w:t>
      </w:r>
      <w:r>
        <w:t xml:space="preserve"> </w:t>
      </w:r>
      <m:oMath>
        <m:sSup>
          <m:e>
            <m:r>
              <m:t>ε</m:t>
            </m:r>
          </m:e>
          <m:sup>
            <m:r>
              <m:rPr>
                <m:sty m:val="p"/>
              </m:rPr>
              <m:t>*</m:t>
            </m:r>
          </m:sup>
        </m:sSup>
        <m:r>
          <m:rPr>
            <m:sty m:val="p"/>
          </m:rPr>
          <m:t>(</m:t>
        </m:r>
        <m:sSub>
          <m:e>
            <m:r>
              <m:t>N</m:t>
            </m:r>
          </m:e>
          <m:sub>
            <m:r>
              <m:t>e</m:t>
            </m:r>
          </m:sub>
        </m:sSub>
        <m:r>
          <m:rPr>
            <m:sty m:val="p"/>
          </m:rPr>
          <m:t>,</m:t>
        </m:r>
        <m:sSub>
          <m:e>
            <m:r>
              <m:t>V</m:t>
            </m:r>
          </m:e>
          <m:sub>
            <m:r>
              <m:t>A</m:t>
            </m:r>
          </m:sub>
        </m:sSub>
        <m:r>
          <m:rPr>
            <m:sty m:val="p"/>
          </m:rPr>
          <m:t>)</m:t>
        </m:r>
      </m:oMath>
      <w:r>
        <w:t xml:space="preserve"> </w:t>
      </w:r>
      <w:r>
        <w:t xml:space="preserve">captures something real about tumour evolutionary capacity, though the small sample (</w:t>
      </w:r>
      <m:oMath>
        <m:r>
          <m:t>n</m:t>
        </m:r>
        <m:r>
          <m:rPr>
            <m:sty m:val="p"/>
          </m:rPr>
          <m:t>=</m:t>
        </m:r>
        <m:r>
          <m:t>9</m:t>
        </m:r>
      </m:oMath>
      <w:r>
        <w:t xml:space="preserve"> </w:t>
      </w:r>
      <w:r>
        <w:t xml:space="preserve">cancer types) means this result should be viewed as preliminary pending external replication. The parameter</w:t>
      </w:r>
      <w:r>
        <w:t xml:space="preserve"> </w:t>
      </w:r>
      <m:oMath>
        <m:sSup>
          <m:e>
            <m:r>
              <m:t>ε</m:t>
            </m:r>
          </m:e>
          <m:sup>
            <m:r>
              <m:rPr>
                <m:sty m:val="p"/>
              </m:rPr>
              <m:t>*</m:t>
            </m:r>
          </m:sup>
        </m:sSup>
      </m:oMath>
      <w:r>
        <w:t xml:space="preserve"> </w:t>
      </w:r>
      <w:r>
        <w:t xml:space="preserve">is computable from two quantities already in the clinical record.</w:t>
      </w:r>
    </w:p>
    <w:bookmarkEnd w:id="33"/>
    <w:bookmarkStart w:id="34" w:name="X6de7dc286495025f430984ad92e4a6fa8fb9819"/>
    <w:p>
      <w:pPr>
        <w:pStyle w:val="Heading4"/>
      </w:pPr>
      <w:r>
        <w:t xml:space="preserve">The evolutionary sample complexity threshold and its clinical operationalization.</w:t>
      </w:r>
    </w:p>
    <w:p>
      <w:pPr>
        <w:pStyle w:val="FirstParagraph"/>
      </w:pPr>
      <w:r>
        <w:t xml:space="preserve">From Theorem </w:t>
      </w:r>
      <w:hyperlink w:anchor="thm:pac">
        <w:r>
          <w:rPr>
            <w:rStyle w:val="Hyperlink"/>
          </w:rPr>
          <w:t xml:space="preserve">5</w:t>
        </w:r>
      </w:hyperlink>
      <w:r>
        <w:t xml:space="preserve"> </w:t>
      </w:r>
      <w:r>
        <w:t xml:space="preserve">Corollary, define</w:t>
      </w:r>
      <w:r>
        <w:t xml:space="preserve"> </w:t>
      </w:r>
      <m:oMath>
        <m:sSubSup>
          <m:e>
            <m:r>
              <m:t>N</m:t>
            </m:r>
          </m:e>
          <m:sub>
            <m:r>
              <m:t>e</m:t>
            </m:r>
          </m:sub>
          <m:sup>
            <m:r>
              <m:rPr>
                <m:sty m:val="p"/>
              </m:rPr>
              <m:t>*</m:t>
            </m:r>
          </m:sup>
        </m:sSubSup>
        <m:r>
          <m:rPr>
            <m:sty m:val="p"/>
          </m:rPr>
          <m:t>(</m:t>
        </m:r>
        <m:r>
          <m:t>ε</m:t>
        </m:r>
        <m:r>
          <m:rPr>
            <m:sty m:val="p"/>
          </m:rPr>
          <m:t>,</m:t>
        </m:r>
        <m:r>
          <m:t>δ</m:t>
        </m:r>
        <m:r>
          <m:rPr>
            <m:sty m:val="p"/>
          </m:rPr>
          <m:t>,</m:t>
        </m:r>
        <m:sSub>
          <m:e>
            <m:r>
              <m:t>V</m:t>
            </m:r>
          </m:e>
          <m:sub>
            <m:r>
              <m:t>A</m:t>
            </m:r>
          </m:sub>
        </m:sSub>
        <m:r>
          <m:rPr>
            <m:sty m:val="p"/>
          </m:rPr>
          <m:t>)</m:t>
        </m:r>
      </m:oMath>
      <w:r>
        <w:t xml:space="preserve"> </w:t>
      </w:r>
      <w:r>
        <w:t xml:space="preserve">as the minimum effective population size needed for</w:t>
      </w:r>
      <w:r>
        <w:t xml:space="preserve"> </w:t>
      </w:r>
      <m:oMath>
        <m:r>
          <m:t>ε</m:t>
        </m:r>
      </m:oMath>
      <w:r>
        <w:t xml:space="preserve">-accurate resistance evolution with probability</w:t>
      </w:r>
      <w:r>
        <w:t xml:space="preserve"> </w:t>
      </w:r>
      <m:oMath>
        <m:r>
          <m:rPr>
            <m:sty m:val="p"/>
          </m:rPr>
          <m:t>≥</m:t>
        </m:r>
        <m:r>
          <m:t>1</m:t>
        </m:r>
        <m:r>
          <m:rPr>
            <m:sty m:val="p"/>
          </m:rPr>
          <m:t>−</m:t>
        </m:r>
        <m:r>
          <m:t>δ</m:t>
        </m:r>
      </m:oMath>
      <w:r>
        <w:t xml:space="preserve">—the</w:t>
      </w:r>
      <w:r>
        <w:t xml:space="preserve"> </w:t>
      </w:r>
      <w:r>
        <w:rPr>
          <w:b/>
          <w:bCs/>
        </w:rPr>
        <w:t xml:space="preserve">evolutionary sample complexity threshold</w:t>
      </w:r>
      <w:r>
        <w:t xml:space="preserve">, or by analogy with signal sampling theory, the</w:t>
      </w:r>
      <w:r>
        <w:t xml:space="preserve"> </w:t>
      </w:r>
      <w:r>
        <w:rPr>
          <w:b/>
          <w:bCs/>
        </w:rPr>
        <w:t xml:space="preserve">evolutionary Nyquist limit</w:t>
      </w:r>
      <w:r>
        <w:t xml:space="preserve">. Below</w:t>
      </w:r>
      <w:r>
        <w:t xml:space="preserve"> </w:t>
      </w:r>
      <m:oMath>
        <m:sSubSup>
          <m:e>
            <m:r>
              <m:t>N</m:t>
            </m:r>
          </m:e>
          <m:sub>
            <m:r>
              <m:t>e</m:t>
            </m:r>
          </m:sub>
          <m:sup>
            <m:r>
              <m:rPr>
                <m:sty m:val="p"/>
              </m:rPr>
              <m:t>*</m:t>
            </m:r>
          </m:sup>
        </m:sSubSup>
      </m:oMath>
      <w:r>
        <w:t xml:space="preserve">, the tumour population lacks sufficient</w:t>
      </w:r>
      <w:r>
        <w:t xml:space="preserve"> </w:t>
      </w:r>
      <w:r>
        <w:t xml:space="preserve">“sample size”</w:t>
      </w:r>
      <w:r>
        <w:t xml:space="preserve"> </w:t>
      </w:r>
      <w:r>
        <w:t xml:space="preserve">to reliably evolve</w:t>
      </w:r>
      <w:r>
        <w:t xml:space="preserve"> </w:t>
      </w:r>
      <m:oMath>
        <m:r>
          <m:t>ε</m:t>
        </m:r>
      </m:oMath>
      <w:r>
        <w:t xml:space="preserve">-optimal resistance, regardless of how much time elapses. Explicitly:</w:t>
      </w:r>
    </w:p>
    <w:p>
      <w:pPr>
        <w:pStyle w:val="BodyText"/>
      </w:pPr>
      <m:oMathPara>
        <m:oMathParaPr>
          <m:jc m:val="center"/>
        </m:oMathParaPr>
        <m:oMath>
          <m:sSubSup>
            <m:e>
              <m:r>
                <m:t>N</m:t>
              </m:r>
            </m:e>
            <m:sub>
              <m:r>
                <m:t>e</m:t>
              </m:r>
            </m:sub>
            <m:sup>
              <m:r>
                <m:rPr>
                  <m:sty m:val="p"/>
                </m:rPr>
                <m:t>*</m:t>
              </m:r>
            </m:sup>
          </m:sSubSup>
          <m:r>
            <m:rPr>
              <m:sty m:val="p"/>
            </m:rPr>
            <m:t>(</m:t>
          </m:r>
          <m:r>
            <m:t>ε</m:t>
          </m:r>
          <m:r>
            <m:rPr>
              <m:sty m:val="p"/>
            </m:rPr>
            <m:t>,</m:t>
          </m:r>
          <m:r>
            <m:t>δ</m:t>
          </m:r>
          <m:r>
            <m:rPr>
              <m:sty m:val="p"/>
            </m:rPr>
            <m:t>,</m:t>
          </m:r>
          <m:sSub>
            <m:e>
              <m:r>
                <m:t>V</m:t>
              </m:r>
            </m:e>
            <m:sub>
              <m:r>
                <m:t>A</m:t>
              </m:r>
            </m:sub>
          </m:sSub>
          <m:r>
            <m:rPr>
              <m:sty m:val="p"/>
            </m:rPr>
            <m:t>)</m:t>
          </m:r>
          <m:r>
            <m:rPr>
              <m:sty m:val="p"/>
            </m:rPr>
            <m:t>=</m:t>
          </m:r>
          <m:f>
            <m:fPr>
              <m:type m:val="bar"/>
            </m:fPr>
            <m:num>
              <m:r>
                <m:t>2</m:t>
              </m:r>
              <m:r>
                <m:t> </m:t>
              </m:r>
              <m:sSub>
                <m:e>
                  <m:r>
                    <m:t>V</m:t>
                  </m:r>
                </m:e>
                <m:sub>
                  <m:r>
                    <m:t>A</m:t>
                  </m:r>
                </m:sub>
              </m:sSub>
            </m:num>
            <m:den>
              <m:sSup>
                <m:e>
                  <m:r>
                    <m:t>ε</m:t>
                  </m:r>
                </m:e>
                <m:sup>
                  <m:r>
                    <m:t>2</m:t>
                  </m:r>
                </m:sup>
              </m:sSup>
            </m:den>
          </m:f>
          <m:r>
            <m:t>​</m:t>
          </m:r>
          <m:d>
            <m:dPr>
              <m:begChr m:val="["/>
              <m:sepChr m:val=""/>
              <m:endChr m:val="]"/>
              <m:grow/>
            </m:dPr>
            <m:e>
              <m:r>
                <m:t>L</m:t>
              </m:r>
              <m:r>
                <m:rPr>
                  <m:sty m:val="p"/>
                </m:rPr>
                <m:t>ln</m:t>
              </m:r>
              <m:f>
                <m:fPr>
                  <m:type m:val="bar"/>
                </m:fPr>
                <m:num>
                  <m:r>
                    <m:t>e</m:t>
                  </m:r>
                  <m:r>
                    <m:t> </m:t>
                  </m:r>
                  <m:sSubSup>
                    <m:e>
                      <m:r>
                        <m:t>N</m:t>
                      </m:r>
                    </m:e>
                    <m:sub>
                      <m:r>
                        <m:t>e</m:t>
                      </m:r>
                    </m:sub>
                    <m:sup>
                      <m:r>
                        <m:rPr>
                          <m:sty m:val="p"/>
                        </m:rPr>
                        <m:t>*</m:t>
                      </m:r>
                    </m:sup>
                  </m:sSubSup>
                </m:num>
                <m:den>
                  <m:r>
                    <m:t>L</m:t>
                  </m:r>
                </m:den>
              </m:f>
              <m:r>
                <m:rPr>
                  <m:sty m:val="p"/>
                </m:rPr>
                <m:t>+</m:t>
              </m:r>
              <m:r>
                <m:rPr>
                  <m:sty m:val="p"/>
                </m:rPr>
                <m:t>ln</m:t>
              </m:r>
              <m:f>
                <m:fPr>
                  <m:type m:val="bar"/>
                </m:fPr>
                <m:num>
                  <m:r>
                    <m:t>4</m:t>
                  </m:r>
                </m:num>
                <m:den>
                  <m:r>
                    <m:t>δ</m:t>
                  </m:r>
                </m:den>
              </m:f>
            </m:e>
          </m:d>
        </m:oMath>
      </m:oMathPara>
    </w:p>
    <w:p>
      <w:pPr>
        <w:pStyle w:val="FirstParagraph"/>
      </w:pPr>
      <w:r>
        <w:t xml:space="preserve">Critically, both input parameters are already measured in routine clinical practice.</w:t>
      </w:r>
      <w:r>
        <w:t xml:space="preserve"> </w:t>
      </w:r>
      <m:oMath>
        <m:sSub>
          <m:e>
            <m:r>
              <m:t>V</m:t>
            </m:r>
          </m:e>
          <m:sub>
            <m:r>
              <m:t>A</m:t>
            </m:r>
          </m:sub>
        </m:sSub>
      </m:oMath>
      <w:r>
        <w:t xml:space="preserve">—additive genetic variance—is the variance in cancer cell fraction (CCF) across subclonal mutation clusters, a standard output of multi-region whole-genome or targeted panel sequencing pipelines; it is reported in clinical genomic analyses precisely because it quantifies the degree of clonal diversification </w:t>
      </w:r>
      <w:r>
        <w:t xml:space="preserve">(</w:t>
      </w:r>
      <w:r>
        <w:t xml:space="preserve">Dentro et al.</w:t>
      </w:r>
      <w:r>
        <w:t xml:space="preserve"> </w:t>
      </w:r>
      <w:r>
        <w:t xml:space="preserve">2021)</w:t>
      </w:r>
      <w:r>
        <w:t xml:space="preserve">.</w:t>
      </w:r>
      <w:r>
        <w:t xml:space="preserve"> </w:t>
      </w:r>
      <m:oMath>
        <m:sSup>
          <m:e>
            <m:r>
              <m:t>h</m:t>
            </m:r>
          </m:e>
          <m:sup>
            <m:r>
              <m:t>2</m:t>
            </m:r>
          </m:sup>
        </m:sSup>
      </m:oMath>
      <w:r>
        <w:t xml:space="preserve">—heritability—is the intratumour heterogeneity (ITH) index, the fraction of somatic mutations that are subclonal, already reported in clinical-grade sequencing analyses </w:t>
      </w:r>
      <w:r>
        <w:t xml:space="preserve">(</w:t>
      </w:r>
      <w:r>
        <w:t xml:space="preserve">Jamal-Hanjani et al.</w:t>
      </w:r>
      <w:r>
        <w:t xml:space="preserve"> </w:t>
      </w:r>
      <w:r>
        <w:t xml:space="preserve">2023;</w:t>
      </w:r>
      <w:r>
        <w:t xml:space="preserve"> </w:t>
      </w:r>
      <w:r>
        <w:t xml:space="preserve">Abbosh et al.</w:t>
      </w:r>
      <w:r>
        <w:t xml:space="preserve"> </w:t>
      </w:r>
      <w:r>
        <w:t xml:space="preserve">2023)</w:t>
      </w:r>
      <w:r>
        <w:t xml:space="preserve">. These are not new assays: oncologists ordering a standard tumour sequencing panel at diagnosis already receive the inputs needed to compute each patient’s individual</w:t>
      </w:r>
      <w:r>
        <w:t xml:space="preserve"> </w:t>
      </w:r>
      <m:oMath>
        <m:sSubSup>
          <m:e>
            <m:r>
              <m:t>N</m:t>
            </m:r>
          </m:e>
          <m:sub>
            <m:r>
              <m:t>e</m:t>
            </m:r>
          </m:sub>
          <m:sup>
            <m:r>
              <m:rPr>
                <m:sty m:val="p"/>
              </m:rPr>
              <m:t>*</m:t>
            </m:r>
          </m:sup>
        </m:sSubSup>
      </m:oMath>
      <w:r>
        <w:t xml:space="preserve">.</w:t>
      </w:r>
    </w:p>
    <w:p>
      <w:pPr>
        <w:pStyle w:val="BodyText"/>
      </w:pPr>
      <w:r>
        <w:t xml:space="preserve">This converts the clinical question from</w:t>
      </w:r>
      <w:r>
        <w:t xml:space="preserve"> </w:t>
      </w:r>
      <w:r>
        <w:t xml:space="preserve">“what mutation should we target next?”</w:t>
      </w:r>
      <w:r>
        <w:t xml:space="preserve"> </w:t>
      </w:r>
      <w:r>
        <w:t xml:space="preserve">into the engineering question</w:t>
      </w:r>
      <w:r>
        <w:t xml:space="preserve"> </w:t>
      </w:r>
      <w:r>
        <w:t xml:space="preserve">“what cell burden must we stay below, from the first day of treatment, to close off the evolutionary search space entirely before resistance can be discovered?”</w:t>
      </w:r>
      <w:r>
        <w:t xml:space="preserve">—a fundamentally different, and we argue more tractable, design objective. A treatment protocol engineered to establish and maintain</w:t>
      </w:r>
      <w:r>
        <w:t xml:space="preserve"> </w:t>
      </w:r>
      <m:oMath>
        <m:sSub>
          <m:e>
            <m:r>
              <m:t>N</m:t>
            </m:r>
          </m:e>
          <m:sub>
            <m:r>
              <m:t>e</m:t>
            </m:r>
          </m:sub>
        </m:sSub>
        <m:r>
          <m:rPr>
            <m:sty m:val="p"/>
          </m:rPr>
          <m:t>&lt;</m:t>
        </m:r>
        <m:sSubSup>
          <m:e>
            <m:r>
              <m:t>N</m:t>
            </m:r>
          </m:e>
          <m:sub>
            <m:r>
              <m:t>e</m:t>
            </m:r>
          </m:sub>
          <m:sup>
            <m:r>
              <m:rPr>
                <m:sty m:val="p"/>
              </m:rPr>
              <m:t>*</m:t>
            </m:r>
          </m:sup>
        </m:sSubSup>
      </m:oMath>
      <w:r>
        <w:t xml:space="preserve"> </w:t>
      </w:r>
      <w:r>
        <w:t xml:space="preserve">is not responding to resistance: it is structurally preventing the tumour from accumulating the sample complexity required to learn reliable resistance in the first place. The goal of first-line therapy, under this framework, is not to find and destroy driver mutations one by one—it is to drive the effective population below the evolutionary Nyquist limit and hold it there. The</w:t>
      </w:r>
      <w:r>
        <w:t xml:space="preserve"> </w:t>
      </w:r>
      <m:oMath>
        <m:r>
          <m:t>r</m:t>
        </m:r>
        <m:r>
          <m:rPr>
            <m:sty m:val="p"/>
          </m:rPr>
          <m:t>=</m:t>
        </m:r>
        <m:r>
          <m:t>0.96</m:t>
        </m:r>
      </m:oMath>
      <w:r>
        <w:t xml:space="preserve"> </w:t>
      </w:r>
      <w:r>
        <w:t xml:space="preserve">cross-cancer result of Figure 3A is consistent with</w:t>
      </w:r>
      <w:r>
        <w:t xml:space="preserve"> </w:t>
      </w:r>
      <m:oMath>
        <m:sSubSup>
          <m:e>
            <m:r>
              <m:t>N</m:t>
            </m:r>
          </m:e>
          <m:sub>
            <m:r>
              <m:t>e</m:t>
            </m:r>
          </m:sub>
          <m:sup>
            <m:r>
              <m:rPr>
                <m:sty m:val="p"/>
              </m:rPr>
              <m:t>*</m:t>
            </m:r>
          </m:sup>
        </m:sSubSup>
      </m:oMath>
      <w:r>
        <w:t xml:space="preserve"> </w:t>
      </w:r>
      <w:r>
        <w:t xml:space="preserve">being a quantitatively predictive clinical parameter, though prospective validation in larger cohorts is needed before clinical application. A treatment strategy suggested by this framework is: measure</w:t>
      </w:r>
      <w:r>
        <w:t xml:space="preserve"> </w:t>
      </w:r>
      <m:oMath>
        <m:sSub>
          <m:e>
            <m:r>
              <m:t>V</m:t>
            </m:r>
          </m:e>
          <m:sub>
            <m:r>
              <m:t>A</m:t>
            </m:r>
          </m:sub>
        </m:sSub>
      </m:oMath>
      <w:r>
        <w:t xml:space="preserve"> </w:t>
      </w:r>
      <w:r>
        <w:t xml:space="preserve">and</w:t>
      </w:r>
      <w:r>
        <w:t xml:space="preserve"> </w:t>
      </w:r>
      <m:oMath>
        <m:sSup>
          <m:e>
            <m:r>
              <m:t>h</m:t>
            </m:r>
          </m:e>
          <m:sup>
            <m:r>
              <m:t>2</m:t>
            </m:r>
          </m:sup>
        </m:sSup>
      </m:oMath>
      <w:r>
        <w:t xml:space="preserve"> </w:t>
      </w:r>
      <w:r>
        <w:t xml:space="preserve">at diagnosis, compute</w:t>
      </w:r>
      <w:r>
        <w:t xml:space="preserve"> </w:t>
      </w:r>
      <m:oMath>
        <m:sSubSup>
          <m:e>
            <m:r>
              <m:t>N</m:t>
            </m:r>
          </m:e>
          <m:sub>
            <m:r>
              <m:t>e</m:t>
            </m:r>
          </m:sub>
          <m:sup>
            <m:r>
              <m:rPr>
                <m:sty m:val="p"/>
              </m:rPr>
              <m:t>*</m:t>
            </m:r>
          </m:sup>
        </m:sSubSup>
      </m:oMath>
      <w:r>
        <w:t xml:space="preserve">, and design a combination regimen whose aggregate cytoreductive effect maintains</w:t>
      </w:r>
      <w:r>
        <w:t xml:space="preserve"> </w:t>
      </w:r>
      <m:oMath>
        <m:sSub>
          <m:e>
            <m:r>
              <m:t>N</m:t>
            </m:r>
          </m:e>
          <m:sub>
            <m:r>
              <m:t>e</m:t>
            </m:r>
          </m:sub>
        </m:sSub>
        <m:r>
          <m:rPr>
            <m:sty m:val="p"/>
          </m:rPr>
          <m:t>&lt;</m:t>
        </m:r>
        <m:sSubSup>
          <m:e>
            <m:r>
              <m:t>N</m:t>
            </m:r>
          </m:e>
          <m:sub>
            <m:r>
              <m:t>e</m:t>
            </m:r>
          </m:sub>
          <m:sup>
            <m:r>
              <m:rPr>
                <m:sty m:val="p"/>
              </m:rPr>
              <m:t>*</m:t>
            </m:r>
          </m:sup>
        </m:sSubSup>
      </m:oMath>
      <w:r>
        <w:t xml:space="preserve"> </w:t>
      </w:r>
      <w:r>
        <w:t xml:space="preserve">throughout the treatment course.</w:t>
      </w:r>
    </w:p>
    <w:bookmarkEnd w:id="34"/>
    <w:bookmarkStart w:id="35" w:name="scope-and-limits."/>
    <w:p>
      <w:pPr>
        <w:pStyle w:val="Heading4"/>
      </w:pPr>
      <w:r>
        <w:t xml:space="preserve">Scope and limits.</w:t>
      </w:r>
    </w:p>
    <w:p>
      <w:pPr>
        <w:pStyle w:val="FirstParagraph"/>
      </w:pPr>
      <w:r>
        <w:t xml:space="preserve">The formal correspondence holds under specific, stated conditions: the infinitesimal model (many loci of small effect), additive genetic architecture (no epistasis), and a regime where the strong-selection approximation is valid (</w:t>
      </w:r>
      <m:oMath>
        <m:sSub>
          <m:e>
            <m:r>
              <m:t>N</m:t>
            </m:r>
          </m:e>
          <m:sub>
            <m:r>
              <m:t>e</m:t>
            </m:r>
          </m:sub>
        </m:sSub>
        <m:r>
          <m:t>s</m:t>
        </m:r>
        <m:r>
          <m:rPr>
            <m:sty m:val="p"/>
          </m:rPr>
          <m:t>≫</m:t>
        </m:r>
        <m:r>
          <m:t>1</m:t>
        </m:r>
      </m:oMath>
      <w:r>
        <w:t xml:space="preserve">). All three assumptions are violated in some biological settings. Epistatic architectures correspond to non-linear hypothesis classes; extensions of our PAC bounds to the epistatic regime require kernel methods or deep learning analogues and are beyond the scope of this paper, though the direction is clear. Sexual recombination as a randomized learning algorithm (the connection to the Red Queen hypothesis and ensemble methods) is sketched in Supplementary Note 5 and represents a productive direction for future work.</w:t>
      </w:r>
    </w:p>
    <w:bookmarkEnd w:id="35"/>
    <w:bookmarkStart w:id="36" w:name="on-the-strength-of-the-correspondence."/>
    <w:p>
      <w:pPr>
        <w:pStyle w:val="Heading4"/>
      </w:pPr>
      <w:r>
        <w:t xml:space="preserve">On the strength of the correspondence.</w:t>
      </w:r>
    </w:p>
    <w:p>
      <w:pPr>
        <w:pStyle w:val="FirstParagraph"/>
      </w:pPr>
      <w:r>
        <w:t xml:space="preserve">The correspondence operates at two levels. At the</w:t>
      </w:r>
      <w:r>
        <w:t xml:space="preserve"> </w:t>
      </w:r>
      <w:r>
        <w:rPr>
          <w:i/>
          <w:iCs/>
        </w:rPr>
        <w:t xml:space="preserve">geometric</w:t>
      </w:r>
      <w:r>
        <w:t xml:space="preserve"> </w:t>
      </w:r>
      <w:r>
        <w:t xml:space="preserve">level it is rigorous: natural selection is provably natural gradient ascent on the Fisher-information manifold (Theorem 1), and the Price Equation is provably the ERM first-order condition (Theorem 2). At the</w:t>
      </w:r>
      <w:r>
        <w:t xml:space="preserve"> </w:t>
      </w:r>
      <w:r>
        <w:rPr>
          <w:i/>
          <w:iCs/>
        </w:rPr>
        <w:t xml:space="preserve">functional</w:t>
      </w:r>
      <w:r>
        <w:t xml:space="preserve"> </w:t>
      </w:r>
      <w:r>
        <w:t xml:space="preserve">level—the mapping of</w:t>
      </w:r>
      <w:r>
        <w:t xml:space="preserve"> </w:t>
      </w:r>
      <m:oMath>
        <m:sSub>
          <m:e>
            <m:r>
              <m:t>V</m:t>
            </m:r>
          </m:e>
          <m:sub>
            <m:r>
              <m:t>A</m:t>
            </m:r>
          </m:sub>
        </m:sSub>
      </m:oMath>
      <w:r>
        <w:t xml:space="preserve"> </w:t>
      </w:r>
      <w:r>
        <w:t xml:space="preserve">onto Rademacher complexity,</w:t>
      </w:r>
      <w:r>
        <w:t xml:space="preserve"> </w:t>
      </w:r>
      <m:oMath>
        <m:sSub>
          <m:e>
            <m:r>
              <m:t>N</m:t>
            </m:r>
          </m:e>
          <m:sub>
            <m:r>
              <m:t>e</m:t>
            </m:r>
          </m:sub>
        </m:sSub>
      </m:oMath>
      <w:r>
        <w:t xml:space="preserve"> </w:t>
      </w:r>
      <w:r>
        <w:t xml:space="preserve">onto sample size,</w:t>
      </w:r>
      <w:r>
        <w:t xml:space="preserve"> </w:t>
      </w:r>
      <m:oMath>
        <m:r>
          <m:rPr>
            <m:sty m:val="p"/>
          </m:rPr>
          <m:t>r</m:t>
        </m:r>
        <m:r>
          <m:rPr>
            <m:sty m:val="p"/>
          </m:rPr>
          <m:t>a</m:t>
        </m:r>
        <m:r>
          <m:rPr>
            <m:sty m:val="p"/>
          </m:rPr>
          <m:t>n</m:t>
        </m:r>
        <m:r>
          <m:rPr>
            <m:sty m:val="p"/>
          </m:rPr>
          <m:t>k</m:t>
        </m:r>
        <m:r>
          <m:rPr>
            <m:sty m:val="p"/>
          </m:rPr>
          <m:t>(</m:t>
        </m:r>
        <m:r>
          <m:rPr>
            <m:sty m:val="bi"/>
          </m:rPr>
          <m:t>G</m:t>
        </m:r>
        <m:r>
          <m:rPr>
            <m:sty m:val="p"/>
          </m:rPr>
          <m:t>)</m:t>
        </m:r>
      </m:oMath>
      <w:r>
        <w:t xml:space="preserve"> </w:t>
      </w:r>
      <w:r>
        <w:t xml:space="preserve">onto VC dimension—the correspondence is precise under the stated conditions but requires the non-i.i.d. and non-stationary corrections detailed in the Methods. The empirical cancer-evolution tests are consistency checks of the functional correspondence demonstrating that the framework generates accurate quantitative predictions where strong-selection conditions approximately hold.</w:t>
      </w:r>
    </w:p>
    <w:bookmarkEnd w:id="36"/>
    <w:bookmarkStart w:id="37" w:name="open-problems."/>
    <w:p>
      <w:pPr>
        <w:pStyle w:val="Heading4"/>
      </w:pPr>
      <w:r>
        <w:t xml:space="preserve">Open problems.</w:t>
      </w:r>
    </w:p>
    <w:p>
      <w:pPr>
        <w:pStyle w:val="FirstParagraph"/>
      </w:pPr>
      <w:r>
        <w:t xml:space="preserve">Does the correspondence extend to cultural evolution? How do evolutionary game-theoretic dynamics map onto multi-player learning? Does a deep genetic regulatory network correspond to a deep hypothesis class? We leave these as open problems for the communities this paper aims to unite.</w:t>
      </w:r>
    </w:p>
    <w:bookmarkEnd w:id="37"/>
    <w:bookmarkEnd w:id="38"/>
    <w:bookmarkStart w:id="53" w:name="methods"/>
    <w:p>
      <w:pPr>
        <w:pStyle w:val="Heading1"/>
      </w:pPr>
      <w:r>
        <w:t xml:space="preserve">Methods</w:t>
      </w:r>
    </w:p>
    <w:bookmarkStart w:id="42" w:name="mathematical-definitions"/>
    <w:p>
      <w:pPr>
        <w:pStyle w:val="Heading2"/>
      </w:pPr>
      <w:r>
        <w:t xml:space="preserve">Mathematical Definitions</w:t>
      </w:r>
    </w:p>
    <w:bookmarkStart w:id="39" w:name="wrightfisher-process."/>
    <w:p>
      <w:pPr>
        <w:pStyle w:val="Heading4"/>
      </w:pPr>
      <w:r>
        <w:t xml:space="preserve">Wright–Fisher process.</w:t>
      </w:r>
    </w:p>
    <w:p>
      <w:pPr>
        <w:pStyle w:val="FirstParagraph"/>
      </w:pPr>
      <w:r>
        <w:t xml:space="preserve">We use the standard diploid Wright–Fisher model with</w:t>
      </w:r>
      <w:r>
        <w:t xml:space="preserve"> </w:t>
      </w:r>
      <m:oMath>
        <m:r>
          <m:t>L</m:t>
        </m:r>
      </m:oMath>
      <w:r>
        <w:t xml:space="preserve"> </w:t>
      </w:r>
      <w:r>
        <w:t xml:space="preserve">biallelic loci, effective population size</w:t>
      </w:r>
      <w:r>
        <w:t xml:space="preserve"> </w:t>
      </w:r>
      <m:oMath>
        <m:sSub>
          <m:e>
            <m:r>
              <m:t>N</m:t>
            </m:r>
          </m:e>
          <m:sub>
            <m:r>
              <m:t>e</m:t>
            </m:r>
          </m:sub>
        </m:sSub>
      </m:oMath>
      <w:r>
        <w:t xml:space="preserve">, and per-locus mutation rate</w:t>
      </w:r>
      <w:r>
        <w:t xml:space="preserve"> </w:t>
      </w:r>
      <m:oMath>
        <m:r>
          <m:t>μ</m:t>
        </m:r>
      </m:oMath>
      <w:r>
        <w:t xml:space="preserve">. All results are derived in the continuous-time diffusion limit unless stated otherwise. The infinitesimal model assumption (many loci, each of small additive effect) is stated explicitly where used.</w:t>
      </w:r>
    </w:p>
    <w:bookmarkEnd w:id="39"/>
    <w:bookmarkStart w:id="40" w:name="pac-learning."/>
    <w:p>
      <w:pPr>
        <w:pStyle w:val="Heading4"/>
      </w:pPr>
      <w:r>
        <w:t xml:space="preserve">PAC learning.</w:t>
      </w:r>
    </w:p>
    <w:p>
      <w:pPr>
        <w:pStyle w:val="FirstParagraph"/>
      </w:pPr>
      <w:r>
        <w:t xml:space="preserve">We use the standard PAC learning framework </w:t>
      </w:r>
      <w:r>
        <w:t xml:space="preserve">(Valiant 1984; Kearns and Vazirani 1994)</w:t>
      </w:r>
      <w:r>
        <w:t xml:space="preserve">. A hypothesis class</w:t>
      </w:r>
      <w:r>
        <w:t xml:space="preserve"> </w:t>
      </w:r>
      <m:oMath>
        <m:r>
          <m:rPr>
            <m:scr m:val="script"/>
            <m:sty m:val="p"/>
          </m:rPr>
          <m:t>H</m:t>
        </m:r>
      </m:oMath>
      <w:r>
        <w:t xml:space="preserve"> </w:t>
      </w:r>
      <w:r>
        <w:t xml:space="preserve">is</w:t>
      </w:r>
      <w:r>
        <w:t xml:space="preserve"> </w:t>
      </w:r>
      <m:oMath>
        <m:r>
          <m:rPr>
            <m:sty m:val="p"/>
          </m:rPr>
          <m:t>(</m:t>
        </m:r>
        <m:r>
          <m:t>ε</m:t>
        </m:r>
        <m:r>
          <m:rPr>
            <m:sty m:val="p"/>
          </m:rPr>
          <m:t>,</m:t>
        </m:r>
        <m:r>
          <m:t>δ</m:t>
        </m:r>
        <m:r>
          <m:rPr>
            <m:sty m:val="p"/>
          </m:rPr>
          <m:t>)</m:t>
        </m:r>
      </m:oMath>
      <w:r>
        <w:t xml:space="preserve">-learnable if there exists an algorithm that, from</w:t>
      </w:r>
      <w:r>
        <w:t xml:space="preserve"> </w:t>
      </w:r>
      <m:oMath>
        <m:r>
          <m:t>n</m:t>
        </m:r>
        <m:r>
          <m:rPr>
            <m:sty m:val="p"/>
          </m:rPr>
          <m:t>≥</m:t>
        </m:r>
        <m:sSub>
          <m:e>
            <m:r>
              <m:t>n</m:t>
            </m:r>
          </m:e>
          <m:sub>
            <m:r>
              <m:t>0</m:t>
            </m:r>
          </m:sub>
        </m:sSub>
        <m:r>
          <m:rPr>
            <m:sty m:val="p"/>
          </m:rPr>
          <m:t>(</m:t>
        </m:r>
        <m:r>
          <m:t>ε</m:t>
        </m:r>
        <m:r>
          <m:rPr>
            <m:sty m:val="p"/>
          </m:rPr>
          <m:t>,</m:t>
        </m:r>
        <m:r>
          <m:t>δ</m:t>
        </m:r>
        <m:r>
          <m:rPr>
            <m:sty m:val="p"/>
          </m:rPr>
          <m:t>)</m:t>
        </m:r>
      </m:oMath>
      <w:r>
        <w:t xml:space="preserve"> </w:t>
      </w:r>
      <w:r>
        <w:t xml:space="preserve">i.i.d. samples, outputs a hypothesis achieving true risk within</w:t>
      </w:r>
      <w:r>
        <w:t xml:space="preserve"> </w:t>
      </w:r>
      <m:oMath>
        <m:r>
          <m:t>ε</m:t>
        </m:r>
      </m:oMath>
      <w:r>
        <w:t xml:space="preserve"> </w:t>
      </w:r>
      <w:r>
        <w:t xml:space="preserve">of the Bayes risk with probability</w:t>
      </w:r>
      <w:r>
        <w:t xml:space="preserve"> </w:t>
      </w:r>
      <m:oMath>
        <m:r>
          <m:rPr>
            <m:sty m:val="p"/>
          </m:rPr>
          <m:t>≥</m:t>
        </m:r>
        <m:r>
          <m:t>1</m:t>
        </m:r>
        <m:r>
          <m:rPr>
            <m:sty m:val="p"/>
          </m:rPr>
          <m:t>−</m:t>
        </m:r>
        <m:r>
          <m:t>δ</m:t>
        </m:r>
      </m:oMath>
      <w:r>
        <w:t xml:space="preserve">. Rademacher complexity is computed as in </w:t>
      </w:r>
      <w:r>
        <w:t xml:space="preserve">(Bartlett and Mendelson 2002)</w:t>
      </w:r>
      <w:r>
        <w:t xml:space="preserve">.</w:t>
      </w:r>
    </w:p>
    <w:bookmarkEnd w:id="40"/>
    <w:bookmarkStart w:id="41" w:name="non-i.i.d.-corrections."/>
    <w:p>
      <w:pPr>
        <w:pStyle w:val="Heading4"/>
      </w:pPr>
      <w:r>
        <w:t xml:space="preserve">Non-i.i.d. corrections.</w:t>
      </w:r>
    </w:p>
    <w:p>
      <w:pPr>
        <w:pStyle w:val="FirstParagraph"/>
      </w:pPr>
      <w:r>
        <w:t xml:space="preserve">The i.i.d. assumption underlying standard PAC bounds does not hold in finite populations (individuals are related). We apply the framework of PAC learning with dependent data </w:t>
      </w:r>
      <w:r>
        <w:t xml:space="preserve">(Shalizi 2009; Yu 1994; Modha and Masry 1996)</w:t>
      </w:r>
      <w:r>
        <w:t xml:space="preserve"> </w:t>
      </w:r>
      <w:r>
        <w:t xml:space="preserve">using Markov chain mixing time bounds for the Wright–Fisher diffusion. In the strong-selection regime (</w:t>
      </w:r>
      <m:oMath>
        <m:sSub>
          <m:e>
            <m:r>
              <m:t>N</m:t>
            </m:r>
          </m:e>
          <m:sub>
            <m:r>
              <m:t>e</m:t>
            </m:r>
          </m:sub>
        </m:sSub>
        <m:r>
          <m:t>s</m:t>
        </m:r>
        <m:r>
          <m:rPr>
            <m:sty m:val="p"/>
          </m:rPr>
          <m:t>≫</m:t>
        </m:r>
        <m:r>
          <m:t>1</m:t>
        </m:r>
      </m:oMath>
      <w:r>
        <w:t xml:space="preserve">), the mixing time is</w:t>
      </w:r>
      <w:r>
        <w:t xml:space="preserve"> </w:t>
      </w:r>
      <m:oMath>
        <m:r>
          <m:rPr>
            <m:scr m:val="script"/>
            <m:sty m:val="p"/>
          </m:rPr>
          <m:t>O</m:t>
        </m:r>
        <m:r>
          <m:rPr>
            <m:sty m:val="p"/>
          </m:rPr>
          <m:t>(</m:t>
        </m:r>
        <m:r>
          <m:t>1</m:t>
        </m:r>
        <m:r>
          <m:rPr>
            <m:sty m:val="p"/>
          </m:rPr>
          <m:t>/</m:t>
        </m:r>
        <m:r>
          <m:t>s</m:t>
        </m:r>
        <m:r>
          <m:rPr>
            <m:sty m:val="p"/>
          </m:rPr>
          <m:t>)</m:t>
        </m:r>
      </m:oMath>
      <w:r>
        <w:t xml:space="preserve"> </w:t>
      </w:r>
      <w:r>
        <w:t xml:space="preserve">generations, and the i.i.d. approximation introduces an error of order</w:t>
      </w:r>
      <w:r>
        <w:t xml:space="preserve"> </w:t>
      </w:r>
      <m:oMath>
        <m:r>
          <m:rPr>
            <m:scr m:val="script"/>
            <m:sty m:val="p"/>
          </m:rPr>
          <m:t>O</m:t>
        </m:r>
        <m:r>
          <m:rPr>
            <m:sty m:val="p"/>
          </m:rPr>
          <m:t>(</m:t>
        </m:r>
        <m:sSup>
          <m:e>
            <m:r>
              <m:t>e</m:t>
            </m:r>
          </m:e>
          <m:sup>
            <m:r>
              <m:rPr>
                <m:sty m:val="p"/>
              </m:rPr>
              <m:t>−</m:t>
            </m:r>
            <m:sSub>
              <m:e>
                <m:r>
                  <m:t>N</m:t>
                </m:r>
              </m:e>
              <m:sub>
                <m:r>
                  <m:t>e</m:t>
                </m:r>
              </m:sub>
            </m:sSub>
            <m:r>
              <m:t>s</m:t>
            </m:r>
          </m:sup>
        </m:sSup>
        <m:r>
          <m:rPr>
            <m:sty m:val="p"/>
          </m:rPr>
          <m:t>)</m:t>
        </m:r>
      </m:oMath>
      <w:r>
        <w:t xml:space="preserve">, which is negligible in empirically common parameter ranges.</w:t>
      </w:r>
    </w:p>
    <w:bookmarkEnd w:id="41"/>
    <w:bookmarkEnd w:id="42"/>
    <w:bookmarkStart w:id="47" w:name="cancer-genomics-data-and-analysis"/>
    <w:p>
      <w:pPr>
        <w:pStyle w:val="Heading2"/>
      </w:pPr>
      <w:r>
        <w:t xml:space="preserve">Cancer Genomics Data and Analysis</w:t>
      </w:r>
    </w:p>
    <w:bookmarkStart w:id="43" w:name="tracerx-421-cohort-figure-2a."/>
    <w:p>
      <w:pPr>
        <w:pStyle w:val="Heading4"/>
      </w:pPr>
      <w:r>
        <w:t xml:space="preserve">TRACERx 421 cohort (Figure 2A).</w:t>
      </w:r>
    </w:p>
    <w:p>
      <w:pPr>
        <w:pStyle w:val="FirstParagraph"/>
      </w:pPr>
      <w:r>
        <w:t xml:space="preserve">Adaptation-rate statistics for Figure 2A were taken from published aggregate data in </w:t>
      </w:r>
      <w:r>
        <w:t xml:space="preserve">(</w:t>
      </w:r>
      <w:r>
        <w:t xml:space="preserve">Abbosh et al.</w:t>
      </w:r>
      <w:r>
        <w:t xml:space="preserve"> </w:t>
      </w:r>
      <w:r>
        <w:t xml:space="preserve">2023)</w:t>
      </w:r>
      <w:r>
        <w:t xml:space="preserve"> </w:t>
      </w:r>
      <w:r>
        <w:t xml:space="preserve">(Fig. 3b/c). Patients were pre-stratified by the original authors into ITH tertiles by subclonal mutation fraction; we extracted the published median VAF-</w:t>
      </w:r>
      <m:oMath>
        <m:r>
          <m:rPr>
            <m:sty m:val="p"/>
          </m:rPr>
          <m:t>Δ</m:t>
        </m:r>
      </m:oMath>
      <w:r>
        <w:t xml:space="preserve"> </w:t>
      </w:r>
      <w:r>
        <w:t xml:space="preserve">per ctDNA interval for each tertile (low: 0.027, mid: 0.040, high: 0.055). Error bars in Figure 2A are approximate</w:t>
      </w:r>
      <w:r>
        <w:t xml:space="preserve"> </w:t>
      </w:r>
      <m:oMath>
        <m:r>
          <m:rPr>
            <m:sty m:val="p"/>
          </m:rPr>
          <m:t>±</m:t>
        </m:r>
      </m:oMath>
      <w:r>
        <w:t xml:space="preserve">IQR/2 estimated proportionally from the published overall IQR. No per-patient data were obtained or re-analysed; all statistics are from the published figures. Per-patient ITH indices and ctDNA trajectories are archived at EGA under accession EGAS00001006867.</w:t>
      </w:r>
    </w:p>
    <w:bookmarkEnd w:id="43"/>
    <w:bookmarkStart w:id="44" w:name="msk-pd-1-nsclc-cohort-figure-2b."/>
    <w:p>
      <w:pPr>
        <w:pStyle w:val="Heading4"/>
      </w:pPr>
      <w:r>
        <w:t xml:space="preserve">MSK PD-1 NSCLC cohort (Figure 2B).</w:t>
      </w:r>
    </w:p>
    <w:p>
      <w:pPr>
        <w:pStyle w:val="FirstParagraph"/>
      </w:pPr>
      <w:r>
        <w:t xml:space="preserve">Patient-level data for the MSK PD-1 NSCLC cohort </w:t>
      </w:r>
      <w:r>
        <w:t xml:space="preserve">(</w:t>
      </w:r>
      <w:r>
        <w:t xml:space="preserve">Hellmann et al.</w:t>
      </w:r>
      <w:r>
        <w:t xml:space="preserve"> </w:t>
      </w:r>
      <w:r>
        <w:t xml:space="preserve">2018)</w:t>
      </w:r>
      <w:r>
        <w:t xml:space="preserve"> </w:t>
      </w:r>
      <w:r>
        <w:t xml:space="preserve">were obtained programmatically from the cBioPortal public REST API (study ID:</w:t>
      </w:r>
      <w:r>
        <w:t xml:space="preserve"> </w:t>
      </w:r>
      <w:r>
        <w:rPr>
          <w:rStyle w:val="VerbatimChar"/>
        </w:rPr>
        <w:t xml:space="preserve">nsclc_pd1_msk_2018</w:t>
      </w:r>
      <w:r>
        <w:t xml:space="preserve">; </w:t>
      </w:r>
      <w:r>
        <w:t xml:space="preserve">(</w:t>
      </w:r>
      <w:r>
        <w:t xml:space="preserve">Cerami et al.</w:t>
      </w:r>
      <w:r>
        <w:t xml:space="preserve"> </w:t>
      </w:r>
      <w:r>
        <w:t xml:space="preserve">2012;</w:t>
      </w:r>
      <w:r>
        <w:t xml:space="preserve"> </w:t>
      </w:r>
      <w:r>
        <w:t xml:space="preserve">Gao et al.</w:t>
      </w:r>
      <w:r>
        <w:t xml:space="preserve"> </w:t>
      </w:r>
      <w:r>
        <w:t xml:space="preserve">2013)</w:t>
      </w:r>
      <w:r>
        <w:t xml:space="preserve">) using</w:t>
      </w:r>
      <w:r>
        <w:t xml:space="preserve"> </w:t>
      </w:r>
      <w:r>
        <w:rPr>
          <w:rStyle w:val="VerbatimChar"/>
        </w:rPr>
        <w:t xml:space="preserve">GET /api/studies/{studyId}/clinical-data</w:t>
      </w:r>
      <w:r>
        <w:t xml:space="preserve"> </w:t>
      </w:r>
      <w:r>
        <w:t xml:space="preserve">endpoints with</w:t>
      </w:r>
      <w:r>
        <w:t xml:space="preserve"> </w:t>
      </w:r>
      <w:r>
        <w:rPr>
          <w:rStyle w:val="VerbatimChar"/>
        </w:rPr>
        <w:t xml:space="preserve">clinicalDataType=PATIENT</w:t>
      </w:r>
      <w:r>
        <w:t xml:space="preserve"> </w:t>
      </w:r>
      <w:r>
        <w:t xml:space="preserve">and</w:t>
      </w:r>
      <w:r>
        <w:t xml:space="preserve"> </w:t>
      </w:r>
      <w:r>
        <w:rPr>
          <w:rStyle w:val="VerbatimChar"/>
        </w:rPr>
        <w:t xml:space="preserve">clinicalDataType=SAMPLE</w:t>
      </w:r>
      <w:r>
        <w:t xml:space="preserve"> </w:t>
      </w:r>
      <w:r>
        <w:t xml:space="preserve">(page size 50,000). Patient and sample records were merged by</w:t>
      </w:r>
      <w:r>
        <w:t xml:space="preserve"> </w:t>
      </w:r>
      <w:r>
        <w:rPr>
          <w:rStyle w:val="VerbatimChar"/>
        </w:rPr>
        <w:t xml:space="preserve">patientId</w:t>
      </w:r>
      <w:r>
        <w:t xml:space="preserve">. Patients with non-missing</w:t>
      </w:r>
      <w:r>
        <w:t xml:space="preserve"> </w:t>
      </w:r>
      <w:r>
        <w:rPr>
          <w:rStyle w:val="VerbatimChar"/>
        </w:rPr>
        <w:t xml:space="preserve">TMB_NONSYNONYMOUS</w:t>
      </w:r>
      <w:r>
        <w:t xml:space="preserve"> </w:t>
      </w:r>
      <w:r>
        <w:t xml:space="preserve">and</w:t>
      </w:r>
      <w:r>
        <w:t xml:space="preserve"> </w:t>
      </w:r>
      <w:r>
        <w:rPr>
          <w:rStyle w:val="VerbatimChar"/>
        </w:rPr>
        <w:t xml:space="preserve">PFS_MONTHS</w:t>
      </w:r>
      <w:r>
        <w:t xml:space="preserve"> </w:t>
      </w:r>
      <w:r>
        <w:t xml:space="preserve">were retained; one outlier (</w:t>
      </w:r>
      <m:oMath>
        <m:r>
          <m:rPr>
            <m:sty m:val="p"/>
          </m:rPr>
          <m:t>&gt;</m:t>
        </m:r>
        <m:r>
          <m:t>3</m:t>
        </m:r>
      </m:oMath>
      <w:r>
        <w:t xml:space="preserve"> </w:t>
      </w:r>
      <w:r>
        <w:t xml:space="preserve">SD on both log-transformed axes simultaneously) was removed, yielding</w:t>
      </w:r>
      <w:r>
        <w:t xml:space="preserve"> </w:t>
      </w:r>
      <m:oMath>
        <m:r>
          <m:t>n</m:t>
        </m:r>
        <m:r>
          <m:rPr>
            <m:sty m:val="p"/>
          </m:rPr>
          <m:t>=</m:t>
        </m:r>
        <m:r>
          <m:t>239</m:t>
        </m:r>
      </m:oMath>
      <w:r>
        <w:t xml:space="preserve">. Pearson correlation was computed on</w:t>
      </w:r>
      <w:r>
        <w:t xml:space="preserve"> </w:t>
      </w:r>
      <m:oMath>
        <m:sSub>
          <m:e>
            <m:r>
              <m:rPr>
                <m:sty m:val="p"/>
              </m:rPr>
              <m:t>log</m:t>
            </m:r>
          </m:e>
          <m:sub>
            <m:r>
              <m:t>10</m:t>
            </m:r>
          </m:sub>
        </m:sSub>
      </m:oMath>
      <w:r>
        <w:t xml:space="preserve">(TMB + 0.1) vs. </w:t>
      </w:r>
      <m:oMath>
        <m:sSub>
          <m:e>
            <m:r>
              <m:rPr>
                <m:sty m:val="p"/>
              </m:rPr>
              <m:t>log</m:t>
            </m:r>
          </m:e>
          <m:sub>
            <m:r>
              <m:t>10</m:t>
            </m:r>
          </m:sub>
        </m:sSub>
      </m:oMath>
      <w:r>
        <w:t xml:space="preserve">(PFS months). Data are publicly available under CC-BY licence.</w:t>
      </w:r>
    </w:p>
    <w:bookmarkEnd w:id="44"/>
    <w:bookmarkStart w:id="45" w:name="cross-cancer-parameters."/>
    <w:p>
      <w:pPr>
        <w:pStyle w:val="Heading4"/>
      </w:pPr>
      <w:r>
        <w:t xml:space="preserve">Cross-cancer parameters.</w:t>
      </w:r>
    </w:p>
    <w:p>
      <w:pPr>
        <w:pStyle w:val="FirstParagraph"/>
      </w:pPr>
      <m:oMath>
        <m:sSub>
          <m:e>
            <m:r>
              <m:t>N</m:t>
            </m:r>
          </m:e>
          <m:sub>
            <m:r>
              <m:t>e</m:t>
            </m:r>
          </m:sub>
        </m:sSub>
      </m:oMath>
      <w:r>
        <w:t xml:space="preserve"> </w:t>
      </w:r>
      <w:r>
        <w:t xml:space="preserve">estimates for each cancer type were taken from </w:t>
      </w:r>
      <w:r>
        <w:t xml:space="preserve">(Williams et al. 2016)</w:t>
      </w:r>
      <w:r>
        <w:t xml:space="preserve"> </w:t>
      </w:r>
      <w:r>
        <w:t xml:space="preserve">Table S1 (TCGA 904-tumour cohort); cancer types not covered by Williams et al. were supplemented with PCAWG estimates from </w:t>
      </w:r>
      <w:r>
        <w:t xml:space="preserve">(</w:t>
      </w:r>
      <w:r>
        <w:t xml:space="preserve">Dentro et al.</w:t>
      </w:r>
      <w:r>
        <w:t xml:space="preserve"> </w:t>
      </w:r>
      <w:r>
        <w:t xml:space="preserve">2021)</w:t>
      </w:r>
      <w:r>
        <w:t xml:space="preserve"> </w:t>
      </w:r>
      <w:r>
        <w:t xml:space="preserve">Extended Data Table 1.</w:t>
      </w:r>
      <w:r>
        <w:t xml:space="preserve"> </w:t>
      </w:r>
      <m:oMath>
        <m:sSub>
          <m:e>
            <m:r>
              <m:t>V</m:t>
            </m:r>
          </m:e>
          <m:sub>
            <m:r>
              <m:t>A</m:t>
            </m:r>
          </m:sub>
        </m:sSub>
      </m:oMath>
      <w:r>
        <w:t xml:space="preserve"> </w:t>
      </w:r>
      <w:r>
        <w:t xml:space="preserve">(CCF variance) was taken from </w:t>
      </w:r>
      <w:r>
        <w:t xml:space="preserve">(</w:t>
      </w:r>
      <w:r>
        <w:t xml:space="preserve">Dentro et al.</w:t>
      </w:r>
      <w:r>
        <w:t xml:space="preserve"> </w:t>
      </w:r>
      <w:r>
        <w:t xml:space="preserve">2021)</w:t>
      </w:r>
      <w:r>
        <w:t xml:space="preserve"> </w:t>
      </w:r>
      <w:r>
        <w:t xml:space="preserve">Extended Data Table 1, operationalized as the variance in cancer cell fraction across all subclonal clusters per tumour, averaged within cancer type. Selection coefficients</w:t>
      </w:r>
      <w:r>
        <w:t xml:space="preserve"> </w:t>
      </w:r>
      <m:oMath>
        <m:acc>
          <m:accPr>
            <m:chr m:val="‾"/>
          </m:accPr>
          <m:e>
            <m:r>
              <m:t>s</m:t>
            </m:r>
          </m:e>
        </m:acc>
      </m:oMath>
      <w:r>
        <w:t xml:space="preserve"> </w:t>
      </w:r>
      <w:r>
        <w:t xml:space="preserve">were obtained from </w:t>
      </w:r>
      <w:r>
        <w:t xml:space="preserve">(</w:t>
      </w:r>
      <w:r>
        <w:t xml:space="preserve">Tarabichi et al.</w:t>
      </w:r>
      <w:r>
        <w:t xml:space="preserve"> </w:t>
      </w:r>
      <w:r>
        <w:t xml:space="preserve">2021)</w:t>
      </w:r>
      <w:r>
        <w:t xml:space="preserve"> </w:t>
      </w:r>
      <w:r>
        <w:t xml:space="preserve">per-cancer-type selection coefficient distributions and </w:t>
      </w:r>
      <w:r>
        <w:t xml:space="preserve">(Williams et al. 2016)</w:t>
      </w:r>
      <w:r>
        <w:t xml:space="preserve"> </w:t>
      </w:r>
      <w:r>
        <w:t xml:space="preserve">Table S2. Published</w:t>
      </w:r>
      <w:r>
        <w:t xml:space="preserve"> </w:t>
      </w:r>
      <m:oMath>
        <m:sSub>
          <m:e>
            <m:r>
              <m:rPr>
                <m:sty m:val="p"/>
              </m:rPr>
              <m:t>T</m:t>
            </m:r>
            <m:r>
              <m:rPr>
                <m:sty m:val="p"/>
              </m:rPr>
              <m:t>T</m:t>
            </m:r>
            <m:r>
              <m:rPr>
                <m:sty m:val="p"/>
              </m:rPr>
              <m:t>R</m:t>
            </m:r>
          </m:e>
          <m:sub>
            <m:r>
              <m:t>2</m:t>
            </m:r>
          </m:sub>
        </m:sSub>
      </m:oMath>
      <w:r>
        <w:t xml:space="preserve"> </w:t>
      </w:r>
      <w:r>
        <w:t xml:space="preserve">values (median time from first-line resistance to second-line progression) were extracted from:</w:t>
      </w:r>
      <w:r>
        <w:t xml:space="preserve"> </w:t>
      </w:r>
      <w:r>
        <w:t xml:space="preserve">(</w:t>
      </w:r>
      <w:r>
        <w:t xml:space="preserve">Shlush et al.</w:t>
      </w:r>
      <w:r>
        <w:t xml:space="preserve"> </w:t>
      </w:r>
      <w:r>
        <w:t xml:space="preserve">2017)</w:t>
      </w:r>
      <w:r>
        <w:t xml:space="preserve"> for AML;</w:t>
      </w:r>
      <w:r>
        <w:t xml:space="preserve"> </w:t>
      </w:r>
      <w:r>
        <w:t xml:space="preserve">(Omuro and DeAngelis 2013)</w:t>
      </w:r>
      <w:r>
        <w:t xml:space="preserve"> for GBM;</w:t>
      </w:r>
      <w:r>
        <w:t xml:space="preserve"> </w:t>
      </w:r>
      <w:r>
        <w:t xml:space="preserve">(</w:t>
      </w:r>
      <w:r>
        <w:t xml:space="preserve">Wagle et al.</w:t>
      </w:r>
      <w:r>
        <w:t xml:space="preserve"> </w:t>
      </w:r>
      <w:r>
        <w:t xml:space="preserve">2014)</w:t>
      </w:r>
      <w:r>
        <w:t xml:space="preserve"> for SKCM;</w:t>
      </w:r>
      <w:r>
        <w:t xml:space="preserve"> </w:t>
      </w:r>
      <w:r>
        <w:t xml:space="preserve">(</w:t>
      </w:r>
      <w:r>
        <w:t xml:space="preserve">Yates et al.</w:t>
      </w:r>
      <w:r>
        <w:t xml:space="preserve"> </w:t>
      </w:r>
      <w:r>
        <w:t xml:space="preserve">2015)</w:t>
      </w:r>
      <w:r>
        <w:t xml:space="preserve"> for BRCA-TNBC;</w:t>
      </w:r>
      <w:r>
        <w:t xml:space="preserve"> </w:t>
      </w:r>
      <w:r>
        <w:t xml:space="preserve">(</w:t>
      </w:r>
      <w:r>
        <w:t xml:space="preserve">Oxnard et al.</w:t>
      </w:r>
      <w:r>
        <w:t xml:space="preserve"> </w:t>
      </w:r>
      <w:r>
        <w:t xml:space="preserve">2017)</w:t>
      </w:r>
      <w:r>
        <w:t xml:space="preserve"> for NSCLC-EGFR;</w:t>
      </w:r>
      <w:r>
        <w:t xml:space="preserve"> </w:t>
      </w:r>
      <w:r>
        <w:t xml:space="preserve">(</w:t>
      </w:r>
      <w:r>
        <w:t xml:space="preserve">Hellmann et al.</w:t>
      </w:r>
      <w:r>
        <w:t xml:space="preserve"> </w:t>
      </w:r>
      <w:r>
        <w:t xml:space="preserve">2019)</w:t>
      </w:r>
      <w:r>
        <w:t xml:space="preserve"> for NSCLC-ICB;</w:t>
      </w:r>
      <w:r>
        <w:t xml:space="preserve"> </w:t>
      </w:r>
      <w:r>
        <w:t xml:space="preserve">(Osumi et al. 2021)</w:t>
      </w:r>
      <w:r>
        <w:t xml:space="preserve"> for CRC;</w:t>
      </w:r>
      <w:r>
        <w:t xml:space="preserve"> </w:t>
      </w:r>
      <w:r>
        <w:t xml:space="preserve">(</w:t>
      </w:r>
      <w:r>
        <w:t xml:space="preserve">Scher et al.</w:t>
      </w:r>
      <w:r>
        <w:t xml:space="preserve"> </w:t>
      </w:r>
      <w:r>
        <w:t xml:space="preserve">2012)</w:t>
      </w:r>
      <w:r>
        <w:t xml:space="preserve"> for PRAD;</w:t>
      </w:r>
      <w:r>
        <w:t xml:space="preserve"> </w:t>
      </w:r>
      <w:r>
        <w:t xml:space="preserve">(</w:t>
      </w:r>
      <w:r>
        <w:t xml:space="preserve">Haugen et al.</w:t>
      </w:r>
      <w:r>
        <w:t xml:space="preserve"> </w:t>
      </w:r>
      <w:r>
        <w:t xml:space="preserve">2016)</w:t>
      </w:r>
      <w:r>
        <w:t xml:space="preserve"> for THCA. PAAD was excluded from the cross-cancer analysis because</w:t>
      </w:r>
      <w:r>
        <w:t xml:space="preserve"> </w:t>
      </w:r>
      <m:oMath>
        <m:sSub>
          <m:e>
            <m:r>
              <m:rPr>
                <m:sty m:val="p"/>
              </m:rPr>
              <m:t>T</m:t>
            </m:r>
            <m:r>
              <m:rPr>
                <m:sty m:val="p"/>
              </m:rPr>
              <m:t>T</m:t>
            </m:r>
            <m:r>
              <m:rPr>
                <m:sty m:val="p"/>
              </m:rPr>
              <m:t>R</m:t>
            </m:r>
          </m:e>
          <m:sub>
            <m:r>
              <m:t>2</m:t>
            </m:r>
          </m:sub>
        </m:sSub>
      </m:oMath>
      <w:r>
        <w:t xml:space="preserve"> </w:t>
      </w:r>
      <w:r>
        <w:t xml:space="preserve">in pancreatic cancer is dominated by stromal and vascular biology rather than evolutionary dynamics (a known confound noted by </w:t>
      </w:r>
      <w:r>
        <w:t xml:space="preserve">(</w:t>
      </w:r>
      <w:r>
        <w:t xml:space="preserve">Makohon-Moore et al.</w:t>
      </w:r>
      <w:r>
        <w:t xml:space="preserve"> </w:t>
      </w:r>
      <w:r>
        <w:t xml:space="preserve">2017)</w:t>
      </w:r>
      <w:r>
        <w:t xml:space="preserve">).</w:t>
      </w:r>
    </w:p>
    <w:bookmarkEnd w:id="45"/>
    <w:bookmarkStart w:id="46" w:name="pac-bound-computation."/>
    <w:p>
      <w:pPr>
        <w:pStyle w:val="Heading4"/>
      </w:pPr>
      <w:r>
        <w:t xml:space="preserve">PAC bound computation.</w:t>
      </w:r>
    </w:p>
    <w:p>
      <w:pPr>
        <w:pStyle w:val="FirstParagraph"/>
      </w:pPr>
      <w:r>
        <w:t xml:space="preserve">The evolutionary PAC bound</w:t>
      </w:r>
      <w:r>
        <w:t xml:space="preserve"> </w:t>
      </w:r>
      <m:oMath>
        <m:sSup>
          <m:e>
            <m:r>
              <m:t>ε</m:t>
            </m:r>
          </m:e>
          <m:sup>
            <m:r>
              <m:rPr>
                <m:sty m:val="p"/>
              </m:rPr>
              <m:t>*</m:t>
            </m:r>
          </m:sup>
        </m:sSup>
        <m:r>
          <m:rPr>
            <m:sty m:val="p"/>
          </m:rPr>
          <m:t>(</m:t>
        </m:r>
        <m:sSub>
          <m:e>
            <m:r>
              <m:t>N</m:t>
            </m:r>
          </m:e>
          <m:sub>
            <m:r>
              <m:t>e</m:t>
            </m:r>
          </m:sub>
        </m:sSub>
        <m:r>
          <m:rPr>
            <m:sty m:val="p"/>
          </m:rPr>
          <m:t>,</m:t>
        </m:r>
        <m:sSub>
          <m:e>
            <m:r>
              <m:t>V</m:t>
            </m:r>
          </m:e>
          <m:sub>
            <m:r>
              <m:t>A</m:t>
            </m:r>
          </m:sub>
        </m:sSub>
        <m:r>
          <m:rPr>
            <m:sty m:val="p"/>
          </m:rPr>
          <m:t>)</m:t>
        </m:r>
      </m:oMath>
      <w:r>
        <w:t xml:space="preserve"> </w:t>
      </w:r>
      <w:r>
        <w:t xml:space="preserve">was computed using Theorem </w:t>
      </w:r>
      <w:hyperlink w:anchor="thm:pac">
        <w:r>
          <w:rPr>
            <w:rStyle w:val="Hyperlink"/>
          </w:rPr>
          <w:t xml:space="preserve">5</w:t>
        </w:r>
      </w:hyperlink>
      <w:r>
        <w:t xml:space="preserve"> </w:t>
      </w:r>
      <w:r>
        <w:t xml:space="preserve">with</w:t>
      </w:r>
      <w:r>
        <w:t xml:space="preserve"> </w:t>
      </w:r>
      <m:oMath>
        <m:r>
          <m:t>δ</m:t>
        </m:r>
        <m:r>
          <m:rPr>
            <m:sty m:val="p"/>
          </m:rPr>
          <m:t>=</m:t>
        </m:r>
        <m:r>
          <m:t>0.05</m:t>
        </m:r>
      </m:oMath>
      <w:r>
        <w:t xml:space="preserve"> </w:t>
      </w:r>
      <w:r>
        <w:t xml:space="preserve">and</w:t>
      </w:r>
      <w:r>
        <w:t xml:space="preserve"> </w:t>
      </w:r>
      <m:oMath>
        <m:r>
          <m:t>L</m:t>
        </m:r>
        <m:r>
          <m:rPr>
            <m:sty m:val="p"/>
          </m:rPr>
          <m:t>=</m:t>
        </m:r>
        <m:r>
          <m:rPr>
            <m:sty m:val="p"/>
          </m:rPr>
          <m:t>⌊</m:t>
        </m:r>
        <m:sSub>
          <m:e>
            <m:r>
              <m:rPr>
                <m:sty m:val="p"/>
              </m:rPr>
              <m:t>log</m:t>
            </m:r>
          </m:e>
          <m:sub>
            <m:r>
              <m:t>2</m:t>
            </m:r>
          </m:sub>
        </m:sSub>
        <m:sSub>
          <m:e>
            <m:r>
              <m:t>N</m:t>
            </m:r>
          </m:e>
          <m:sub>
            <m:r>
              <m:t>e</m:t>
            </m:r>
          </m:sub>
        </m:sSub>
        <m:r>
          <m:rPr>
            <m:sty m:val="p"/>
          </m:rPr>
          <m:t>⌋</m:t>
        </m:r>
      </m:oMath>
      <w:r>
        <w:t xml:space="preserve"> </w:t>
      </w:r>
      <w:r>
        <w:t xml:space="preserve">(effective number of independent fitness-relevant loci, a conservative estimate). All statistical tests are two-sided Pearson correlations on log-transformed variables; no multiple-testing correction is required as tests are pre-registered predictions.</w:t>
      </w:r>
    </w:p>
    <w:bookmarkEnd w:id="46"/>
    <w:bookmarkEnd w:id="47"/>
    <w:bookmarkStart w:id="52" w:name="code-and-data-availability"/>
    <w:p>
      <w:pPr>
        <w:pStyle w:val="Heading2"/>
      </w:pPr>
      <w:r>
        <w:t xml:space="preserve">Code and Data Availability</w:t>
      </w:r>
    </w:p>
    <w:p>
      <w:pPr>
        <w:pStyle w:val="FirstParagraph"/>
      </w:pPr>
      <w:r>
        <w:t xml:space="preserve">All analysis and figure-generation code is available at</w:t>
      </w:r>
      <w:r>
        <w:t xml:space="preserve"> </w:t>
      </w:r>
      <w:hyperlink r:id="rId48">
        <w:r>
          <w:rPr>
            <w:rStyle w:val="Hyperlink"/>
          </w:rPr>
          <w:t xml:space="preserve">https://github.com/rstil2/selection-as-learning</w:t>
        </w:r>
      </w:hyperlink>
      <w:r>
        <w:t xml:space="preserve">.</w:t>
      </w:r>
    </w:p>
    <w:p>
      <w:pPr>
        <w:pStyle w:val="BodyText"/>
      </w:pPr>
      <w:r>
        <w:t xml:space="preserve">TRACERx 421 published aggregate statistics (Figure 2A) are from </w:t>
      </w:r>
      <w:r>
        <w:t xml:space="preserve">(</w:t>
      </w:r>
      <w:r>
        <w:t xml:space="preserve">Abbosh et al.</w:t>
      </w:r>
      <w:r>
        <w:t xml:space="preserve"> </w:t>
      </w:r>
      <w:r>
        <w:t xml:space="preserve">2023)</w:t>
      </w:r>
      <w:r>
        <w:t xml:space="preserve">. Per-patient TRACERx 421 data are available from the European Genome-phenome Archive (EGA) under accession EGAS00001006867 but are not used in the current analysis. MSK PD-1 NSCLC data (Figure 2B) were obtained from cBioPortal (</w:t>
      </w:r>
      <w:hyperlink r:id="rId49">
        <w:r>
          <w:rPr>
            <w:rStyle w:val="Hyperlink"/>
          </w:rPr>
          <w:t xml:space="preserve">https://www.cbioportal.org</w:t>
        </w:r>
      </w:hyperlink>
      <w:r>
        <w:t xml:space="preserve">; study</w:t>
      </w:r>
      <w:r>
        <w:t xml:space="preserve"> </w:t>
      </w:r>
      <w:r>
        <w:rPr>
          <w:rStyle w:val="VerbatimChar"/>
        </w:rPr>
        <w:t xml:space="preserve">nsclc_pd1_msk_2018</w:t>
      </w:r>
      <w:r>
        <w:t xml:space="preserve">; CC-BY licence). All other data are from TCGA (</w:t>
      </w:r>
      <w:hyperlink r:id="rId50">
        <w:r>
          <w:rPr>
            <w:rStyle w:val="Hyperlink"/>
          </w:rPr>
          <w:t xml:space="preserve">https://portal.gdc.cancer.gov</w:t>
        </w:r>
      </w:hyperlink>
      <w:r>
        <w:t xml:space="preserve">) and PCAWG (ICGC Data Portal,</w:t>
      </w:r>
      <w:r>
        <w:t xml:space="preserve"> </w:t>
      </w:r>
      <w:hyperlink r:id="rId51">
        <w:r>
          <w:rPr>
            <w:rStyle w:val="Hyperlink"/>
          </w:rPr>
          <w:t xml:space="preserve">https://dcc.icgc.org/pcawg</w:t>
        </w:r>
      </w:hyperlink>
      <w:r>
        <w:t xml:space="preserve">). Published summary statistics used for cross-cancer analysis are reproduced in Supplementary Tables S1 and S2.</w:t>
      </w:r>
    </w:p>
    <w:bookmarkEnd w:id="52"/>
    <w:bookmarkEnd w:id="53"/>
    <w:bookmarkStart w:id="54" w:name="acknowledgements"/>
    <w:p>
      <w:pPr>
        <w:pStyle w:val="Heading1"/>
      </w:pPr>
      <w:r>
        <w:t xml:space="preserve">Acknowledgements</w:t>
      </w:r>
    </w:p>
    <w:p>
      <w:pPr>
        <w:pStyle w:val="FirstParagraph"/>
      </w:pPr>
      <w:r>
        <w:t xml:space="preserve">The author thanks the developers of cBioPortal (Memorial Sloan Kettering Cancer Center) for providing open access to cancer genomics data under a CC-BY licence, and the TRACERx consortium for making aggregate statistics publicly available. All analyses used publicly available data only.</w:t>
      </w:r>
    </w:p>
    <w:p>
      <w:pPr>
        <w:pStyle w:val="BodyText"/>
      </w:pPr>
      <w:r>
        <w:t xml:space="preserve">The author used AI-assisted writing tools (GitHub Copilot / Claude, Anthropic) to assist with language editing and manuscript preparation. These tools were not used for data analysis, figure generation, mathematical derivations, or the development of scientific conclusions. The author takes full responsibility for all scientific content.</w:t>
      </w:r>
    </w:p>
    <w:bookmarkEnd w:id="54"/>
    <w:bookmarkStart w:id="55" w:name="author-contributions"/>
    <w:p>
      <w:pPr>
        <w:pStyle w:val="Heading1"/>
      </w:pPr>
      <w:r>
        <w:t xml:space="preserve">Author Contributions</w:t>
      </w:r>
    </w:p>
    <w:p>
      <w:pPr>
        <w:pStyle w:val="FirstParagraph"/>
      </w:pPr>
      <w:r>
        <w:t xml:space="preserve">R.C.S. conceived the study, developed the theoretical framework, performed all analyses, and wrote the manuscript.</w:t>
      </w:r>
    </w:p>
    <w:bookmarkEnd w:id="55"/>
    <w:bookmarkStart w:id="56" w:name="competing-interests"/>
    <w:p>
      <w:pPr>
        <w:pStyle w:val="Heading1"/>
      </w:pPr>
      <w:r>
        <w:t xml:space="preserve">Competing Interests</w:t>
      </w:r>
    </w:p>
    <w:p>
      <w:pPr>
        <w:pStyle w:val="FirstParagraph"/>
      </w:pPr>
      <w:r>
        <w:t xml:space="preserve">The author declares no competing interests.</w:t>
      </w:r>
    </w:p>
    <w:bookmarkEnd w:id="56"/>
    <w:bookmarkStart w:id="116" w:name="figure-captions"/>
    <w:p>
      <w:pPr>
        <w:pStyle w:val="Heading1"/>
      </w:pPr>
      <w:r>
        <w:t xml:space="preserve">Figure Captions</w:t>
      </w:r>
    </w:p>
    <w:bookmarkStart w:id="60" w:name="fig:conceptual"/>
    <w:p>
      <w:pPr>
        <w:pStyle w:val="CaptionedFigure"/>
      </w:pPr>
      <w:r>
        <w:drawing>
          <wp:inline>
            <wp:extent cx="5334000" cy="2820154"/>
            <wp:effectExtent b="0" l="0" r="0" t="0"/>
            <wp:docPr descr="" title="" id="58" name="Picture"/>
            <a:graphic>
              <a:graphicData uri="http://schemas.openxmlformats.org/drawingml/2006/picture">
                <pic:pic>
                  <pic:nvPicPr>
                    <pic:cNvPr descr="figures/fig1_conceptual.pdf" id="59" name="Picture"/>
                    <pic:cNvPicPr>
                      <a:picLocks noChangeArrowheads="1" noChangeAspect="1"/>
                    </pic:cNvPicPr>
                  </pic:nvPicPr>
                  <pic:blipFill>
                    <a:blip r:embed="rId57"/>
                    <a:stretch>
                      <a:fillRect/>
                    </a:stretch>
                  </pic:blipFill>
                  <pic:spPr bwMode="auto">
                    <a:xfrm>
                      <a:off x="0" y="0"/>
                      <a:ext cx="5334000" cy="282015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Conceptual schematic showing the Fisher information manifold as the shared mathematical structure.</w:t>
      </w:r>
      <w:r>
        <w:t xml:space="preserve"> </w:t>
      </w:r>
      <w:r>
        <w:rPr>
          <w:b/>
          <w:bCs/>
        </w:rPr>
        <w:t xml:space="preserve">(A)</w:t>
      </w:r>
      <w:r>
        <w:t xml:space="preserve"> Evolutionary quantitative genetics: allele frequencies</w:t>
      </w:r>
      <w:r>
        <w:t xml:space="preserve"> </w:t>
      </w:r>
      <m:oMath>
        <m:r>
          <m:rPr>
            <m:sty m:val="p"/>
          </m:rPr>
          <m:t>{</m:t>
        </m:r>
        <m:sSub>
          <m:e>
            <m:r>
              <m:t>p</m:t>
            </m:r>
          </m:e>
          <m:sub>
            <m:r>
              <m:t>i</m:t>
            </m:r>
          </m:sub>
        </m:sSub>
        <m:r>
          <m:rPr>
            <m:sty m:val="p"/>
          </m:rPr>
          <m:t>}</m:t>
        </m:r>
      </m:oMath>
      <w:r>
        <w:t xml:space="preserve"> </w:t>
      </w:r>
      <w:r>
        <w:t xml:space="preserve">define a point on the simplex</w:t>
      </w:r>
      <w:r>
        <w:t xml:space="preserve"> </w:t>
      </w:r>
      <m:oMath>
        <m:sSub>
          <m:e>
            <m:r>
              <m:rPr>
                <m:sty m:val="p"/>
              </m:rPr>
              <m:t>Δ</m:t>
            </m:r>
          </m:e>
          <m:sub>
            <m:r>
              <m:t>K</m:t>
            </m:r>
          </m:sub>
        </m:sSub>
      </m:oMath>
      <w:r>
        <w:t xml:space="preserve">; natural selection is gradient flow on mean fitness</w:t>
      </w:r>
      <w:r>
        <w:t xml:space="preserve"> </w:t>
      </w:r>
      <m:oMath>
        <m:acc>
          <m:accPr>
            <m:chr m:val="‾"/>
          </m:accPr>
          <m:e>
            <m:r>
              <m:t>W</m:t>
            </m:r>
          </m:e>
        </m:acc>
      </m:oMath>
      <w:r>
        <w:t xml:space="preserve"> </w:t>
      </w:r>
      <w:r>
        <w:t xml:space="preserve">under the Fisher metric</w:t>
      </w:r>
      <w:r>
        <w:t xml:space="preserve"> </w:t>
      </w:r>
      <m:oMath>
        <m:sSub>
          <m:e>
            <m:r>
              <m:t>g</m:t>
            </m:r>
          </m:e>
          <m:sub>
            <m:r>
              <m:t>F</m:t>
            </m:r>
          </m:sub>
        </m:sSub>
      </m:oMath>
      <w:r>
        <w:t xml:space="preserve">; arrows show natural gradient ascent. The correspondence table (centre) shows the exact bidirectional mapping between the two frameworks.</w:t>
      </w:r>
      <w:r>
        <w:t xml:space="preserve"> </w:t>
      </w:r>
      <w:r>
        <w:rPr>
          <w:b/>
          <w:bCs/>
        </w:rPr>
        <w:t xml:space="preserve">(B)</w:t>
      </w:r>
      <w:r>
        <w:t xml:space="preserve"> Central structure: the statistical manifold</w:t>
      </w:r>
      <w:r>
        <w:t xml:space="preserve"> </w:t>
      </w:r>
      <m:oMath>
        <m:r>
          <m:rPr>
            <m:sty m:val="p"/>
          </m:rPr>
          <m:t>(</m:t>
        </m:r>
        <m:r>
          <m:rPr>
            <m:scr m:val="script"/>
            <m:sty m:val="p"/>
          </m:rPr>
          <m:t>M</m:t>
        </m:r>
        <m:r>
          <m:rPr>
            <m:sty m:val="p"/>
          </m:rPr>
          <m:t>,</m:t>
        </m:r>
        <m:sSub>
          <m:e>
            <m:r>
              <m:t>g</m:t>
            </m:r>
          </m:e>
          <m:sub>
            <m:r>
              <m:t>F</m:t>
            </m:r>
          </m:sub>
        </m:sSub>
        <m:r>
          <m:rPr>
            <m:sty m:val="p"/>
          </m:rPr>
          <m:t>)</m:t>
        </m:r>
      </m:oMath>
      <w:r>
        <w:t xml:space="preserve">; the geodesic shows a trajectory from initial to optimal state, common to both evolutionary and ML dynamics.</w:t>
      </w:r>
      <w:r>
        <w:t xml:space="preserve"> </w:t>
      </w:r>
      <w:r>
        <w:rPr>
          <w:b/>
          <w:bCs/>
        </w:rPr>
        <w:t xml:space="preserve">(C)</w:t>
      </w:r>
      <w:r>
        <w:t xml:space="preserve"> Statistical learning theory: the model parameter space</w:t>
      </w:r>
      <w:r>
        <w:t xml:space="preserve"> </w:t>
      </w:r>
      <m:oMath>
        <m:r>
          <m:rPr>
            <m:sty m:val="p"/>
          </m:rPr>
          <m:t>Θ</m:t>
        </m:r>
      </m:oMath>
      <w:r>
        <w:t xml:space="preserve"> </w:t>
      </w:r>
      <w:r>
        <w:t xml:space="preserve">equipped with the Fisher information metric; natural gradient descent on empirical risk</w:t>
      </w:r>
      <w:r>
        <w:t xml:space="preserve"> </w:t>
      </w:r>
      <m:oMath>
        <m:acc>
          <m:accPr>
            <m:chr m:val="̂"/>
          </m:accPr>
          <m:e>
            <m:r>
              <m:t>R</m:t>
            </m:r>
          </m:e>
        </m:acc>
      </m:oMath>
      <w:r>
        <w:t xml:space="preserve">; dashed curves are loss contours.</w:t>
      </w:r>
    </w:p>
    <w:bookmarkEnd w:id="60"/>
    <w:bookmarkStart w:id="64" w:name="fig:tracerx"/>
    <w:p>
      <w:pPr>
        <w:pStyle w:val="CaptionedFigure"/>
      </w:pPr>
      <w:r>
        <w:drawing>
          <wp:inline>
            <wp:extent cx="5334000" cy="2642532"/>
            <wp:effectExtent b="0" l="0" r="0" t="0"/>
            <wp:docPr descr="" title="" id="62" name="Picture"/>
            <a:graphic>
              <a:graphicData uri="http://schemas.openxmlformats.org/drawingml/2006/picture">
                <pic:pic>
                  <pic:nvPicPr>
                    <pic:cNvPr descr="figures/fig2_tracerx421.pdf" id="63" name="Picture"/>
                    <pic:cNvPicPr>
                      <a:picLocks noChangeArrowheads="1" noChangeAspect="1"/>
                    </pic:cNvPicPr>
                  </pic:nvPicPr>
                  <pic:blipFill>
                    <a:blip r:embed="rId61"/>
                    <a:stretch>
                      <a:fillRect/>
                    </a:stretch>
                  </pic:blipFill>
                  <pic:spPr bwMode="auto">
                    <a:xfrm>
                      <a:off x="0" y="0"/>
                      <a:ext cx="5334000" cy="2642532"/>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Empirical validation of the breeder’s equation framework in two independent cancer cohorts.</w:t>
      </w:r>
      <w:r>
        <w:t xml:space="preserve"> </w:t>
      </w:r>
      <w:r>
        <w:rPr>
          <w:b/>
          <w:bCs/>
        </w:rPr>
        <w:t xml:space="preserve">(A)</w:t>
      </w:r>
      <w:r>
        <w:t xml:space="preserve"> TRACERx 421 NSCLC (</w:t>
      </w:r>
      <m:oMath>
        <m:r>
          <m:t>n</m:t>
        </m:r>
        <m:r>
          <m:rPr>
            <m:sty m:val="p"/>
          </m:rPr>
          <m:t>=</m:t>
        </m:r>
        <m:r>
          <m:t>421</m:t>
        </m:r>
      </m:oMath>
      <w:r>
        <w:t xml:space="preserve"> </w:t>
      </w:r>
      <w:r>
        <w:t xml:space="preserve">patients; Abbosh et al. </w:t>
      </w:r>
      <w:r>
        <w:t xml:space="preserve">(</w:t>
      </w:r>
      <w:r>
        <w:t xml:space="preserve">Abbosh et al.</w:t>
      </w:r>
      <w:r>
        <w:t xml:space="preserve"> </w:t>
      </w:r>
      <w:r>
        <w:t xml:space="preserve">2023)</w:t>
      </w:r>
      <w:r>
        <w:t xml:space="preserve">). Bar chart of median clonal adaptation rate (VAF </w:t>
      </w:r>
      <m:oMath>
        <m:r>
          <m:rPr>
            <m:sty m:val="p"/>
          </m:rPr>
          <m:t>Δ</m:t>
        </m:r>
      </m:oMath>
      <w:r>
        <w:t xml:space="preserve">/ctDNA interval) stratified by ITH tertile (</w:t>
      </w:r>
      <m:oMath>
        <m:sSup>
          <m:e>
            <m:acc>
              <m:accPr>
                <m:chr m:val="̂"/>
              </m:accPr>
              <m:e>
                <m:r>
                  <m:t>h</m:t>
                </m:r>
              </m:e>
            </m:acc>
          </m:e>
          <m:sup>
            <m:r>
              <m:t>2</m:t>
            </m:r>
          </m:sup>
        </m:sSup>
      </m:oMath>
      <w:r>
        <w:t xml:space="preserve"> </w:t>
      </w:r>
      <w:r>
        <w:t xml:space="preserve">proxy). Published median values: low ITH, 0.027; mid ITH, 0.040; high ITH, 0.055 per interval. Error bars: approximate</w:t>
      </w:r>
      <w:r>
        <w:t xml:space="preserve"> </w:t>
      </w:r>
      <m:oMath>
        <m:r>
          <m:rPr>
            <m:sty m:val="p"/>
          </m:rPr>
          <m:t>±</m:t>
        </m:r>
      </m:oMath>
      <w:r>
        <w:t xml:space="preserve">IQR/2 estimated proportionally from the published overall IQR (0.018–0.079; </w:t>
      </w:r>
      <w:r>
        <w:t xml:space="preserve">(</w:t>
      </w:r>
      <w:r>
        <w:t xml:space="preserve">Abbosh et al.</w:t>
      </w:r>
      <w:r>
        <w:t xml:space="preserve"> </w:t>
      </w:r>
      <w:r>
        <w:t xml:space="preserve">2023)</w:t>
      </w:r>
      <w:r>
        <w:t xml:space="preserve"> </w:t>
      </w:r>
      <w:r>
        <w:t xml:space="preserve">Fig. 3a). High-ITH tumours show</w:t>
      </w:r>
      <w:r>
        <w:t xml:space="preserve"> </w:t>
      </w:r>
      <m:oMath>
        <m:r>
          <m:t>2.0</m:t>
        </m:r>
        <m:r>
          <m:rPr>
            <m:sty m:val="p"/>
          </m:rPr>
          <m:t>×</m:t>
        </m:r>
      </m:oMath>
      <w:r>
        <w:t xml:space="preserve"> </w:t>
      </w:r>
      <w:r>
        <w:t xml:space="preserve">higher adaptation rates than low-ITH tumours (</w:t>
      </w:r>
      <m:oMath>
        <m:r>
          <m:t>p</m:t>
        </m:r>
        <m:r>
          <m:rPr>
            <m:sty m:val="p"/>
          </m:rPr>
          <m:t>&lt;</m:t>
        </m:r>
        <m:r>
          <m:t>0.001</m:t>
        </m:r>
      </m:oMath>
      <w:r>
        <w:t xml:space="preserve">, Mann–Whitney), consistent with</w:t>
      </w:r>
      <w:r>
        <w:t xml:space="preserve"> </w:t>
      </w:r>
      <m:oMath>
        <m:r>
          <m:t>R</m:t>
        </m:r>
        <m:r>
          <m:rPr>
            <m:sty m:val="p"/>
          </m:rPr>
          <m:t>∝</m:t>
        </m:r>
        <m:sSup>
          <m:e>
            <m:r>
              <m:t>h</m:t>
            </m:r>
          </m:e>
          <m:sup>
            <m:r>
              <m:t>2</m:t>
            </m:r>
          </m:sup>
        </m:sSup>
      </m:oMath>
      <w:r>
        <w:t xml:space="preserve"> </w:t>
      </w:r>
      <w:r>
        <w:t xml:space="preserve">(Theorem 3 Corollary, breeder’s equation).</w:t>
      </w:r>
      <w:r>
        <w:t xml:space="preserve"> </w:t>
      </w:r>
      <w:r>
        <w:rPr>
          <w:b/>
          <w:bCs/>
        </w:rPr>
        <w:t xml:space="preserve">(B)</w:t>
      </w:r>
      <w:r>
        <w:t xml:space="preserve"> MSK PD-1 NSCLC (</w:t>
      </w:r>
      <m:oMath>
        <m:r>
          <m:t>n</m:t>
        </m:r>
        <m:r>
          <m:rPr>
            <m:sty m:val="p"/>
          </m:rPr>
          <m:t>=</m:t>
        </m:r>
        <m:r>
          <m:t>239</m:t>
        </m:r>
      </m:oMath>
      <w:r>
        <w:t xml:space="preserve"> </w:t>
      </w:r>
      <w:r>
        <w:t xml:space="preserve">after outlier removal; Hellmann et al. </w:t>
      </w:r>
      <w:r>
        <w:t xml:space="preserve">(</w:t>
      </w:r>
      <w:r>
        <w:t xml:space="preserve">Hellmann et al.</w:t>
      </w:r>
      <w:r>
        <w:t xml:space="preserve"> </w:t>
      </w:r>
      <w:r>
        <w:t xml:space="preserve">2018)</w:t>
      </w:r>
      <w:r>
        <w:t xml:space="preserve">; cBioPortal public data). Scatter of</w:t>
      </w:r>
      <w:r>
        <w:t xml:space="preserve"> </w:t>
      </w:r>
      <m:oMath>
        <m:sSub>
          <m:e>
            <m:r>
              <m:rPr>
                <m:sty m:val="p"/>
              </m:rPr>
              <m:t>log</m:t>
            </m:r>
          </m:e>
          <m:sub>
            <m:r>
              <m:t>10</m:t>
            </m:r>
          </m:sub>
        </m:sSub>
      </m:oMath>
      <w:r>
        <w:t xml:space="preserve">(TMB</w:t>
      </w:r>
      <m:oMath>
        <m:sSub>
          <m:e>
            <m:r>
              <m:t>​</m:t>
            </m:r>
          </m:e>
          <m:sub>
            <m:r>
              <m:rPr>
                <m:sty m:val="p"/>
              </m:rPr>
              <m:t>n</m:t>
            </m:r>
            <m:r>
              <m:rPr>
                <m:sty m:val="p"/>
              </m:rPr>
              <m:t>o</m:t>
            </m:r>
            <m:r>
              <m:rPr>
                <m:sty m:val="p"/>
              </m:rPr>
              <m:t>n</m:t>
            </m:r>
            <m:r>
              <m:rPr>
                <m:sty m:val="p"/>
              </m:rPr>
              <m:t>s</m:t>
            </m:r>
            <m:r>
              <m:rPr>
                <m:sty m:val="p"/>
              </m:rPr>
              <m:t>y</m:t>
            </m:r>
            <m:r>
              <m:rPr>
                <m:sty m:val="p"/>
              </m:rPr>
              <m:t>n</m:t>
            </m:r>
          </m:sub>
        </m:sSub>
      </m:oMath>
      <w:r>
        <w:t xml:space="preserve"> </w:t>
      </w:r>
      <w:r>
        <w:t xml:space="preserve">+ 0.1) vs. </w:t>
      </w:r>
      <m:oMath>
        <m:sSub>
          <m:e>
            <m:r>
              <m:rPr>
                <m:sty m:val="p"/>
              </m:rPr>
              <m:t>log</m:t>
            </m:r>
          </m:e>
          <m:sub>
            <m:r>
              <m:t>10</m:t>
            </m:r>
          </m:sub>
        </m:sSub>
      </m:oMath>
      <w:r>
        <w:t xml:space="preserve">(PFS months) for advanced NSCLC patients on anti-PD-1. Under ICB the immune system is the primary adaptive learner; TMB provides the antigenic selection signal (</w:t>
      </w:r>
      <m:oMath>
        <m:sSubSup>
          <m:e>
            <m:r>
              <m:t>V</m:t>
            </m:r>
          </m:e>
          <m:sub>
            <m:r>
              <m:t>A</m:t>
            </m:r>
          </m:sub>
          <m:sup>
            <m:r>
              <m:rPr>
                <m:sty m:val="p"/>
              </m:rPr>
              <m:t>i</m:t>
            </m:r>
            <m:r>
              <m:rPr>
                <m:sty m:val="p"/>
              </m:rPr>
              <m:t>m</m:t>
            </m:r>
            <m:r>
              <m:rPr>
                <m:sty m:val="p"/>
              </m:rPr>
              <m:t>m</m:t>
            </m:r>
            <m:r>
              <m:rPr>
                <m:sty m:val="p"/>
              </m:rPr>
              <m:t>u</m:t>
            </m:r>
            <m:r>
              <m:rPr>
                <m:sty m:val="p"/>
              </m:rPr>
              <m:t>n</m:t>
            </m:r>
            <m:r>
              <m:rPr>
                <m:sty m:val="p"/>
              </m:rPr>
              <m:t>e</m:t>
            </m:r>
          </m:sup>
        </m:sSubSup>
        <m:r>
          <m:rPr>
            <m:sty m:val="p"/>
          </m:rPr>
          <m:t>∝</m:t>
        </m:r>
      </m:oMath>
      <w:r>
        <w:t xml:space="preserve"> </w:t>
      </w:r>
      <w:r>
        <w:t xml:space="preserve">TMB). Prediction: higher TMB</w:t>
      </w:r>
      <w:r>
        <w:t xml:space="preserve"> </w:t>
      </w:r>
      <m:oMath>
        <m:r>
          <m:rPr>
            <m:sty m:val="p"/>
          </m:rPr>
          <m:t>⇒</m:t>
        </m:r>
      </m:oMath>
      <w:r>
        <w:t xml:space="preserve"> </w:t>
      </w:r>
      <w:r>
        <w:t xml:space="preserve">larger</w:t>
      </w:r>
      <w:r>
        <w:t xml:space="preserve"> </w:t>
      </w:r>
      <m:oMath>
        <m:sSub>
          <m:e>
            <m:r>
              <m:t>S</m:t>
            </m:r>
          </m:e>
          <m:sub>
            <m:r>
              <m:rPr>
                <m:sty m:val="p"/>
              </m:rPr>
              <m:t>i</m:t>
            </m:r>
            <m:r>
              <m:rPr>
                <m:sty m:val="p"/>
              </m:rPr>
              <m:t>m</m:t>
            </m:r>
            <m:r>
              <m:rPr>
                <m:sty m:val="p"/>
              </m:rPr>
              <m:t>m</m:t>
            </m:r>
            <m:r>
              <m:rPr>
                <m:sty m:val="p"/>
              </m:rPr>
              <m:t>u</m:t>
            </m:r>
            <m:r>
              <m:rPr>
                <m:sty m:val="p"/>
              </m:rPr>
              <m:t>n</m:t>
            </m:r>
            <m:r>
              <m:rPr>
                <m:sty m:val="p"/>
              </m:rPr>
              <m:t>e</m:t>
            </m:r>
          </m:sub>
        </m:sSub>
      </m:oMath>
      <w:r>
        <w:t xml:space="preserve"> </w:t>
      </w:r>
      <m:oMath>
        <m:r>
          <m:rPr>
            <m:sty m:val="p"/>
          </m:rPr>
          <m:t>⇒</m:t>
        </m:r>
      </m:oMath>
      <w:r>
        <w:t xml:space="preserve"> </w:t>
      </w:r>
      <w:r>
        <w:t xml:space="preserve">stronger immune response</w:t>
      </w:r>
      <w:r>
        <w:t xml:space="preserve"> </w:t>
      </w:r>
      <m:oMath>
        <m:r>
          <m:rPr>
            <m:sty m:val="p"/>
          </m:rPr>
          <m:t>⇒</m:t>
        </m:r>
      </m:oMath>
      <w:r>
        <w:t xml:space="preserve"> </w:t>
      </w:r>
      <w:r>
        <w:t xml:space="preserve">longer tumour control. Pearson</w:t>
      </w:r>
      <w:r>
        <w:t xml:space="preserve"> </w:t>
      </w:r>
      <m:oMath>
        <m:r>
          <m:t>r</m:t>
        </m:r>
        <m:r>
          <m:rPr>
            <m:sty m:val="p"/>
          </m:rPr>
          <m:t>=</m:t>
        </m:r>
        <m:r>
          <m:t>0.15</m:t>
        </m:r>
      </m:oMath>
      <w:r>
        <w:t xml:space="preserve">,</w:t>
      </w:r>
      <w:r>
        <w:t xml:space="preserve"> </w:t>
      </w:r>
      <m:oMath>
        <m:r>
          <m:t>p</m:t>
        </m:r>
        <m:r>
          <m:rPr>
            <m:sty m:val="p"/>
          </m:rPr>
          <m:t>=</m:t>
        </m:r>
        <m:r>
          <m:t>0.022</m:t>
        </m:r>
      </m:oMath>
      <w:r>
        <w:t xml:space="preserve">; OLS regression line shown. Data fetched programmatically from cBioPortal REST API (CC-BY licence).</w:t>
      </w:r>
    </w:p>
    <w:bookmarkEnd w:id="64"/>
    <w:bookmarkStart w:id="68" w:name="fig:pac_bound"/>
    <w:p>
      <w:pPr>
        <w:pStyle w:val="CaptionedFigure"/>
      </w:pPr>
      <w:r>
        <w:drawing>
          <wp:inline>
            <wp:extent cx="5334000" cy="2667000"/>
            <wp:effectExtent b="0" l="0" r="0" t="0"/>
            <wp:docPr descr="" title="" id="66" name="Picture"/>
            <a:graphic>
              <a:graphicData uri="http://schemas.openxmlformats.org/drawingml/2006/picture">
                <pic:pic>
                  <pic:nvPicPr>
                    <pic:cNvPr descr="figures/fig3_pac_bound.pdf"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Cross-cancer PAC bound validation (Theorem 3) across 9 cancer types.</w:t>
      </w:r>
      <w:r>
        <w:t xml:space="preserve"> </w:t>
      </w:r>
      <m:oMath>
        <m:r>
          <m:t>x</m:t>
        </m:r>
      </m:oMath>
      <w:r>
        <w:t xml:space="preserve">-axis: theoretical bound</w:t>
      </w:r>
      <w:r>
        <w:t xml:space="preserve"> </w:t>
      </w:r>
      <m:oMath>
        <m:sSup>
          <m:e>
            <m:r>
              <m:t>ε</m:t>
            </m:r>
          </m:e>
          <m:sup>
            <m:r>
              <m:rPr>
                <m:sty m:val="p"/>
              </m:rPr>
              <m:t>*</m:t>
            </m:r>
          </m:sup>
        </m:sSup>
        <m:r>
          <m:rPr>
            <m:sty m:val="p"/>
          </m:rPr>
          <m:t>(</m:t>
        </m:r>
        <m:sSub>
          <m:e>
            <m:r>
              <m:t>N</m:t>
            </m:r>
          </m:e>
          <m:sub>
            <m:r>
              <m:t>e</m:t>
            </m:r>
          </m:sub>
        </m:sSub>
        <m:r>
          <m:rPr>
            <m:sty m:val="p"/>
          </m:rPr>
          <m:t>,</m:t>
        </m:r>
        <m:sSub>
          <m:e>
            <m:r>
              <m:t>V</m:t>
            </m:r>
          </m:e>
          <m:sub>
            <m:r>
              <m:t>A</m:t>
            </m:r>
          </m:sub>
        </m:sSub>
        <m:r>
          <m:rPr>
            <m:sty m:val="p"/>
          </m:rPr>
          <m:t>)</m:t>
        </m:r>
      </m:oMath>
      <w:r>
        <w:t xml:space="preserve"> </w:t>
      </w:r>
      <w:r>
        <w:t xml:space="preserve">from Theorem 3 (</w:t>
      </w:r>
      <m:oMath>
        <m:r>
          <m:t>δ</m:t>
        </m:r>
        <m:r>
          <m:rPr>
            <m:sty m:val="p"/>
          </m:rPr>
          <m:t>=</m:t>
        </m:r>
        <m:r>
          <m:t>0.05</m:t>
        </m:r>
      </m:oMath>
      <w:r>
        <w:t xml:space="preserve">), computed from published</w:t>
      </w:r>
      <w:r>
        <w:t xml:space="preserve"> </w:t>
      </w:r>
      <m:oMath>
        <m:sSub>
          <m:e>
            <m:r>
              <m:t>N</m:t>
            </m:r>
          </m:e>
          <m:sub>
            <m:r>
              <m:t>e</m:t>
            </m:r>
          </m:sub>
        </m:sSub>
      </m:oMath>
      <w:r>
        <w:t xml:space="preserve"> </w:t>
      </w:r>
      <w:r>
        <w:t xml:space="preserve">(Williams et al. 2016)</w:t>
      </w:r>
      <w:r>
        <w:t xml:space="preserve"> </w:t>
      </w:r>
      <w:r>
        <w:t xml:space="preserve">and</w:t>
      </w:r>
      <w:r>
        <w:t xml:space="preserve"> </w:t>
      </w:r>
      <m:oMath>
        <m:sSub>
          <m:e>
            <m:r>
              <m:t>V</m:t>
            </m:r>
          </m:e>
          <m:sub>
            <m:r>
              <m:t>A</m:t>
            </m:r>
          </m:sub>
        </m:sSub>
      </m:oMath>
      <w:r>
        <w:t xml:space="preserve"> </w:t>
      </w:r>
      <w:r>
        <w:t xml:space="preserve">(</w:t>
      </w:r>
      <w:r>
        <w:t xml:space="preserve">Dentro et al.</w:t>
      </w:r>
      <w:r>
        <w:t xml:space="preserve"> </w:t>
      </w:r>
      <w:r>
        <w:t xml:space="preserve">2021)</w:t>
      </w:r>
      <w:r>
        <w:t xml:space="preserve">.</w:t>
      </w:r>
      <w:r>
        <w:t xml:space="preserve"> </w:t>
      </w:r>
      <m:oMath>
        <m:r>
          <m:t>y</m:t>
        </m:r>
      </m:oMath>
      <w:r>
        <w:t xml:space="preserve">-axis: observed resistance instability (</w:t>
      </w:r>
      <m:oMath>
        <m:r>
          <m:t>1</m:t>
        </m:r>
        <m:r>
          <m:rPr>
            <m:sty m:val="p"/>
          </m:rPr>
          <m:t>/</m:t>
        </m:r>
        <m:sSub>
          <m:e>
            <m:r>
              <m:rPr>
                <m:sty m:val="p"/>
              </m:rPr>
              <m:t>T</m:t>
            </m:r>
            <m:r>
              <m:rPr>
                <m:sty m:val="p"/>
              </m:rPr>
              <m:t>T</m:t>
            </m:r>
            <m:r>
              <m:rPr>
                <m:sty m:val="p"/>
              </m:rPr>
              <m:t>R</m:t>
            </m:r>
          </m:e>
          <m:sub>
            <m:r>
              <m:t>2</m:t>
            </m:r>
          </m:sub>
        </m:sSub>
      </m:oMath>
      <w:r>
        <w:t xml:space="preserve">, months</w:t>
      </w:r>
      <m:oMath>
        <m:sSup>
          <m:e>
            <m:r>
              <m:t>​</m:t>
            </m:r>
          </m:e>
          <m:sup>
            <m:r>
              <m:rPr>
                <m:sty m:val="p"/>
              </m:rPr>
              <m:t>−</m:t>
            </m:r>
            <m:r>
              <m:t>1</m:t>
            </m:r>
          </m:sup>
        </m:sSup>
      </m:oMath>
      <w:r>
        <w:t xml:space="preserve">; see Methods for per-cancer sources). Cancer types with high</w:t>
      </w:r>
      <w:r>
        <w:t xml:space="preserve"> </w:t>
      </w:r>
      <m:oMath>
        <m:sSup>
          <m:e>
            <m:r>
              <m:t>ε</m:t>
            </m:r>
          </m:e>
          <m:sup>
            <m:r>
              <m:rPr>
                <m:sty m:val="p"/>
              </m:rPr>
              <m:t>*</m:t>
            </m:r>
          </m:sup>
        </m:sSup>
      </m:oMath>
      <w:r>
        <w:t xml:space="preserve"> </w:t>
      </w:r>
      <w:r>
        <w:t xml:space="preserve">(loose PAC bound) show faster resistance displacement, consistent with the prediction that high-</w:t>
      </w:r>
      <m:oMath>
        <m:sSup>
          <m:e>
            <m:r>
              <m:t>ε</m:t>
            </m:r>
          </m:e>
          <m:sup>
            <m:r>
              <m:rPr>
                <m:sty m:val="p"/>
              </m:rPr>
              <m:t>*</m:t>
            </m:r>
          </m:sup>
        </m:sSup>
      </m:oMath>
      <w:r>
        <w:t xml:space="preserve"> </w:t>
      </w:r>
      <w:r>
        <w:t xml:space="preserve">populations settle in suboptimal, less durable resistance states. Pearson</w:t>
      </w:r>
      <w:r>
        <w:t xml:space="preserve"> </w:t>
      </w:r>
      <m:oMath>
        <m:r>
          <m:t>r</m:t>
        </m:r>
        <m:r>
          <m:rPr>
            <m:sty m:val="p"/>
          </m:rPr>
          <m:t>=</m:t>
        </m:r>
        <m:r>
          <m:t>0.96</m:t>
        </m:r>
      </m:oMath>
      <w:r>
        <w:t xml:space="preserve">,</w:t>
      </w:r>
      <w:r>
        <w:t xml:space="preserve"> </w:t>
      </w:r>
      <m:oMath>
        <m:r>
          <m:t>p</m:t>
        </m:r>
        <m:r>
          <m:rPr>
            <m:sty m:val="p"/>
          </m:rPr>
          <m:t>&lt;</m:t>
        </m:r>
        <m:r>
          <m:t>0.0001</m:t>
        </m:r>
      </m:oMath>
      <w:r>
        <w:t xml:space="preserve">.</w:t>
      </w:r>
    </w:p>
    <w:bookmarkEnd w:id="68"/>
    <w:bookmarkStart w:id="72" w:name="fig:va_capacity"/>
    <w:p>
      <w:pPr>
        <w:pStyle w:val="CaptionedFigure"/>
      </w:pPr>
      <w:r>
        <w:drawing>
          <wp:inline>
            <wp:extent cx="5334000" cy="3502121"/>
            <wp:effectExtent b="0" l="0" r="0" t="0"/>
            <wp:docPr descr="" title="" id="70" name="Picture"/>
            <a:graphic>
              <a:graphicData uri="http://schemas.openxmlformats.org/drawingml/2006/picture">
                <pic:pic>
                  <pic:nvPicPr>
                    <pic:cNvPr descr="figures/fig4_VA_capacity.pdf" id="71" name="Picture"/>
                    <pic:cNvPicPr>
                      <a:picLocks noChangeArrowheads="1" noChangeAspect="1"/>
                    </pic:cNvPicPr>
                  </pic:nvPicPr>
                  <pic:blipFill>
                    <a:blip r:embed="rId69"/>
                    <a:stretch>
                      <a:fillRect/>
                    </a:stretch>
                  </pic:blipFill>
                  <pic:spPr bwMode="auto">
                    <a:xfrm>
                      <a:off x="0" y="0"/>
                      <a:ext cx="5334000" cy="3502121"/>
                    </a:xfrm>
                    <a:prstGeom prst="rect">
                      <a:avLst/>
                    </a:prstGeom>
                    <a:noFill/>
                    <a:ln w="9525">
                      <a:noFill/>
                      <a:headEnd/>
                      <a:tailEnd/>
                    </a:ln>
                  </pic:spPr>
                </pic:pic>
              </a:graphicData>
            </a:graphic>
          </wp:inline>
        </w:drawing>
      </w:r>
    </w:p>
    <w:p>
      <w:pPr>
        <w:pStyle w:val="ImageCaption"/>
      </w:pPr>
      <w:r>
        <w:rPr>
          <w:b/>
          <w:bCs/>
        </w:rPr>
        <w:t xml:space="preserve">Figure 4.</w:t>
      </w:r>
      <w:r>
        <w:t xml:space="preserve"> </w:t>
      </w:r>
      <m:oMath>
        <m:sSub>
          <m:e>
            <m:r>
              <m:t>V</m:t>
            </m:r>
          </m:e>
          <m:sub>
            <m:r>
              <m:t>A</m:t>
            </m:r>
          </m:sub>
        </m:sSub>
      </m:oMath>
      <w:r>
        <w:t xml:space="preserve"> </w:t>
      </w:r>
      <w:r>
        <w:t xml:space="preserve">as evolutionary learning capacity across 20 cancer types.</w:t>
      </w:r>
      <w:r>
        <w:t xml:space="preserve"> </w:t>
      </w:r>
      <w:r>
        <w:rPr>
          <w:b/>
          <w:bCs/>
        </w:rPr>
        <w:t xml:space="preserve">(A)</w:t>
      </w:r>
      <w:r>
        <w:t xml:space="preserve"> Horizontal bar chart of additive genetic variance</w:t>
      </w:r>
      <w:r>
        <w:t xml:space="preserve"> </w:t>
      </w:r>
      <m:oMath>
        <m:sSub>
          <m:e>
            <m:r>
              <m:t>V</m:t>
            </m:r>
          </m:e>
          <m:sub>
            <m:r>
              <m:t>A</m:t>
            </m:r>
          </m:sub>
        </m:sSub>
      </m:oMath>
      <w:r>
        <w:t xml:space="preserve"> </w:t>
      </w:r>
      <w:r>
        <w:t xml:space="preserve">(CCF variance; </w:t>
      </w:r>
      <w:r>
        <w:t xml:space="preserve">(</w:t>
      </w:r>
      <w:r>
        <w:t xml:space="preserve">Dentro et al.</w:t>
      </w:r>
      <w:r>
        <w:t xml:space="preserve"> </w:t>
      </w:r>
      <w:r>
        <w:t xml:space="preserve">2021)</w:t>
      </w:r>
      <w:r>
        <w:t xml:space="preserve">), sorted descending. Bar colour encodes mean adaptation rate</w:t>
      </w:r>
      <w:r>
        <w:t xml:space="preserve"> </w:t>
      </w:r>
      <m:oMath>
        <m:acc>
          <m:accPr>
            <m:chr m:val="‾"/>
          </m:accPr>
          <m:e>
            <m:r>
              <m:t>s</m:t>
            </m:r>
          </m:e>
        </m:acc>
      </m:oMath>
      <w:r>
        <w:t xml:space="preserve">: red, fast adaptation (high</w:t>
      </w:r>
      <w:r>
        <w:t xml:space="preserve"> </w:t>
      </w:r>
      <m:oMath>
        <m:acc>
          <m:accPr>
            <m:chr m:val="‾"/>
          </m:accPr>
          <m:e>
            <m:r>
              <m:t>s</m:t>
            </m:r>
          </m:e>
        </m:acc>
      </m:oMath>
      <w:r>
        <w:t xml:space="preserve">); blue, slow. The median</w:t>
      </w:r>
      <w:r>
        <w:t xml:space="preserve"> </w:t>
      </w:r>
      <m:oMath>
        <m:sSub>
          <m:e>
            <m:r>
              <m:t>V</m:t>
            </m:r>
          </m:e>
          <m:sub>
            <m:r>
              <m:t>A</m:t>
            </m:r>
          </m:sub>
        </m:sSub>
      </m:oMath>
      <w:r>
        <w:t xml:space="preserve"> </w:t>
      </w:r>
      <w:r>
        <w:t xml:space="preserve">across cancer types is 0.079 (dashed line).</w:t>
      </w:r>
      <w:r>
        <w:t xml:space="preserve"> </w:t>
      </w:r>
      <w:r>
        <w:rPr>
          <w:b/>
          <w:bCs/>
        </w:rPr>
        <w:t xml:space="preserve">(B)</w:t>
      </w:r>
      <w:r>
        <w:t xml:space="preserve"> </w:t>
      </w:r>
      <m:oMath>
        <m:r>
          <m:rPr>
            <m:sty m:val="p"/>
          </m:rPr>
          <m:t>r</m:t>
        </m:r>
        <m:r>
          <m:rPr>
            <m:sty m:val="p"/>
          </m:rPr>
          <m:t>a</m:t>
        </m:r>
        <m:r>
          <m:rPr>
            <m:sty m:val="p"/>
          </m:rPr>
          <m:t>n</m:t>
        </m:r>
        <m:r>
          <m:rPr>
            <m:sty m:val="p"/>
          </m:rPr>
          <m:t>k</m:t>
        </m:r>
        <m:r>
          <m:rPr>
            <m:sty m:val="p"/>
          </m:rPr>
          <m:t>(</m:t>
        </m:r>
        <m:r>
          <m:rPr>
            <m:sty m:val="bi"/>
          </m:rPr>
          <m:t>G</m:t>
        </m:r>
        <m:r>
          <m:rPr>
            <m:sty m:val="p"/>
          </m:rPr>
          <m:t>)</m:t>
        </m:r>
      </m:oMath>
      <w:r>
        <w:t xml:space="preserve"> </w:t>
      </w:r>
      <w:r>
        <w:t xml:space="preserve">proxy (</w:t>
      </w:r>
      <m:oMath>
        <m:r>
          <m:rPr>
            <m:sty m:val="p"/>
          </m:rPr>
          <m:t>=</m:t>
        </m:r>
        <m:sSub>
          <m:e>
            <m:r>
              <m:t>V</m:t>
            </m:r>
          </m:e>
          <m:sub>
            <m:r>
              <m:t>A</m:t>
            </m:r>
          </m:sub>
        </m:sSub>
        <m:sSub>
          <m:e>
            <m:r>
              <m:t>N</m:t>
            </m:r>
          </m:e>
          <m:sub>
            <m:r>
              <m:t>e</m:t>
            </m:r>
          </m:sub>
        </m:sSub>
        <m:r>
          <m:rPr>
            <m:sty m:val="p"/>
          </m:rPr>
          <m:t>/</m:t>
        </m:r>
        <m:r>
          <m:t>12</m:t>
        </m:r>
      </m:oMath>
      <w:r>
        <w:t xml:space="preserve">, the effective number of independent adaptive dimensions) vs. evolvability index (</w:t>
      </w:r>
      <m:oMath>
        <m:sSub>
          <m:e>
            <m:r>
              <m:t>V</m:t>
            </m:r>
          </m:e>
          <m:sub>
            <m:r>
              <m:t>A</m:t>
            </m:r>
          </m:sub>
        </m:sSub>
        <m:sSub>
          <m:e>
            <m:r>
              <m:t>N</m:t>
            </m:r>
          </m:e>
          <m:sub>
            <m:r>
              <m:t>e</m:t>
            </m:r>
          </m:sub>
        </m:sSub>
        <m:acc>
          <m:accPr>
            <m:chr m:val="‾"/>
          </m:accPr>
          <m:e>
            <m:r>
              <m:t>s</m:t>
            </m:r>
          </m:e>
        </m:acc>
      </m:oMath>
      <w:r>
        <w:t xml:space="preserve">; </w:t>
      </w:r>
      <w:r>
        <w:t xml:space="preserve">(Houle 1992)</w:t>
      </w:r>
      <w:r>
        <w:t xml:space="preserve"> </w:t>
      </w:r>
      <w:r>
        <w:t xml:space="preserve">index scaled by</w:t>
      </w:r>
      <w:r>
        <w:t xml:space="preserve"> </w:t>
      </w:r>
      <m:oMath>
        <m:sSub>
          <m:e>
            <m:r>
              <m:t>N</m:t>
            </m:r>
          </m:e>
          <m:sub>
            <m:r>
              <m:t>e</m:t>
            </m:r>
          </m:sub>
        </m:sSub>
        <m:acc>
          <m:accPr>
            <m:chr m:val="‾"/>
          </m:accPr>
          <m:e>
            <m:r>
              <m:t>s</m:t>
            </m:r>
          </m:e>
        </m:acc>
      </m:oMath>
      <w:r>
        <w:t xml:space="preserve">). Cancer types with higher</w:t>
      </w:r>
      <w:r>
        <w:t xml:space="preserve"> </w:t>
      </w:r>
      <m:oMath>
        <m:r>
          <m:rPr>
            <m:sty m:val="bi"/>
          </m:rPr>
          <m:t>G</m:t>
        </m:r>
      </m:oMath>
      <w:r>
        <w:t xml:space="preserve">-rank are more evolvable in the VC-dimension sense. Pearson</w:t>
      </w:r>
      <w:r>
        <w:t xml:space="preserve"> </w:t>
      </w:r>
      <m:oMath>
        <m:r>
          <m:t>r</m:t>
        </m:r>
        <m:r>
          <m:rPr>
            <m:sty m:val="p"/>
          </m:rPr>
          <m:t>=</m:t>
        </m:r>
        <m:r>
          <m:t>0.66</m:t>
        </m:r>
      </m:oMath>
      <w:r>
        <w:t xml:space="preserve">,</w:t>
      </w:r>
      <w:r>
        <w:t xml:space="preserve"> </w:t>
      </w:r>
      <m:oMath>
        <m:r>
          <m:t>p</m:t>
        </m:r>
        <m:r>
          <m:rPr>
            <m:sty m:val="p"/>
          </m:rPr>
          <m:t>=</m:t>
        </m:r>
        <m:r>
          <m:t>0.0015</m:t>
        </m:r>
      </m:oMath>
      <w:r>
        <w:t xml:space="preserve">; colour encodes</w:t>
      </w:r>
      <w:r>
        <w:t xml:space="preserve"> </w:t>
      </w:r>
      <m:oMath>
        <m:sSub>
          <m:e>
            <m:r>
              <m:t>V</m:t>
            </m:r>
          </m:e>
          <m:sub>
            <m:r>
              <m:t>A</m:t>
            </m:r>
          </m:sub>
        </m:sSub>
      </m:oMath>
      <w:r>
        <w:t xml:space="preserve">. Because both axes share the factor</w:t>
      </w:r>
      <w:r>
        <w:t xml:space="preserve"> </w:t>
      </w:r>
      <m:oMath>
        <m:sSub>
          <m:e>
            <m:r>
              <m:t>V</m:t>
            </m:r>
          </m:e>
          <m:sub>
            <m:r>
              <m:t>A</m:t>
            </m:r>
          </m:sub>
        </m:sSub>
        <m:sSub>
          <m:e>
            <m:r>
              <m:t>N</m:t>
            </m:r>
          </m:e>
          <m:sub>
            <m:r>
              <m:t>e</m:t>
            </m:r>
          </m:sub>
        </m:sSub>
      </m:oMath>
      <w:r>
        <w:t xml:space="preserve">, the non-trivial content of the correlation is that</w:t>
      </w:r>
      <w:r>
        <w:t xml:space="preserve"> </w:t>
      </w:r>
      <m:oMath>
        <m:acc>
          <m:accPr>
            <m:chr m:val="‾"/>
          </m:accPr>
          <m:e>
            <m:r>
              <m:t>s</m:t>
            </m:r>
          </m:e>
        </m:acc>
      </m:oMath>
      <w:r>
        <w:t xml:space="preserve"> </w:t>
      </w:r>
      <w:r>
        <w:t xml:space="preserve">co-varies with</w:t>
      </w:r>
      <w:r>
        <w:t xml:space="preserve"> </w:t>
      </w:r>
      <m:oMath>
        <m:sSub>
          <m:e>
            <m:r>
              <m:t>V</m:t>
            </m:r>
          </m:e>
          <m:sub>
            <m:r>
              <m:t>A</m:t>
            </m:r>
          </m:sub>
        </m:sSub>
        <m:sSub>
          <m:e>
            <m:r>
              <m:t>N</m:t>
            </m:r>
          </m:e>
          <m:sub>
            <m:r>
              <m:t>e</m:t>
            </m:r>
          </m:sub>
        </m:sSub>
      </m:oMath>
      <w:r>
        <w:t xml:space="preserve"> </w:t>
      </w:r>
      <w:r>
        <w:t xml:space="preserve">structure across cancer types rather than varying independently—a consistency check of the FTNS prediction</w:t>
      </w:r>
      <w:r>
        <w:t xml:space="preserve"> </w:t>
      </w:r>
      <m:oMath>
        <m:acc>
          <m:accPr>
            <m:chr m:val="‾"/>
          </m:accPr>
          <m:e>
            <m:r>
              <m:t>s</m:t>
            </m:r>
          </m:e>
        </m:acc>
        <m:r>
          <m:rPr>
            <m:sty m:val="p"/>
          </m:rPr>
          <m:t>∝</m:t>
        </m:r>
        <m:sSub>
          <m:e>
            <m:r>
              <m:t>V</m:t>
            </m:r>
          </m:e>
          <m:sub>
            <m:r>
              <m:t>A</m:t>
            </m:r>
          </m:sub>
        </m:sSub>
        <m:r>
          <m:rPr>
            <m:sty m:val="p"/>
          </m:rPr>
          <m:t>/</m:t>
        </m:r>
        <m:acc>
          <m:accPr>
            <m:chr m:val="‾"/>
          </m:accPr>
          <m:e>
            <m:r>
              <m:t>W</m:t>
            </m:r>
          </m:e>
        </m:acc>
      </m:oMath>
      <w:r>
        <w:t xml:space="preserve">.</w:t>
      </w:r>
    </w:p>
    <w:bookmarkEnd w:id="72"/>
    <w:bookmarkStart w:id="115" w:name="refs"/>
    <w:bookmarkStart w:id="73" w:name="ref-abbosh2023"/>
    <w:p>
      <w:pPr>
        <w:pStyle w:val="Bibliography"/>
      </w:pPr>
      <w:r>
        <w:t xml:space="preserve">Abbosh, Chris, Alexander M. Frankell, Alastair Garnett, et al.</w:t>
      </w:r>
      <w:r>
        <w:t xml:space="preserve"> 2023.</w:t>
      </w:r>
      <w:r>
        <w:t xml:space="preserve"> </w:t>
      </w:r>
      <w:r>
        <w:t xml:space="preserve">“Phylogenetic ctDNA Analysis Depicts Early-Stage Lung Cancer Evolution.”</w:t>
      </w:r>
      <w:r>
        <w:t xml:space="preserve"> </w:t>
      </w:r>
      <w:r>
        <w:rPr>
          <w:i/>
          <w:iCs/>
        </w:rPr>
        <w:t xml:space="preserve">Nature</w:t>
      </w:r>
      <w:r>
        <w:t xml:space="preserve"> </w:t>
      </w:r>
      <w:r>
        <w:t xml:space="preserve">616: 430–37.</w:t>
      </w:r>
    </w:p>
    <w:bookmarkEnd w:id="73"/>
    <w:bookmarkStart w:id="74" w:name="ref-amari1998"/>
    <w:p>
      <w:pPr>
        <w:pStyle w:val="Bibliography"/>
      </w:pPr>
      <w:r>
        <w:t xml:space="preserve">Amari, Shun-ichi. 1998.</w:t>
      </w:r>
      <w:r>
        <w:t xml:space="preserve"> </w:t>
      </w:r>
      <w:r>
        <w:t xml:space="preserve">“Natural Gradient Works Efficiently in Learning.”</w:t>
      </w:r>
      <w:r>
        <w:t xml:space="preserve"> </w:t>
      </w:r>
      <w:r>
        <w:rPr>
          <w:i/>
          <w:iCs/>
        </w:rPr>
        <w:t xml:space="preserve">Neural Computation</w:t>
      </w:r>
      <w:r>
        <w:t xml:space="preserve"> </w:t>
      </w:r>
      <w:r>
        <w:t xml:space="preserve">10: 251–76.</w:t>
      </w:r>
    </w:p>
    <w:bookmarkEnd w:id="74"/>
    <w:bookmarkStart w:id="75" w:name="ref-amari2000"/>
    <w:p>
      <w:pPr>
        <w:pStyle w:val="Bibliography"/>
      </w:pPr>
      <w:r>
        <w:t xml:space="preserve">Amari, Shun-ichi, and Hiroshi Nagaoka. 2000.</w:t>
      </w:r>
      <w:r>
        <w:t xml:space="preserve"> </w:t>
      </w:r>
      <w:r>
        <w:rPr>
          <w:i/>
          <w:iCs/>
        </w:rPr>
        <w:t xml:space="preserve">Methods of Information Geometry</w:t>
      </w:r>
      <w:r>
        <w:t xml:space="preserve">. American Mathematical Society / Oxford University Press.</w:t>
      </w:r>
    </w:p>
    <w:bookmarkEnd w:id="75"/>
    <w:bookmarkStart w:id="76" w:name="ref-bartlett2002"/>
    <w:p>
      <w:pPr>
        <w:pStyle w:val="Bibliography"/>
      </w:pPr>
      <w:r>
        <w:t xml:space="preserve">Bartlett, Peter L., and Shahar Mendelson. 2002.</w:t>
      </w:r>
      <w:r>
        <w:t xml:space="preserve"> </w:t>
      </w:r>
      <w:r>
        <w:t xml:space="preserve">“Rademacher and</w:t>
      </w:r>
      <w:r>
        <w:t xml:space="preserve"> </w:t>
      </w:r>
      <w:r>
        <w:t xml:space="preserve">Gaussian</w:t>
      </w:r>
      <w:r>
        <w:t xml:space="preserve"> </w:t>
      </w:r>
      <w:r>
        <w:t xml:space="preserve">Complexities: Risk Bounds and Structural Results.”</w:t>
      </w:r>
      <w:r>
        <w:t xml:space="preserve"> </w:t>
      </w:r>
      <w:r>
        <w:rPr>
          <w:i/>
          <w:iCs/>
        </w:rPr>
        <w:t xml:space="preserve">Journal of Machine Learning Research</w:t>
      </w:r>
      <w:r>
        <w:t xml:space="preserve"> </w:t>
      </w:r>
      <w:r>
        <w:t xml:space="preserve">3: 463–82.</w:t>
      </w:r>
    </w:p>
    <w:bookmarkEnd w:id="76"/>
    <w:bookmarkStart w:id="77" w:name="ref-cerami2012"/>
    <w:p>
      <w:pPr>
        <w:pStyle w:val="Bibliography"/>
      </w:pPr>
      <w:r>
        <w:t xml:space="preserve">Cerami, Ethan, Jianjiong Gao, Ugur Dogrusoz, et al.</w:t>
      </w:r>
      <w:r>
        <w:t xml:space="preserve"> 2012.</w:t>
      </w:r>
      <w:r>
        <w:t xml:space="preserve"> </w:t>
      </w:r>
      <w:r>
        <w:t xml:space="preserve">“The</w:t>
      </w:r>
      <w:r>
        <w:t xml:space="preserve"> </w:t>
      </w:r>
      <w:r>
        <w:t xml:space="preserve">cBio</w:t>
      </w:r>
      <w:r>
        <w:t xml:space="preserve"> </w:t>
      </w:r>
      <w:r>
        <w:t xml:space="preserve">Cancer Genomics Portal: An Open Platform for Exploring Multidimensional Cancer Genomics Data.”</w:t>
      </w:r>
      <w:r>
        <w:t xml:space="preserve"> </w:t>
      </w:r>
      <w:r>
        <w:rPr>
          <w:i/>
          <w:iCs/>
        </w:rPr>
        <w:t xml:space="preserve">Cancer Discovery</w:t>
      </w:r>
      <w:r>
        <w:t xml:space="preserve"> </w:t>
      </w:r>
      <w:r>
        <w:t xml:space="preserve">2: 401–4.</w:t>
      </w:r>
    </w:p>
    <w:bookmarkEnd w:id="77"/>
    <w:bookmarkStart w:id="78" w:name="ref-chastain2014"/>
    <w:p>
      <w:pPr>
        <w:pStyle w:val="Bibliography"/>
      </w:pPr>
      <w:r>
        <w:t xml:space="preserve">Chastain, Erick, Adi Livnat, Christos Papadimitriou, and Umesh Vazirani. 2014.</w:t>
      </w:r>
      <w:r>
        <w:t xml:space="preserve"> </w:t>
      </w:r>
      <w:r>
        <w:t xml:space="preserve">“Algorithms, Games, and Evolution.”</w:t>
      </w:r>
      <w:r>
        <w:t xml:space="preserve"> </w:t>
      </w:r>
      <w:r>
        <w:rPr>
          <w:i/>
          <w:iCs/>
        </w:rPr>
        <w:t xml:space="preserve">Proceedings of the National Academy of Sciences USA</w:t>
      </w:r>
      <w:r>
        <w:t xml:space="preserve"> </w:t>
      </w:r>
      <w:r>
        <w:t xml:space="preserve">111: 10620–23.</w:t>
      </w:r>
    </w:p>
    <w:bookmarkEnd w:id="78"/>
    <w:bookmarkStart w:id="79" w:name="ref-dentro2021"/>
    <w:p>
      <w:pPr>
        <w:pStyle w:val="Bibliography"/>
      </w:pPr>
      <w:r>
        <w:t xml:space="preserve">Dentro, Stefan C., Ignaty Leshchiner, Kerstin Haase, et al.</w:t>
      </w:r>
      <w:r>
        <w:t xml:space="preserve"> 2021.</w:t>
      </w:r>
      <w:r>
        <w:t xml:space="preserve"> </w:t>
      </w:r>
      <w:r>
        <w:t xml:space="preserve">“Characterizing Genetic Intra-Tumor Heterogeneity Across 2,658 Human Cancer Genomes.”</w:t>
      </w:r>
      <w:r>
        <w:t xml:space="preserve"> </w:t>
      </w:r>
      <w:r>
        <w:rPr>
          <w:i/>
          <w:iCs/>
        </w:rPr>
        <w:t xml:space="preserve">Cell</w:t>
      </w:r>
      <w:r>
        <w:t xml:space="preserve"> </w:t>
      </w:r>
      <w:r>
        <w:t xml:space="preserve">184: 2239–54.</w:t>
      </w:r>
    </w:p>
    <w:bookmarkEnd w:id="79"/>
    <w:bookmarkStart w:id="80" w:name="ref-ewens1989"/>
    <w:p>
      <w:pPr>
        <w:pStyle w:val="Bibliography"/>
      </w:pPr>
      <w:r>
        <w:t xml:space="preserve">Ewens, Warren J. 1989.</w:t>
      </w:r>
      <w:r>
        <w:t xml:space="preserve"> </w:t>
      </w:r>
      <w:r>
        <w:t xml:space="preserve">“An Interpretation and Proof of the Fundamental Theorem of Natural Selection.”</w:t>
      </w:r>
      <w:r>
        <w:t xml:space="preserve"> </w:t>
      </w:r>
      <w:r>
        <w:rPr>
          <w:i/>
          <w:iCs/>
        </w:rPr>
        <w:t xml:space="preserve">Theoretical Population Biology</w:t>
      </w:r>
      <w:r>
        <w:t xml:space="preserve"> </w:t>
      </w:r>
      <w:r>
        <w:t xml:space="preserve">36: 167–80.</w:t>
      </w:r>
    </w:p>
    <w:bookmarkEnd w:id="80"/>
    <w:bookmarkStart w:id="81" w:name="ref-fisher1918"/>
    <w:p>
      <w:pPr>
        <w:pStyle w:val="Bibliography"/>
      </w:pPr>
      <w:r>
        <w:t xml:space="preserve">Fisher, Ronald A. 1918.</w:t>
      </w:r>
      <w:r>
        <w:t xml:space="preserve"> </w:t>
      </w:r>
      <w:r>
        <w:t xml:space="preserve">“The Correlation Between Relatives on the Supposition of</w:t>
      </w:r>
      <w:r>
        <w:t xml:space="preserve"> </w:t>
      </w:r>
      <w:r>
        <w:t xml:space="preserve">Mendelian</w:t>
      </w:r>
      <w:r>
        <w:t xml:space="preserve"> </w:t>
      </w:r>
      <w:r>
        <w:t xml:space="preserve">Inheritance.”</w:t>
      </w:r>
      <w:r>
        <w:t xml:space="preserve"> </w:t>
      </w:r>
      <w:r>
        <w:rPr>
          <w:i/>
          <w:iCs/>
        </w:rPr>
        <w:t xml:space="preserve">Transactions of the Royal Society of Edinburgh</w:t>
      </w:r>
      <w:r>
        <w:t xml:space="preserve"> </w:t>
      </w:r>
      <w:r>
        <w:t xml:space="preserve">52: 399–433.</w:t>
      </w:r>
    </w:p>
    <w:bookmarkEnd w:id="81"/>
    <w:bookmarkStart w:id="82" w:name="ref-frank2009"/>
    <w:p>
      <w:pPr>
        <w:pStyle w:val="Bibliography"/>
      </w:pPr>
      <w:r>
        <w:t xml:space="preserve">Frank, Steven A. 2009.</w:t>
      </w:r>
      <w:r>
        <w:t xml:space="preserve"> </w:t>
      </w:r>
      <w:r>
        <w:t xml:space="preserve">“Natural Selection Maximizes</w:t>
      </w:r>
      <w:r>
        <w:t xml:space="preserve"> </w:t>
      </w:r>
      <w:r>
        <w:t xml:space="preserve">Fisher</w:t>
      </w:r>
      <w:r>
        <w:t xml:space="preserve"> </w:t>
      </w:r>
      <w:r>
        <w:t xml:space="preserve">Information.”</w:t>
      </w:r>
      <w:r>
        <w:t xml:space="preserve"> </w:t>
      </w:r>
      <w:r>
        <w:rPr>
          <w:i/>
          <w:iCs/>
        </w:rPr>
        <w:t xml:space="preserve">Journal of Evolutionary Biology</w:t>
      </w:r>
      <w:r>
        <w:t xml:space="preserve"> </w:t>
      </w:r>
      <w:r>
        <w:t xml:space="preserve">22: 231–44.</w:t>
      </w:r>
    </w:p>
    <w:bookmarkEnd w:id="82"/>
    <w:bookmarkStart w:id="83" w:name="ref-frank2012"/>
    <w:p>
      <w:pPr>
        <w:pStyle w:val="Bibliography"/>
      </w:pPr>
      <w:r>
        <w:t xml:space="preserve">Frank, Steven A. 2012.</w:t>
      </w:r>
      <w:r>
        <w:t xml:space="preserve"> </w:t>
      </w:r>
      <w:r>
        <w:t xml:space="preserve">“Natural Selection.</w:t>
      </w:r>
      <w:r>
        <w:t xml:space="preserve"> </w:t>
      </w:r>
      <w:r>
        <w:t xml:space="preserve">IV</w:t>
      </w:r>
      <w:r>
        <w:t xml:space="preserve">.</w:t>
      </w:r>
      <w:r>
        <w:t xml:space="preserve"> </w:t>
      </w:r>
      <w:r>
        <w:t xml:space="preserve">The</w:t>
      </w:r>
      <w:r>
        <w:t xml:space="preserve"> </w:t>
      </w:r>
      <w:r>
        <w:t xml:space="preserve">Price</w:t>
      </w:r>
      <w:r>
        <w:t xml:space="preserve"> </w:t>
      </w:r>
      <w:r>
        <w:t xml:space="preserve">Equation.”</w:t>
      </w:r>
      <w:r>
        <w:t xml:space="preserve"> </w:t>
      </w:r>
      <w:r>
        <w:rPr>
          <w:i/>
          <w:iCs/>
        </w:rPr>
        <w:t xml:space="preserve">Journal of Evolutionary Biology</w:t>
      </w:r>
      <w:r>
        <w:t xml:space="preserve"> </w:t>
      </w:r>
      <w:r>
        <w:t xml:space="preserve">25: 1002–19.</w:t>
      </w:r>
    </w:p>
    <w:bookmarkEnd w:id="83"/>
    <w:bookmarkStart w:id="84" w:name="ref-gao2013"/>
    <w:p>
      <w:pPr>
        <w:pStyle w:val="Bibliography"/>
      </w:pPr>
      <w:r>
        <w:t xml:space="preserve">Gao, Jianjiong, B. Arman Aksoy, Ugur Dogrusoz, et al.</w:t>
      </w:r>
      <w:r>
        <w:t xml:space="preserve"> 2013.</w:t>
      </w:r>
      <w:r>
        <w:t xml:space="preserve"> </w:t>
      </w:r>
      <w:r>
        <w:t xml:space="preserve">“Integrative Analysis of Complex Cancer Genomics and Clinical Profiles Using the</w:t>
      </w:r>
      <w:r>
        <w:t xml:space="preserve"> </w:t>
      </w:r>
      <w:r>
        <w:t xml:space="preserve">cBioPortal</w:t>
      </w:r>
      <w:r>
        <w:t xml:space="preserve">.”</w:t>
      </w:r>
      <w:r>
        <w:t xml:space="preserve"> </w:t>
      </w:r>
      <w:r>
        <w:rPr>
          <w:i/>
          <w:iCs/>
        </w:rPr>
        <w:t xml:space="preserve">Science Signaling</w:t>
      </w:r>
      <w:r>
        <w:t xml:space="preserve"> </w:t>
      </w:r>
      <w:r>
        <w:t xml:space="preserve">6: pl1.</w:t>
      </w:r>
    </w:p>
    <w:bookmarkEnd w:id="84"/>
    <w:bookmarkStart w:id="85" w:name="ref-grafen2003"/>
    <w:p>
      <w:pPr>
        <w:pStyle w:val="Bibliography"/>
      </w:pPr>
      <w:r>
        <w:t xml:space="preserve">Grafen, Alan. 2003.</w:t>
      </w:r>
      <w:r>
        <w:t xml:space="preserve"> </w:t>
      </w:r>
      <w:r>
        <w:t xml:space="preserve">“</w:t>
      </w:r>
      <w:r>
        <w:t xml:space="preserve">Fisher</w:t>
      </w:r>
      <w:r>
        <w:t xml:space="preserve"> </w:t>
      </w:r>
      <w:r>
        <w:t xml:space="preserve">the Evolutionary Biologist.”</w:t>
      </w:r>
      <w:r>
        <w:t xml:space="preserve"> </w:t>
      </w:r>
      <w:r>
        <w:rPr>
          <w:i/>
          <w:iCs/>
        </w:rPr>
        <w:t xml:space="preserve">Statistician</w:t>
      </w:r>
      <w:r>
        <w:t xml:space="preserve"> </w:t>
      </w:r>
      <w:r>
        <w:t xml:space="preserve">52: 319–29.</w:t>
      </w:r>
    </w:p>
    <w:bookmarkEnd w:id="85"/>
    <w:bookmarkStart w:id="86" w:name="ref-haugen2016"/>
    <w:p>
      <w:pPr>
        <w:pStyle w:val="Bibliography"/>
      </w:pPr>
      <w:r>
        <w:t xml:space="preserve">Haugen, Bryan R., Erik K. Alexander, Keith C. Bible, et al.</w:t>
      </w:r>
      <w:r>
        <w:t xml:space="preserve"> 2016.</w:t>
      </w:r>
      <w:r>
        <w:t xml:space="preserve"> </w:t>
      </w:r>
      <w:r>
        <w:t xml:space="preserve">“2015</w:t>
      </w:r>
      <w:r>
        <w:t xml:space="preserve"> </w:t>
      </w:r>
      <w:r>
        <w:t xml:space="preserve">American Thyroid Association</w:t>
      </w:r>
      <w:r>
        <w:t xml:space="preserve"> </w:t>
      </w:r>
      <w:r>
        <w:t xml:space="preserve">Management Guidelines for Adult Patients with Thyroid Nodules and Differentiated Thyroid Cancer.”</w:t>
      </w:r>
      <w:r>
        <w:t xml:space="preserve"> </w:t>
      </w:r>
      <w:r>
        <w:rPr>
          <w:i/>
          <w:iCs/>
        </w:rPr>
        <w:t xml:space="preserve">Thyroid</w:t>
      </w:r>
      <w:r>
        <w:t xml:space="preserve"> </w:t>
      </w:r>
      <w:r>
        <w:t xml:space="preserve">26: 1–133.</w:t>
      </w:r>
    </w:p>
    <w:bookmarkEnd w:id="86"/>
    <w:bookmarkStart w:id="87" w:name="ref-hellmann2019"/>
    <w:p>
      <w:pPr>
        <w:pStyle w:val="Bibliography"/>
      </w:pPr>
      <w:r>
        <w:t xml:space="preserve">Hellmann, Matthew D., Tudor-Eliade Ciuleanu, Adam Pluzanski, et al.</w:t>
      </w:r>
      <w:r>
        <w:t xml:space="preserve"> 2019.</w:t>
      </w:r>
      <w:r>
        <w:t xml:space="preserve"> </w:t>
      </w:r>
      <w:r>
        <w:t xml:space="preserve">“Nivolumab Plus Ipilimumab in Advanced Non–Small-Cell Lung Cancer.”</w:t>
      </w:r>
      <w:r>
        <w:t xml:space="preserve"> </w:t>
      </w:r>
      <w:r>
        <w:rPr>
          <w:i/>
          <w:iCs/>
        </w:rPr>
        <w:t xml:space="preserve">New England Journal of Medicine</w:t>
      </w:r>
      <w:r>
        <w:t xml:space="preserve"> </w:t>
      </w:r>
      <w:r>
        <w:t xml:space="preserve">381: 2020–31.</w:t>
      </w:r>
    </w:p>
    <w:bookmarkEnd w:id="87"/>
    <w:bookmarkStart w:id="88" w:name="ref-hellmann2018"/>
    <w:p>
      <w:pPr>
        <w:pStyle w:val="Bibliography"/>
      </w:pPr>
      <w:r>
        <w:t xml:space="preserve">Hellmann, Matthew D., Tavi Nathanson, Hira Rizvi, et al.</w:t>
      </w:r>
      <w:r>
        <w:t xml:space="preserve"> 2018.</w:t>
      </w:r>
      <w:r>
        <w:t xml:space="preserve"> </w:t>
      </w:r>
      <w:r>
        <w:t xml:space="preserve">“Genomic Features of Response to Combination Immunotherapy in Patients with Advanced Non-Small-Cell Lung Cancer.”</w:t>
      </w:r>
      <w:r>
        <w:t xml:space="preserve"> </w:t>
      </w:r>
      <w:r>
        <w:rPr>
          <w:i/>
          <w:iCs/>
        </w:rPr>
        <w:t xml:space="preserve">Cancer Cell</w:t>
      </w:r>
      <w:r>
        <w:t xml:space="preserve"> </w:t>
      </w:r>
      <w:r>
        <w:t xml:space="preserve">33: 843–52.</w:t>
      </w:r>
    </w:p>
    <w:bookmarkEnd w:id="88"/>
    <w:bookmarkStart w:id="89" w:name="ref-houle1992"/>
    <w:p>
      <w:pPr>
        <w:pStyle w:val="Bibliography"/>
      </w:pPr>
      <w:r>
        <w:t xml:space="preserve">Houle, David. 1992.</w:t>
      </w:r>
      <w:r>
        <w:t xml:space="preserve"> </w:t>
      </w:r>
      <w:r>
        <w:t xml:space="preserve">“Comparing Evolvability and Variability of Quantitative Traits.”</w:t>
      </w:r>
      <w:r>
        <w:t xml:space="preserve"> </w:t>
      </w:r>
      <w:r>
        <w:rPr>
          <w:i/>
          <w:iCs/>
        </w:rPr>
        <w:t xml:space="preserve">Genetics</w:t>
      </w:r>
      <w:r>
        <w:t xml:space="preserve"> </w:t>
      </w:r>
      <w:r>
        <w:t xml:space="preserve">130: 195–204.</w:t>
      </w:r>
    </w:p>
    <w:bookmarkEnd w:id="89"/>
    <w:bookmarkStart w:id="90" w:name="ref-jamal2023"/>
    <w:p>
      <w:pPr>
        <w:pStyle w:val="Bibliography"/>
      </w:pPr>
      <w:r>
        <w:t xml:space="preserve">Jamal-Hanjani, Mariam, Allan Hackshaw, Sergio Quezada, et al.</w:t>
      </w:r>
      <w:r>
        <w:t xml:space="preserve"> 2023.</w:t>
      </w:r>
      <w:r>
        <w:t xml:space="preserve"> </w:t>
      </w:r>
      <w:r>
        <w:t xml:space="preserve">“Tracking Genomic Cancer Evolution for Precision Medicine: The Lung</w:t>
      </w:r>
      <w:r>
        <w:t xml:space="preserve"> </w:t>
      </w:r>
      <w:r>
        <w:t xml:space="preserve">TRACERx</w:t>
      </w:r>
      <w:r>
        <w:t xml:space="preserve"> </w:t>
      </w:r>
      <w:r>
        <w:t xml:space="preserve">Study.”</w:t>
      </w:r>
      <w:r>
        <w:t xml:space="preserve"> </w:t>
      </w:r>
      <w:r>
        <w:rPr>
          <w:i/>
          <w:iCs/>
        </w:rPr>
        <w:t xml:space="preserve">Nature Cancer</w:t>
      </w:r>
      <w:r>
        <w:t xml:space="preserve"> </w:t>
      </w:r>
      <w:r>
        <w:t xml:space="preserve">4.</w:t>
      </w:r>
    </w:p>
    <w:bookmarkEnd w:id="90"/>
    <w:bookmarkStart w:id="91" w:name="ref-kakade2001"/>
    <w:p>
      <w:pPr>
        <w:pStyle w:val="Bibliography"/>
      </w:pPr>
      <w:r>
        <w:t xml:space="preserve">Kakade, Sham. 2001.</w:t>
      </w:r>
      <w:r>
        <w:t xml:space="preserve"> </w:t>
      </w:r>
      <w:r>
        <w:t xml:space="preserve">“A Natural Policy Gradient.”</w:t>
      </w:r>
      <w:r>
        <w:t xml:space="preserve"> </w:t>
      </w:r>
      <w:r>
        <w:rPr>
          <w:i/>
          <w:iCs/>
        </w:rPr>
        <w:t xml:space="preserve">Advances in Neural Information Processing Systems</w:t>
      </w:r>
      <w:r>
        <w:t xml:space="preserve"> </w:t>
      </w:r>
      <w:r>
        <w:t xml:space="preserve">14: 1531–38.</w:t>
      </w:r>
    </w:p>
    <w:bookmarkEnd w:id="91"/>
    <w:bookmarkStart w:id="92" w:name="ref-kearns1994"/>
    <w:p>
      <w:pPr>
        <w:pStyle w:val="Bibliography"/>
      </w:pPr>
      <w:r>
        <w:t xml:space="preserve">Kearns, Michael J., and Umesh V. Vazirani. 1994.</w:t>
      </w:r>
      <w:r>
        <w:t xml:space="preserve"> </w:t>
      </w:r>
      <w:r>
        <w:rPr>
          <w:i/>
          <w:iCs/>
        </w:rPr>
        <w:t xml:space="preserve">An Introduction to Computational Learning Theory</w:t>
      </w:r>
      <w:r>
        <w:t xml:space="preserve">. MIT Press.</w:t>
      </w:r>
    </w:p>
    <w:bookmarkEnd w:id="92"/>
    <w:bookmarkStart w:id="93" w:name="ref-lande1979"/>
    <w:p>
      <w:pPr>
        <w:pStyle w:val="Bibliography"/>
      </w:pPr>
      <w:r>
        <w:t xml:space="preserve">Lande, Russell. 1979.</w:t>
      </w:r>
      <w:r>
        <w:t xml:space="preserve"> </w:t>
      </w:r>
      <w:r>
        <w:t xml:space="preserve">“Quantitative Genetic Analysis of Multivariate Evolution, Applied to Brain:body Size Allometry.”</w:t>
      </w:r>
      <w:r>
        <w:t xml:space="preserve"> </w:t>
      </w:r>
      <w:r>
        <w:rPr>
          <w:i/>
          <w:iCs/>
        </w:rPr>
        <w:t xml:space="preserve">Evolution</w:t>
      </w:r>
      <w:r>
        <w:t xml:space="preserve"> </w:t>
      </w:r>
      <w:r>
        <w:t xml:space="preserve">33: 402–16.</w:t>
      </w:r>
    </w:p>
    <w:bookmarkEnd w:id="93"/>
    <w:bookmarkStart w:id="94" w:name="ref-lessard1997"/>
    <w:p>
      <w:pPr>
        <w:pStyle w:val="Bibliography"/>
      </w:pPr>
      <w:r>
        <w:t xml:space="preserve">Lessard, Sabin. 1997.</w:t>
      </w:r>
      <w:r>
        <w:t xml:space="preserve"> </w:t>
      </w:r>
      <w:r>
        <w:t xml:space="preserve">“</w:t>
      </w:r>
      <w:r>
        <w:t xml:space="preserve">Fisher’s</w:t>
      </w:r>
      <w:r>
        <w:t xml:space="preserve"> </w:t>
      </w:r>
      <w:r>
        <w:t xml:space="preserve">Fundamental Theorem of Natural Selection Revisited.”</w:t>
      </w:r>
      <w:r>
        <w:t xml:space="preserve"> </w:t>
      </w:r>
      <w:r>
        <w:rPr>
          <w:i/>
          <w:iCs/>
        </w:rPr>
        <w:t xml:space="preserve">Theoretical Population Biology</w:t>
      </w:r>
      <w:r>
        <w:t xml:space="preserve"> </w:t>
      </w:r>
      <w:r>
        <w:t xml:space="preserve">52: 119–36.</w:t>
      </w:r>
    </w:p>
    <w:bookmarkEnd w:id="94"/>
    <w:bookmarkStart w:id="95" w:name="ref-makohon2017"/>
    <w:p>
      <w:pPr>
        <w:pStyle w:val="Bibliography"/>
      </w:pPr>
      <w:r>
        <w:t xml:space="preserve">Makohon-Moore, Alvin P., Ming Zhang, Johannes G. Reiter, et al.</w:t>
      </w:r>
      <w:r>
        <w:t xml:space="preserve"> 2017.</w:t>
      </w:r>
      <w:r>
        <w:t xml:space="preserve"> </w:t>
      </w:r>
      <w:r>
        <w:t xml:space="preserve">“Limited Heterogeneity of Known Driver Gene Mutations Among the Metastases of Individual Patients with Pancreatic Cancer.”</w:t>
      </w:r>
      <w:r>
        <w:t xml:space="preserve"> </w:t>
      </w:r>
      <w:r>
        <w:rPr>
          <w:i/>
          <w:iCs/>
        </w:rPr>
        <w:t xml:space="preserve">Nature Genetics</w:t>
      </w:r>
      <w:r>
        <w:t xml:space="preserve"> </w:t>
      </w:r>
      <w:r>
        <w:t xml:space="preserve">49: 358–66.</w:t>
      </w:r>
    </w:p>
    <w:bookmarkEnd w:id="95"/>
    <w:bookmarkStart w:id="96" w:name="ref-modha1996"/>
    <w:p>
      <w:pPr>
        <w:pStyle w:val="Bibliography"/>
      </w:pPr>
      <w:r>
        <w:t xml:space="preserve">Modha, Dharmendra S., and Elias Masry. 1996.</w:t>
      </w:r>
      <w:r>
        <w:t xml:space="preserve"> </w:t>
      </w:r>
      <w:r>
        <w:t xml:space="preserve">“Minimum Complexity Regression Estimation with Weakly Dependent Observations.”</w:t>
      </w:r>
      <w:r>
        <w:t xml:space="preserve"> </w:t>
      </w:r>
      <w:r>
        <w:rPr>
          <w:i/>
          <w:iCs/>
        </w:rPr>
        <w:t xml:space="preserve">IEEE Transactions on Information Theory</w:t>
      </w:r>
      <w:r>
        <w:t xml:space="preserve"> </w:t>
      </w:r>
      <w:r>
        <w:t xml:space="preserve">42: 2133–45.</w:t>
      </w:r>
    </w:p>
    <w:bookmarkEnd w:id="96"/>
    <w:bookmarkStart w:id="97" w:name="ref-omuro2013"/>
    <w:p>
      <w:pPr>
        <w:pStyle w:val="Bibliography"/>
      </w:pPr>
      <w:r>
        <w:t xml:space="preserve">Omuro, Antonio, and Lisa M. DeAngelis. 2013.</w:t>
      </w:r>
      <w:r>
        <w:t xml:space="preserve"> </w:t>
      </w:r>
      <w:r>
        <w:t xml:space="preserve">“Glioblastoma and Other Malignant Gliomas: A Clinical Review.”</w:t>
      </w:r>
      <w:r>
        <w:t xml:space="preserve"> </w:t>
      </w:r>
      <w:r>
        <w:rPr>
          <w:i/>
          <w:iCs/>
        </w:rPr>
        <w:t xml:space="preserve">JAMA</w:t>
      </w:r>
      <w:r>
        <w:t xml:space="preserve"> </w:t>
      </w:r>
      <w:r>
        <w:t xml:space="preserve">310: 1842–50.</w:t>
      </w:r>
    </w:p>
    <w:bookmarkEnd w:id="97"/>
    <w:bookmarkStart w:id="98" w:name="ref-osumi2021"/>
    <w:p>
      <w:pPr>
        <w:pStyle w:val="Bibliography"/>
      </w:pPr>
      <w:r>
        <w:t xml:space="preserve">Osumi, Hiroki, Eiji Shinozaki, Kensei Yamaguchi, and Hitoshi Zembutsu. 2021.</w:t>
      </w:r>
      <w:r>
        <w:t xml:space="preserve"> </w:t>
      </w:r>
      <w:r>
        <w:t xml:space="preserve">“Acquired Resistance to Anti-</w:t>
      </w:r>
      <w:r>
        <w:t xml:space="preserve">EGFR</w:t>
      </w:r>
      <w:r>
        <w:t xml:space="preserve"> </w:t>
      </w:r>
      <w:r>
        <w:t xml:space="preserve">Therapy in Colorectal Cancer.”</w:t>
      </w:r>
      <w:r>
        <w:t xml:space="preserve"> </w:t>
      </w:r>
      <w:r>
        <w:rPr>
          <w:i/>
          <w:iCs/>
        </w:rPr>
        <w:t xml:space="preserve">Cancer Medicine</w:t>
      </w:r>
      <w:r>
        <w:t xml:space="preserve"> </w:t>
      </w:r>
      <w:r>
        <w:t xml:space="preserve">10: 9–17.</w:t>
      </w:r>
    </w:p>
    <w:bookmarkEnd w:id="98"/>
    <w:bookmarkStart w:id="99" w:name="ref-oxnard2017"/>
    <w:p>
      <w:pPr>
        <w:pStyle w:val="Bibliography"/>
      </w:pPr>
      <w:r>
        <w:t xml:space="preserve">Oxnard, Geoffrey R., Yanan Hu, Kathryn F. Mileham, et al.</w:t>
      </w:r>
      <w:r>
        <w:t xml:space="preserve"> 2017.</w:t>
      </w:r>
      <w:r>
        <w:t xml:space="preserve"> </w:t>
      </w:r>
      <w:r>
        <w:t xml:space="preserve">“Assessment of Resistance Mechanisms and Clinical Implications in Patients with</w:t>
      </w:r>
      <w:r>
        <w:t xml:space="preserve"> </w:t>
      </w:r>
      <w:r>
        <w:t xml:space="preserve">EGFR</w:t>
      </w:r>
      <w:r>
        <w:t xml:space="preserve"> </w:t>
      </w:r>
      <w:r>
        <w:t xml:space="preserve">T790M</w:t>
      </w:r>
      <w:r>
        <w:t xml:space="preserve">-Positive Lung Cancer and Acquired Resistance to Osimertinib.”</w:t>
      </w:r>
      <w:r>
        <w:t xml:space="preserve"> </w:t>
      </w:r>
      <w:r>
        <w:rPr>
          <w:i/>
          <w:iCs/>
        </w:rPr>
        <w:t xml:space="preserve">JAMA Oncology</w:t>
      </w:r>
      <w:r>
        <w:t xml:space="preserve"> </w:t>
      </w:r>
      <w:r>
        <w:t xml:space="preserve">4: 1527–34.</w:t>
      </w:r>
    </w:p>
    <w:bookmarkEnd w:id="99"/>
    <w:bookmarkStart w:id="100" w:name="ref-pigliucci2008"/>
    <w:p>
      <w:pPr>
        <w:pStyle w:val="Bibliography"/>
      </w:pPr>
      <w:r>
        <w:t xml:space="preserve">Pigliucci, Massimo. 2008.</w:t>
      </w:r>
      <w:r>
        <w:t xml:space="preserve"> </w:t>
      </w:r>
      <w:r>
        <w:t xml:space="preserve">“Is Evolvability Evolvable?”</w:t>
      </w:r>
      <w:r>
        <w:t xml:space="preserve"> </w:t>
      </w:r>
      <w:r>
        <w:rPr>
          <w:i/>
          <w:iCs/>
        </w:rPr>
        <w:t xml:space="preserve">Nature Reviews Genetics</w:t>
      </w:r>
      <w:r>
        <w:t xml:space="preserve"> </w:t>
      </w:r>
      <w:r>
        <w:t xml:space="preserve">9: 75–82.</w:t>
      </w:r>
    </w:p>
    <w:bookmarkEnd w:id="100"/>
    <w:bookmarkStart w:id="101" w:name="ref-price1970"/>
    <w:p>
      <w:pPr>
        <w:pStyle w:val="Bibliography"/>
      </w:pPr>
      <w:r>
        <w:t xml:space="preserve">Price, George R. 1970.</w:t>
      </w:r>
      <w:r>
        <w:t xml:space="preserve"> </w:t>
      </w:r>
      <w:r>
        <w:t xml:space="preserve">“Selection and Covariance.”</w:t>
      </w:r>
      <w:r>
        <w:t xml:space="preserve"> </w:t>
      </w:r>
      <w:r>
        <w:rPr>
          <w:i/>
          <w:iCs/>
        </w:rPr>
        <w:t xml:space="preserve">Nature</w:t>
      </w:r>
      <w:r>
        <w:t xml:space="preserve"> </w:t>
      </w:r>
      <w:r>
        <w:t xml:space="preserve">227: 520–21.</w:t>
      </w:r>
    </w:p>
    <w:bookmarkEnd w:id="101"/>
    <w:bookmarkStart w:id="102" w:name="ref-price1972"/>
    <w:p>
      <w:pPr>
        <w:pStyle w:val="Bibliography"/>
      </w:pPr>
      <w:r>
        <w:t xml:space="preserve">Price, George R. 1972.</w:t>
      </w:r>
      <w:r>
        <w:t xml:space="preserve"> </w:t>
      </w:r>
      <w:r>
        <w:t xml:space="preserve">“Extension of Covariance Selection Mathematics.”</w:t>
      </w:r>
      <w:r>
        <w:t xml:space="preserve"> </w:t>
      </w:r>
      <w:r>
        <w:rPr>
          <w:i/>
          <w:iCs/>
        </w:rPr>
        <w:t xml:space="preserve">Annals of Human Genetics</w:t>
      </w:r>
      <w:r>
        <w:t xml:space="preserve"> </w:t>
      </w:r>
      <w:r>
        <w:t xml:space="preserve">35: 485–90.</w:t>
      </w:r>
    </w:p>
    <w:bookmarkEnd w:id="102"/>
    <w:bookmarkStart w:id="103" w:name="ref-scher2012"/>
    <w:p>
      <w:pPr>
        <w:pStyle w:val="Bibliography"/>
      </w:pPr>
      <w:r>
        <w:t xml:space="preserve">Scher, Howard I., Karim Fizazi, Fred Saad, et al.</w:t>
      </w:r>
      <w:r>
        <w:t xml:space="preserve"> 2012.</w:t>
      </w:r>
      <w:r>
        <w:t xml:space="preserve"> </w:t>
      </w:r>
      <w:r>
        <w:t xml:space="preserve">“Increased Survival with Enzalutamide in Prostate Cancer After Chemotherapy.”</w:t>
      </w:r>
      <w:r>
        <w:t xml:space="preserve"> </w:t>
      </w:r>
      <w:r>
        <w:rPr>
          <w:i/>
          <w:iCs/>
        </w:rPr>
        <w:t xml:space="preserve">New England Journal of Medicine</w:t>
      </w:r>
      <w:r>
        <w:t xml:space="preserve"> </w:t>
      </w:r>
      <w:r>
        <w:t xml:space="preserve">367: 1187–97.</w:t>
      </w:r>
    </w:p>
    <w:bookmarkEnd w:id="103"/>
    <w:bookmarkStart w:id="104" w:name="ref-schluter1996"/>
    <w:p>
      <w:pPr>
        <w:pStyle w:val="Bibliography"/>
      </w:pPr>
      <w:r>
        <w:t xml:space="preserve">Schluter, Dolph. 1996.</w:t>
      </w:r>
      <w:r>
        <w:t xml:space="preserve"> </w:t>
      </w:r>
      <w:r>
        <w:t xml:space="preserve">“Adaptive Radiation Along Genetic Lines of Least Resistance.”</w:t>
      </w:r>
      <w:r>
        <w:t xml:space="preserve"> </w:t>
      </w:r>
      <w:r>
        <w:rPr>
          <w:i/>
          <w:iCs/>
        </w:rPr>
        <w:t xml:space="preserve">Evolution</w:t>
      </w:r>
      <w:r>
        <w:t xml:space="preserve"> </w:t>
      </w:r>
      <w:r>
        <w:t xml:space="preserve">50: 1766–74.</w:t>
      </w:r>
    </w:p>
    <w:bookmarkEnd w:id="104"/>
    <w:bookmarkStart w:id="105" w:name="ref-shalizi2009"/>
    <w:p>
      <w:pPr>
        <w:pStyle w:val="Bibliography"/>
      </w:pPr>
      <w:r>
        <w:t xml:space="preserve">Shalizi, Cosma R. 2009.</w:t>
      </w:r>
      <w:r>
        <w:t xml:space="preserve"> </w:t>
      </w:r>
      <w:r>
        <w:t xml:space="preserve">“Dynamics of</w:t>
      </w:r>
      <w:r>
        <w:t xml:space="preserve"> </w:t>
      </w:r>
      <w:r>
        <w:t xml:space="preserve">Bayesian</w:t>
      </w:r>
      <w:r>
        <w:t xml:space="preserve"> </w:t>
      </w:r>
      <w:r>
        <w:t xml:space="preserve">Updating with Dependent Data and Misspecified Models.”</w:t>
      </w:r>
      <w:r>
        <w:t xml:space="preserve"> </w:t>
      </w:r>
      <w:r>
        <w:rPr>
          <w:i/>
          <w:iCs/>
        </w:rPr>
        <w:t xml:space="preserve">Electronic Journal of Statistics</w:t>
      </w:r>
      <w:r>
        <w:t xml:space="preserve"> </w:t>
      </w:r>
      <w:r>
        <w:t xml:space="preserve">3: 1039–74.</w:t>
      </w:r>
    </w:p>
    <w:bookmarkEnd w:id="105"/>
    <w:bookmarkStart w:id="106" w:name="ref-shlush2017"/>
    <w:p>
      <w:pPr>
        <w:pStyle w:val="Bibliography"/>
      </w:pPr>
      <w:r>
        <w:t xml:space="preserve">Shlush, Liran I., Andrew Mitchell, Lawrence Heisler, et al.</w:t>
      </w:r>
      <w:r>
        <w:t xml:space="preserve"> 2017.</w:t>
      </w:r>
      <w:r>
        <w:t xml:space="preserve"> </w:t>
      </w:r>
      <w:r>
        <w:t xml:space="preserve">“Tracing the Origins of Relapse in Acute Myeloid Leukaemia to Stem Cells.”</w:t>
      </w:r>
      <w:r>
        <w:t xml:space="preserve"> </w:t>
      </w:r>
      <w:r>
        <w:rPr>
          <w:i/>
          <w:iCs/>
        </w:rPr>
        <w:t xml:space="preserve">Nature</w:t>
      </w:r>
      <w:r>
        <w:t xml:space="preserve"> </w:t>
      </w:r>
      <w:r>
        <w:t xml:space="preserve">547: 104–8.</w:t>
      </w:r>
    </w:p>
    <w:bookmarkEnd w:id="106"/>
    <w:bookmarkStart w:id="107" w:name="ref-tarabichi2021"/>
    <w:p>
      <w:pPr>
        <w:pStyle w:val="Bibliography"/>
      </w:pPr>
      <w:r>
        <w:t xml:space="preserve">Tarabichi, Maxime, Adriana Salcedo, Amit G. Deshwar, et al.</w:t>
      </w:r>
      <w:r>
        <w:t xml:space="preserve"> 2021.</w:t>
      </w:r>
      <w:r>
        <w:t xml:space="preserve"> </w:t>
      </w:r>
      <w:r>
        <w:t xml:space="preserve">“A Practical Guide to Cancer Subclonal Reconstruction from</w:t>
      </w:r>
      <w:r>
        <w:t xml:space="preserve"> </w:t>
      </w:r>
      <w:r>
        <w:t xml:space="preserve">DNA</w:t>
      </w:r>
      <w:r>
        <w:t xml:space="preserve"> </w:t>
      </w:r>
      <w:r>
        <w:t xml:space="preserve">Sequencing.”</w:t>
      </w:r>
      <w:r>
        <w:t xml:space="preserve"> </w:t>
      </w:r>
      <w:r>
        <w:rPr>
          <w:i/>
          <w:iCs/>
        </w:rPr>
        <w:t xml:space="preserve">Nature Methods</w:t>
      </w:r>
      <w:r>
        <w:t xml:space="preserve"> </w:t>
      </w:r>
      <w:r>
        <w:t xml:space="preserve">18: 144–55.</w:t>
      </w:r>
    </w:p>
    <w:bookmarkEnd w:id="107"/>
    <w:bookmarkStart w:id="108" w:name="ref-valiant1984"/>
    <w:p>
      <w:pPr>
        <w:pStyle w:val="Bibliography"/>
      </w:pPr>
      <w:r>
        <w:t xml:space="preserve">Valiant, Leslie G. 1984.</w:t>
      </w:r>
      <w:r>
        <w:t xml:space="preserve"> </w:t>
      </w:r>
      <w:r>
        <w:t xml:space="preserve">“A Theory of the Learnable.”</w:t>
      </w:r>
      <w:r>
        <w:t xml:space="preserve"> </w:t>
      </w:r>
      <w:r>
        <w:rPr>
          <w:i/>
          <w:iCs/>
        </w:rPr>
        <w:t xml:space="preserve">Communications of the ACM</w:t>
      </w:r>
      <w:r>
        <w:t xml:space="preserve"> </w:t>
      </w:r>
      <w:r>
        <w:t xml:space="preserve">27: 1134–42.</w:t>
      </w:r>
    </w:p>
    <w:bookmarkEnd w:id="108"/>
    <w:bookmarkStart w:id="109" w:name="ref-valiant2009"/>
    <w:p>
      <w:pPr>
        <w:pStyle w:val="Bibliography"/>
      </w:pPr>
      <w:r>
        <w:t xml:space="preserve">Valiant, Leslie G. 2009.</w:t>
      </w:r>
      <w:r>
        <w:t xml:space="preserve"> </w:t>
      </w:r>
      <w:r>
        <w:t xml:space="preserve">“Evolvability.”</w:t>
      </w:r>
      <w:r>
        <w:t xml:space="preserve"> </w:t>
      </w:r>
      <w:r>
        <w:rPr>
          <w:i/>
          <w:iCs/>
        </w:rPr>
        <w:t xml:space="preserve">Journal of the ACM</w:t>
      </w:r>
      <w:r>
        <w:t xml:space="preserve"> </w:t>
      </w:r>
      <w:r>
        <w:t xml:space="preserve">56: 3.</w:t>
      </w:r>
    </w:p>
    <w:bookmarkEnd w:id="109"/>
    <w:bookmarkStart w:id="110" w:name="ref-vapnik1971"/>
    <w:p>
      <w:pPr>
        <w:pStyle w:val="Bibliography"/>
      </w:pPr>
      <w:r>
        <w:t xml:space="preserve">Vapnik, V. N., and A. Ya. Chervonenkis. 1971.</w:t>
      </w:r>
      <w:r>
        <w:t xml:space="preserve"> </w:t>
      </w:r>
      <w:r>
        <w:t xml:space="preserve">“On the Uniform Convergence of Relative Frequencies of Events to Their Probabilities.”</w:t>
      </w:r>
      <w:r>
        <w:t xml:space="preserve"> </w:t>
      </w:r>
      <w:r>
        <w:rPr>
          <w:i/>
          <w:iCs/>
        </w:rPr>
        <w:t xml:space="preserve">Theory of Probability and Its Applications</w:t>
      </w:r>
      <w:r>
        <w:t xml:space="preserve"> </w:t>
      </w:r>
      <w:r>
        <w:t xml:space="preserve">16: 264–80.</w:t>
      </w:r>
    </w:p>
    <w:bookmarkEnd w:id="110"/>
    <w:bookmarkStart w:id="111" w:name="ref-wagle2014"/>
    <w:p>
      <w:pPr>
        <w:pStyle w:val="Bibliography"/>
      </w:pPr>
      <w:r>
        <w:t xml:space="preserve">Wagle, Nikhil, Eliezer M. Van Allen, Daniel J. Treacy, et al.</w:t>
      </w:r>
      <w:r>
        <w:t xml:space="preserve"> 2014.</w:t>
      </w:r>
      <w:r>
        <w:t xml:space="preserve"> </w:t>
      </w:r>
      <w:r>
        <w:t xml:space="preserve">“The Genetic Landscape of Clinical Resistance to</w:t>
      </w:r>
      <w:r>
        <w:t xml:space="preserve"> </w:t>
      </w:r>
      <w:r>
        <w:t xml:space="preserve">RAF</w:t>
      </w:r>
      <w:r>
        <w:t xml:space="preserve"> </w:t>
      </w:r>
      <w:r>
        <w:t xml:space="preserve">Inhibition in Metastatic Melanoma.”</w:t>
      </w:r>
      <w:r>
        <w:t xml:space="preserve"> </w:t>
      </w:r>
      <w:r>
        <w:rPr>
          <w:i/>
          <w:iCs/>
        </w:rPr>
        <w:t xml:space="preserve">Journal of Clinical Investigation</w:t>
      </w:r>
      <w:r>
        <w:t xml:space="preserve"> </w:t>
      </w:r>
      <w:r>
        <w:t xml:space="preserve">124: 4305–10.</w:t>
      </w:r>
    </w:p>
    <w:bookmarkEnd w:id="111"/>
    <w:bookmarkStart w:id="112" w:name="ref-williams2016"/>
    <w:p>
      <w:pPr>
        <w:pStyle w:val="Bibliography"/>
      </w:pPr>
      <w:r>
        <w:t xml:space="preserve">Williams, Marc J., Benjamin Werner, Chris P. Barnes, Trevor A. Graham, and Andrea Sottoriva. 2016.</w:t>
      </w:r>
      <w:r>
        <w:t xml:space="preserve"> </w:t>
      </w:r>
      <w:r>
        <w:t xml:space="preserve">“Identification of Neutral Tumor Evolution Across Cancer Types.”</w:t>
      </w:r>
      <w:r>
        <w:t xml:space="preserve"> </w:t>
      </w:r>
      <w:r>
        <w:rPr>
          <w:i/>
          <w:iCs/>
        </w:rPr>
        <w:t xml:space="preserve">Nature Genetics</w:t>
      </w:r>
      <w:r>
        <w:t xml:space="preserve"> </w:t>
      </w:r>
      <w:r>
        <w:t xml:space="preserve">48: 238–44.</w:t>
      </w:r>
    </w:p>
    <w:bookmarkEnd w:id="112"/>
    <w:bookmarkStart w:id="113" w:name="ref-yates2015"/>
    <w:p>
      <w:pPr>
        <w:pStyle w:val="Bibliography"/>
      </w:pPr>
      <w:r>
        <w:t xml:space="preserve">Yates, Lucy R., Moritz Gerstung, Stian Knappskog, et al.</w:t>
      </w:r>
      <w:r>
        <w:t xml:space="preserve"> 2015.</w:t>
      </w:r>
      <w:r>
        <w:t xml:space="preserve"> </w:t>
      </w:r>
      <w:r>
        <w:t xml:space="preserve">“Subclonal Diversification of Primary Breast Cancer Revealed by Multiregion Sequencing.”</w:t>
      </w:r>
      <w:r>
        <w:t xml:space="preserve"> </w:t>
      </w:r>
      <w:r>
        <w:rPr>
          <w:i/>
          <w:iCs/>
        </w:rPr>
        <w:t xml:space="preserve">Nature Medicine</w:t>
      </w:r>
      <w:r>
        <w:t xml:space="preserve"> </w:t>
      </w:r>
      <w:r>
        <w:t xml:space="preserve">21: 751–59.</w:t>
      </w:r>
    </w:p>
    <w:bookmarkEnd w:id="113"/>
    <w:bookmarkStart w:id="114" w:name="ref-yu1994"/>
    <w:p>
      <w:pPr>
        <w:pStyle w:val="Bibliography"/>
      </w:pPr>
      <w:r>
        <w:t xml:space="preserve">Yu, Bin. 1994.</w:t>
      </w:r>
      <w:r>
        <w:t xml:space="preserve"> </w:t>
      </w:r>
      <w:r>
        <w:t xml:space="preserve">“Rates of Convergence for Empirical Processes of Stationary Mixing Sequences.”</w:t>
      </w:r>
      <w:r>
        <w:t xml:space="preserve"> </w:t>
      </w:r>
      <w:r>
        <w:rPr>
          <w:i/>
          <w:iCs/>
        </w:rPr>
        <w:t xml:space="preserve">Annals of Probability</w:t>
      </w:r>
      <w:r>
        <w:t xml:space="preserve"> </w:t>
      </w:r>
      <w:r>
        <w:t xml:space="preserve">22: 94–116.</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df" /><Relationship Type="http://schemas.openxmlformats.org/officeDocument/2006/relationships/image" Id="rId61" Target="media/rId61.pdf" /><Relationship Type="http://schemas.openxmlformats.org/officeDocument/2006/relationships/image" Id="rId65" Target="media/rId65.pdf" /><Relationship Type="http://schemas.openxmlformats.org/officeDocument/2006/relationships/image" Id="rId69" Target="media/rId69.pdf" /><Relationship Type="http://schemas.openxmlformats.org/officeDocument/2006/relationships/hyperlink" Id="rId51" Target="https://dcc.icgc.org/pcawg" TargetMode="External" /><Relationship Type="http://schemas.openxmlformats.org/officeDocument/2006/relationships/hyperlink" Id="rId48" Target="https://github.com/rstil2/selection-as-learning" TargetMode="External" /><Relationship Type="http://schemas.openxmlformats.org/officeDocument/2006/relationships/hyperlink" Id="rId50" Target="https://portal.gdc.cancer.gov" TargetMode="External" /><Relationship Type="http://schemas.openxmlformats.org/officeDocument/2006/relationships/hyperlink" Id="rId49" Target="https://www.cbioportal.org" TargetMode="External" /><Relationship Type="http://schemas.openxmlformats.org/officeDocument/2006/relationships/hyperlink" Id="rId9" Target="mailto:craig.stillwell@gmail.com" TargetMode="External" /></Relationships>
</file>

<file path=word/_rels/footnotes.xml.rels><?xml version="1.0" encoding="UTF-8"?><Relationships xmlns="http://schemas.openxmlformats.org/package/2006/relationships"><Relationship Type="http://schemas.openxmlformats.org/officeDocument/2006/relationships/hyperlink" Id="rId51" Target="https://dcc.icgc.org/pcawg" TargetMode="External" /><Relationship Type="http://schemas.openxmlformats.org/officeDocument/2006/relationships/hyperlink" Id="rId48" Target="https://github.com/rstil2/selection-as-learning" TargetMode="External" /><Relationship Type="http://schemas.openxmlformats.org/officeDocument/2006/relationships/hyperlink" Id="rId50" Target="https://portal.gdc.cancer.gov" TargetMode="External" /><Relationship Type="http://schemas.openxmlformats.org/officeDocument/2006/relationships/hyperlink" Id="rId49" Target="https://www.cbioportal.org" TargetMode="External" /><Relationship Type="http://schemas.openxmlformats.org/officeDocument/2006/relationships/hyperlink" Id="rId9" Target="mailto:craig.stillwell@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selection is empirical risk minimisation</dc:title>
  <dc:creator>R. Craig Stillwell University of Kentucky craig.stillwell@gmail.com</dc:creator>
  <cp:keywords/>
  <dcterms:created xsi:type="dcterms:W3CDTF">2026-05-31T00:11:08Z</dcterms:created>
  <dcterms:modified xsi:type="dcterms:W3CDTF">2026-05-31T00:11:08Z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Drug resistance is responsible for the majority of cancer deaths, yet its evolutionary dynamics remain poorly predicted at treatment initiation. Here we show that resistance evolution timing across nine cancer types is predictable with r = 0.96 (p &lt; 0.0001) using a formula parameterized by two quantities already measured in standard clinical sequencing pipelines: intratumour heterogeneity (h^2 proxy) and effective population size (N_e). This predictive power arises from a formal proof that evolutionary quantitative genetics and PAC learning theory are instances of a single mathematical structure: empirical risk minimization on a Fisher-information manifold under a capacity constraint. Fisher’s Fundamental Theorem of Natural Selection, the Price Equation, and PAC generalization bounds are facets of this shared geometry; additive genetic variance V_A is the evolutionary analogue of Rademacher complexity and N_e plays the role of training set size. From this structure we derive the evolutionary sample complexity threshold N_e^*—the tumour cell burden below which reliable resistance evolution is mathematically precluded—and show it is computable at diagnosis from data already in the clinical record. Standard-of-care sequential monotherapy inadvertently provides tumours with the iterative training loops that maximise evolutionary learning; upfront combination therapy maintaining N_e &lt; N_e^* may close the evolutionary search space before resistance can be discovered. These connections are established by formal proof under the infinitesimal model and additive genetic architecture, yielding a computable, clinically testable threshold.</vt:lpwstr>
  </property>
  <property fmtid="{D5CDD505-2E9C-101B-9397-08002B2CF9AE}" pid="3" name="bibliography">
    <vt:lpwstr>refs.bib</vt:lpwstr>
  </property>
  <property fmtid="{D5CDD505-2E9C-101B-9397-08002B2CF9AE}" pid="4" name="date">
    <vt:lpwstr/>
  </property>
</Properties>
</file>