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0"/>
      </w:pPr>
      <w:r>
        <w:rPr>
          <w:rFonts w:ascii="Times New Roman" w:hAnsi="Times New Roman"/>
          <w:b w:val="0"/>
          <w:i w:val="0"/>
          <w:sz w:val="24"/>
        </w:rPr>
        <w:t>R. Craig Stillwell, Ph.D. Independent Researcher craig.stillwell@gmail.com 270-491-0493</w:t>
      </w:r>
    </w:p>
    <w:p>
      <w:pPr>
        <w:spacing w:after="160" w:before="0"/>
      </w:pPr>
      <w:r>
        <w:rPr>
          <w:rFonts w:ascii="Times New Roman" w:hAnsi="Times New Roman"/>
          <w:b w:val="0"/>
          <w:i w:val="0"/>
          <w:sz w:val="24"/>
        </w:rPr>
        <w:t>9 September 2026</w:t>
      </w:r>
    </w:p>
    <w:p>
      <w:pPr>
        <w:spacing w:after="160" w:before="0"/>
      </w:pPr>
      <w:r>
        <w:rPr>
          <w:rFonts w:ascii="Times New Roman" w:hAnsi="Times New Roman"/>
          <w:b w:val="0"/>
          <w:i w:val="0"/>
          <w:sz w:val="24"/>
        </w:rPr>
        <w:t>Sam Watson, Editor Trials</w:t>
      </w:r>
    </w:p>
    <w:p>
      <w:pPr>
        <w:spacing w:after="160" w:before="0"/>
      </w:pPr>
      <w:r>
        <w:rPr>
          <w:rFonts w:ascii="Times New Roman" w:hAnsi="Times New Roman"/>
          <w:b w:val="0"/>
          <w:i w:val="0"/>
          <w:sz w:val="24"/>
        </w:rPr>
        <w:t>Re: Submission ID 10975380-4561-4e88-b54d-6692abdfe004 — major revision</w:t>
      </w:r>
    </w:p>
    <w:p>
      <w:pPr>
        <w:spacing w:after="160" w:before="0"/>
      </w:pPr>
      <w:r>
        <w:rPr>
          <w:rFonts w:ascii="Times New Roman" w:hAnsi="Times New Roman"/>
          <w:b w:val="0"/>
          <w:i w:val="0"/>
          <w:sz w:val="24"/>
        </w:rPr>
        <w:t>Dear Dr Watson,</w:t>
      </w:r>
    </w:p>
    <w:p>
      <w:pPr>
        <w:spacing w:after="160" w:before="0"/>
      </w:pPr>
      <w:r>
        <w:rPr>
          <w:rFonts w:ascii="Times New Roman" w:hAnsi="Times New Roman"/>
          <w:b w:val="0"/>
          <w:i w:val="0"/>
          <w:sz w:val="24"/>
        </w:rPr>
        <w:t>Thank you for the opportunity to revise this manuscript. The reviewer showed that the original 15-study list mixed ineligible designs with pivotal trials, that a 50% female benchmark was applied to sex-restricted indications, and that the hierarchical variance split omitted residual variance. We rebuilt the eligible set, extracted enrollment from primary publications, changed the estimand to observed versus target-population expected share, and fitted a model that reports residual variance.</w:t>
      </w:r>
    </w:p>
    <w:p>
      <w:pPr>
        <w:spacing w:after="160" w:before="0"/>
      </w:pPr>
      <w:r>
        <w:rPr>
          <w:rFonts w:ascii="Times New Roman" w:hAnsi="Times New Roman"/>
          <w:b w:val="0"/>
          <w:i w:val="0"/>
          <w:sz w:val="24"/>
        </w:rPr>
        <w:t>The title is now: “Female enrollment versus target-population sex composition in pivotal infectious disease trials: a reconstructed Bayesian analysis of phase III/IV randomised trials.” We withdrew the 72% systemic-barrier claim and the 2068–2074 projections.</w:t>
      </w:r>
    </w:p>
    <w:p>
      <w:pPr>
        <w:spacing w:after="160" w:before="0"/>
      </w:pPr>
      <w:r>
        <w:rPr>
          <w:rFonts w:ascii="Times New Roman" w:hAnsi="Times New Roman"/>
          <w:b w:val="0"/>
          <w:i w:val="0"/>
          <w:sz w:val="24"/>
        </w:rPr>
        <w:t>Enclosed: revised manuscript, point-by-point response, figures, STROBE checklist, and a reproducibility package (Additional File 1) with the extraction table, screening log, code, and posterior draws.</w:t>
      </w:r>
    </w:p>
    <w:p>
      <w:pPr>
        <w:spacing w:after="160" w:before="0"/>
      </w:pPr>
      <w:r>
        <w:rPr>
          <w:rFonts w:ascii="Times New Roman" w:hAnsi="Times New Roman"/>
          <w:b w:val="0"/>
          <w:i w:val="0"/>
          <w:sz w:val="24"/>
        </w:rPr>
        <w:t>This research received no funding. I declare no competing interests.</w:t>
      </w:r>
    </w:p>
    <w:p>
      <w:pPr>
        <w:spacing w:after="160" w:before="0"/>
      </w:pPr>
      <w:r>
        <w:rPr>
          <w:rFonts w:ascii="Times New Roman" w:hAnsi="Times New Roman"/>
          <w:b w:val="0"/>
          <w:i w:val="0"/>
          <w:sz w:val="24"/>
        </w:rPr>
        <w:t>Sincerely,</w:t>
      </w:r>
    </w:p>
    <w:p>
      <w:pPr>
        <w:spacing w:after="160" w:before="0"/>
      </w:pPr>
      <w:r>
        <w:rPr>
          <w:rFonts w:ascii="Times New Roman" w:hAnsi="Times New Roman"/>
          <w:b w:val="0"/>
          <w:i w:val="0"/>
          <w:sz w:val="24"/>
        </w:rPr>
        <w:t>R. Craig Stillwell, Ph.D. Independent Researcher craig.stillwell@gmail.com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