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b/>
          <w:i w:val="0"/>
          <w:sz w:val="32"/>
        </w:rPr>
        <w:t>Female enrollment versus target-population sex composition in pivotal infectious disease trials: a reconstructed Bayesian analysis of phase III/IV randomised trials</w:t>
      </w:r>
    </w:p>
    <w:p>
      <w:pPr>
        <w:spacing w:after="160" w:before="0"/>
      </w:pPr>
      <w:r>
        <w:rPr>
          <w:rFonts w:ascii="Times New Roman" w:hAnsi="Times New Roman"/>
          <w:b w:val="0"/>
          <w:i w:val="0"/>
          <w:sz w:val="24"/>
        </w:rPr>
        <w:t>**Running title:** Target-population comparators for trial sex composition</w:t>
      </w:r>
    </w:p>
    <w:p>
      <w:pPr>
        <w:spacing w:after="160" w:before="0"/>
      </w:pPr>
      <w:r>
        <w:rPr>
          <w:rFonts w:ascii="Times New Roman" w:hAnsi="Times New Roman"/>
          <w:b w:val="0"/>
          <w:i w:val="0"/>
          <w:sz w:val="24"/>
        </w:rPr>
        <w:t>**Article type:** Research</w:t>
      </w:r>
    </w:p>
    <w:p>
      <w:pPr>
        <w:spacing w:after="160" w:before="0"/>
      </w:pPr>
      <w:r>
        <w:rPr>
          <w:rFonts w:ascii="Times New Roman" w:hAnsi="Times New Roman"/>
          <w:b w:val="0"/>
          <w:i w:val="0"/>
          <w:sz w:val="24"/>
        </w:rPr>
        <w:t>**Corresponding author:** R. Craig Stillwell, Ph.D. Independent Researcher Email: craig.stillwell@gmail.com Phone: 270-491-0493</w:t>
      </w:r>
    </w:p>
    <w:p>
      <w:pPr>
        <w:pStyle w:val="Heading1"/>
      </w:pPr>
      <w:r>
        <w:rPr>
          <w:rFonts w:ascii="Times New Roman" w:hAnsi="Times New Roman"/>
          <w:b/>
          <w:i w:val="0"/>
          <w:sz w:val="28"/>
        </w:rPr>
        <w:t>Abstract</w:t>
      </w:r>
    </w:p>
    <w:p>
      <w:pPr>
        <w:spacing w:after="160" w:before="0"/>
      </w:pPr>
      <w:r>
        <w:rPr>
          <w:rFonts w:ascii="Times New Roman" w:hAnsi="Times New Roman"/>
          <w:b w:val="0"/>
          <w:i w:val="0"/>
          <w:sz w:val="24"/>
        </w:rPr>
        <w:t>**Background:** Apparent female underrepresentation in infectious disease trials is often judged against an unconditional 50% benchmark. That benchmark is inappropriate when eligibility, indication, or target-population epidemiology imply a different expected sex mix.</w:t>
      </w:r>
    </w:p>
    <w:p>
      <w:pPr>
        <w:spacing w:after="160" w:before="0"/>
      </w:pPr>
      <w:r>
        <w:rPr>
          <w:rFonts w:ascii="Times New Roman" w:hAnsi="Times New Roman"/>
          <w:b w:val="0"/>
          <w:i w:val="0"/>
          <w:sz w:val="24"/>
        </w:rPr>
        <w:t>**Methods:** We reconstructed the analysis set from a previously submitted 15-study list. Eligibility required a phase III or II/III randomised trial in humans, with sex-stratified counts in the primary report. Phase I/II studies, observational cohorts, and nonhuman experiments were excluded. Sex-restricted trials were analysed separately. For mixed-sex trials, the estimand was the ratio of observed female enrollment to a trial-specific expected share given indication and eligibility. A Bayesian random-effects model summarised log-odds deviations from that expected share and partitioned remaining between-trial variance into disease-level and residual components. Time was omitted from the primary model because disease is aliased with calendar era.</w:t>
      </w:r>
    </w:p>
    <w:p>
      <w:pPr>
        <w:spacing w:after="160" w:before="0"/>
      </w:pPr>
      <w:r>
        <w:rPr>
          <w:rFonts w:ascii="Times New Roman" w:hAnsi="Times New Roman"/>
          <w:b w:val="0"/>
          <w:i w:val="0"/>
          <w:sz w:val="24"/>
        </w:rPr>
        <w:t>**Results:** Five of 15 originally named studies did not meet the stated eligibility criteria (two phase 1 Ebola studies, one nonhuman-primate experiment, one observational HIV cohort, and one phase 2 trial). Three HIV prevention trials were sex-restricted by design (VOICE and FEM-PrEP, 100% female; iPrEx, cisgender women ineligible). Ten mixed-sex pivotal trials formed the primary set (COVID-19 n=5; Ebola n=2; HIV n=3; N=150,907). Median enrollment ratio versus the trial-specific expected share was 0.98 (range 0.75–1.11). The largest shortfall was rVSV-ZEBOV ring vaccination (32% female among immediately vaccinated versus 43% among enumerated contacts), consistent with pregnancy and breastfeeding exclusion. PALM enrolled 55.6% female patients and included pregnant women. The Bayesian mean log-odds deviation from expected was −0.11 (95% credible interval −0.34 to 0.17). Disease-level versus residual variance could not be identified (disease proportion 95% CrI 0.0004–0.89). The previously reported 72%/28% split and 2068–2074 parity projections are withdrawn.</w:t>
      </w:r>
    </w:p>
    <w:p>
      <w:pPr>
        <w:spacing w:after="160" w:before="0"/>
      </w:pPr>
      <w:r>
        <w:rPr>
          <w:rFonts w:ascii="Times New Roman" w:hAnsi="Times New Roman"/>
          <w:b w:val="0"/>
          <w:i w:val="0"/>
          <w:sz w:val="24"/>
        </w:rPr>
        <w:t>**Conclusions:** In this reconstructed set, mixed-sex pivotal trials largely tracked their target populations. An unconditional 50% comparator misclassifies sex-specific indications and occupationally skewed samples. Pregnancy exclusion remains a measurable constraint in some prevention protocols. Variance decomposition into “systemic” versus “disease-specific” barriers is not identified with ten heterogeneous trials.</w:t>
      </w:r>
    </w:p>
    <w:p>
      <w:pPr>
        <w:spacing w:after="160" w:before="0"/>
      </w:pPr>
      <w:r>
        <w:rPr>
          <w:rFonts w:ascii="Times New Roman" w:hAnsi="Times New Roman"/>
          <w:b w:val="0"/>
          <w:i w:val="0"/>
          <w:sz w:val="24"/>
        </w:rPr>
        <w:t>**Keywords:** clinical trials; sex; enrollment; eligibility criteria; infectious diseases; Bayesian random-effects; pregnancy exclusion</w:t>
      </w:r>
    </w:p>
    <w:p>
      <w:pPr>
        <w:pStyle w:val="Heading1"/>
      </w:pPr>
      <w:r>
        <w:rPr>
          <w:rFonts w:ascii="Times New Roman" w:hAnsi="Times New Roman"/>
          <w:b/>
          <w:i w:val="0"/>
          <w:sz w:val="28"/>
        </w:rPr>
        <w:t>Background</w:t>
      </w:r>
    </w:p>
    <w:p>
      <w:pPr>
        <w:spacing w:after="160" w:before="0"/>
      </w:pPr>
      <w:r>
        <w:rPr>
          <w:rFonts w:ascii="Times New Roman" w:hAnsi="Times New Roman"/>
          <w:b w:val="0"/>
          <w:i w:val="0"/>
          <w:sz w:val="24"/>
        </w:rPr>
        <w:t>Sex-stratified enrollment is a basic requirement for judging whether a trial can support inference in women and men [1,2]. Underrepresentation of women has been documented across therapeutic areas and has consequences for adverse-event detection and dosing [2,3]. Those observations do not imply that every trial should be compared with a 50% female share. Expected composition depends on the intended use population, eligibility rules, and—when the trial enrolls a defined occupational or exposure group—the sex mix of that group.</w:t>
      </w:r>
    </w:p>
    <w:p>
      <w:pPr>
        <w:spacing w:after="160" w:before="0"/>
      </w:pPr>
      <w:r>
        <w:rPr>
          <w:rFonts w:ascii="Times New Roman" w:hAnsi="Times New Roman"/>
          <w:b w:val="0"/>
          <w:i w:val="0"/>
          <w:sz w:val="24"/>
        </w:rPr>
        <w:t>This revision reconstructs a previously submitted analysis that treated 15 named studies as phase III/IV randomised human trials and compared female enrollment with 50% throughout. Peer review identified ineligible designs in that list, misapplication of the 50% benchmark to sex-restricted HIV prevention trials, unidentified residual variance in the hierarchical model, inconsistent time scaling, and unavailable extraction files. We rebuilt the eligible set, extracted counts from primary publications, replaced the 50% benchmark with trial-specific expected shares, and fitted a model in which residual between-trial variance is reported.</w:t>
      </w:r>
    </w:p>
    <w:p>
      <w:pPr>
        <w:pStyle w:val="Heading1"/>
      </w:pPr>
      <w:r>
        <w:rPr>
          <w:rFonts w:ascii="Times New Roman" w:hAnsi="Times New Roman"/>
          <w:b/>
          <w:i w:val="0"/>
          <w:sz w:val="28"/>
        </w:rPr>
        <w:t>Methods</w:t>
      </w:r>
    </w:p>
    <w:p>
      <w:pPr>
        <w:pStyle w:val="Heading2"/>
      </w:pPr>
      <w:r>
        <w:rPr>
          <w:rFonts w:ascii="Times New Roman" w:hAnsi="Times New Roman"/>
          <w:b/>
          <w:i w:val="0"/>
          <w:sz w:val="24"/>
        </w:rPr>
        <w:t>Reconstruction of the eligible set</w:t>
      </w:r>
    </w:p>
    <w:p>
      <w:pPr>
        <w:spacing w:after="160" w:before="0"/>
      </w:pPr>
      <w:r>
        <w:rPr>
          <w:rFonts w:ascii="Times New Roman" w:hAnsi="Times New Roman"/>
          <w:b w:val="0"/>
          <w:i w:val="0"/>
          <w:sz w:val="24"/>
        </w:rPr>
        <w:t>The original submission listed 15 studies. We re-applied the stated criteria: (1) phase III or pivotal phase II/III randomised trial; (2) human participants; (3) sex-stratified enrollment extractable from the primary publication or ClinicalTrials.gov results tables; (4) COVID-19, Ebola, or HIV indication. We excluded phase I/II immunogenicity studies, observational cohorts, and nonhuman experiments. Sex-restricted trials (women-only or MSM/transgender-women indications) were eligible for a secondary analysis but not for the mixed-sex primary estimand.</w:t>
      </w:r>
    </w:p>
    <w:p>
      <w:pPr>
        <w:spacing w:after="160" w:before="0"/>
      </w:pPr>
      <w:r>
        <w:rPr>
          <w:rFonts w:ascii="Times New Roman" w:hAnsi="Times New Roman"/>
          <w:b w:val="0"/>
          <w:i w:val="0"/>
          <w:sz w:val="24"/>
        </w:rPr>
        <w:t>We added three pivotal mixed-sex phase III trials that met the same rules and had extractable Table 1 sex counts: Ad26.COV2.S ENSEMBLE [4], NVX-CoV2373 United Kingdom [5], and Partners PrEP [6]. The reconstruction log is Supplementary Table S1. This is a reconstructed, protocol-specified sample of pivotal trials, not a new multi-registry search of 2,847 records. The previous 2,847 / 67-trial funnel is withdrawn because a trial-level screening log with verifiable registry identifiers was not available.</w:t>
      </w:r>
    </w:p>
    <w:p>
      <w:pPr>
        <w:pStyle w:val="Heading2"/>
      </w:pPr>
      <w:r>
        <w:rPr>
          <w:rFonts w:ascii="Times New Roman" w:hAnsi="Times New Roman"/>
          <w:b/>
          <w:i w:val="0"/>
          <w:sz w:val="24"/>
        </w:rPr>
        <w:t>Data extraction</w:t>
      </w:r>
    </w:p>
    <w:p>
      <w:pPr>
        <w:spacing w:after="160" w:before="0"/>
      </w:pPr>
      <w:r>
        <w:rPr>
          <w:rFonts w:ascii="Times New Roman" w:hAnsi="Times New Roman"/>
          <w:b w:val="0"/>
          <w:i w:val="0"/>
          <w:sz w:val="24"/>
        </w:rPr>
        <w:t>For each included trial we recorded registry identifier, phase, design, analysis population as labelled in the source table, n, female n, pregnancy-related eligibility, and the citation. Counts were taken from the table that the paper used for baseline characteristics (safety population, per-protocol efficacy population, or randomised set, as reported). A single extractor (R.C.S.) recorded values; each count in Supplementary Table S2 is tied to a page-level source note. No fabricated sequential NCT identifiers were used.</w:t>
      </w:r>
    </w:p>
    <w:p>
      <w:pPr>
        <w:pStyle w:val="Heading2"/>
      </w:pPr>
      <w:r>
        <w:rPr>
          <w:rFonts w:ascii="Times New Roman" w:hAnsi="Times New Roman"/>
          <w:b/>
          <w:i w:val="0"/>
          <w:sz w:val="24"/>
        </w:rPr>
        <w:t>Expected female share</w:t>
      </w:r>
    </w:p>
    <w:p>
      <w:pPr>
        <w:spacing w:after="160" w:before="0"/>
      </w:pPr>
      <w:r>
        <w:rPr>
          <w:rFonts w:ascii="Times New Roman" w:hAnsi="Times New Roman"/>
          <w:b w:val="0"/>
          <w:i w:val="0"/>
          <w:sz w:val="24"/>
        </w:rPr>
        <w:t>The comparator was defined before modelling, trial by trial:</w:t>
      </w:r>
    </w:p>
    <w:p>
      <w:pPr>
        <w:pStyle w:val="ListBullet"/>
      </w:pPr>
      <w:r>
        <w:rPr>
          <w:rFonts w:ascii="Times New Roman" w:hAnsi="Times New Roman"/>
          <w:b w:val="0"/>
          <w:i w:val="0"/>
          <w:sz w:val="24"/>
        </w:rPr>
        <w:t>General adult COVID-19 vaccine trials: 0.50.</w:t>
      </w:r>
    </w:p>
    <w:p>
      <w:pPr>
        <w:pStyle w:val="ListBullet"/>
      </w:pPr>
      <w:r>
        <w:rPr>
          <w:rFonts w:ascii="Times New Roman" w:hAnsi="Times New Roman"/>
          <w:b w:val="0"/>
          <w:i w:val="0"/>
          <w:sz w:val="24"/>
        </w:rPr>
        <w:t>ChAdOx1 nCoV-19: 0.70, because enrollment targeted health-care workers and women comprise approximately 70% of the global health and care workforce [7].</w:t>
      </w:r>
    </w:p>
    <w:p>
      <w:pPr>
        <w:pStyle w:val="ListBullet"/>
      </w:pPr>
      <w:r>
        <w:rPr>
          <w:rFonts w:ascii="Times New Roman" w:hAnsi="Times New Roman"/>
          <w:b w:val="0"/>
          <w:i w:val="0"/>
          <w:sz w:val="24"/>
        </w:rPr>
        <w:t>rVSV-ZEBOV ring vaccination: 0.43, the female share among enumerated contacts [8].</w:t>
      </w:r>
    </w:p>
    <w:p>
      <w:pPr>
        <w:pStyle w:val="ListBullet"/>
      </w:pPr>
      <w:r>
        <w:rPr>
          <w:rFonts w:ascii="Times New Roman" w:hAnsi="Times New Roman"/>
          <w:b w:val="0"/>
          <w:i w:val="0"/>
          <w:sz w:val="24"/>
        </w:rPr>
        <w:t>PALM: 0.50 (unselected EVD inpatients).</w:t>
      </w:r>
    </w:p>
    <w:p>
      <w:pPr>
        <w:pStyle w:val="ListBullet"/>
      </w:pPr>
      <w:r>
        <w:rPr>
          <w:rFonts w:ascii="Times New Roman" w:hAnsi="Times New Roman"/>
          <w:b w:val="0"/>
          <w:i w:val="0"/>
          <w:sz w:val="24"/>
        </w:rPr>
        <w:t>HPTN 052 index partners: 0.50 (either sex eligible).</w:t>
      </w:r>
    </w:p>
    <w:p>
      <w:pPr>
        <w:pStyle w:val="ListBullet"/>
      </w:pPr>
      <w:r>
        <w:rPr>
          <w:rFonts w:ascii="Times New Roman" w:hAnsi="Times New Roman"/>
          <w:b w:val="0"/>
          <w:i w:val="0"/>
          <w:sz w:val="24"/>
        </w:rPr>
        <w:t>Partners PrEP HIV-uninfected partners: 0.38, matching the documented 62% male share among HIV-negative partners in that heterosexual serodiscordant-couple design [6].</w:t>
      </w:r>
    </w:p>
    <w:p>
      <w:pPr>
        <w:pStyle w:val="ListBullet"/>
      </w:pPr>
      <w:r>
        <w:rPr>
          <w:rFonts w:ascii="Times New Roman" w:hAnsi="Times New Roman"/>
          <w:b w:val="0"/>
          <w:i w:val="0"/>
          <w:sz w:val="24"/>
        </w:rPr>
        <w:t>Bangkok Tenofovir Study: 0.20, matching the ~80% male composition of the enrolled PWID population [9].</w:t>
      </w:r>
    </w:p>
    <w:p>
      <w:pPr>
        <w:pStyle w:val="ListBullet"/>
      </w:pPr>
      <w:r>
        <w:rPr>
          <w:rFonts w:ascii="Times New Roman" w:hAnsi="Times New Roman"/>
          <w:b w:val="0"/>
          <w:i w:val="0"/>
          <w:sz w:val="24"/>
        </w:rPr>
        <w:t>VOICE and FEM-PrEP: 1.00 (women-only).</w:t>
      </w:r>
    </w:p>
    <w:p>
      <w:pPr>
        <w:pStyle w:val="ListBullet"/>
      </w:pPr>
      <w:r>
        <w:rPr>
          <w:rFonts w:ascii="Times New Roman" w:hAnsi="Times New Roman"/>
          <w:b w:val="0"/>
          <w:i w:val="0"/>
          <w:sz w:val="24"/>
        </w:rPr>
        <w:t>iPrEx: 0 for cisgender women (male sex at birth required) [10].</w:t>
      </w:r>
    </w:p>
    <w:p>
      <w:pPr>
        <w:spacing w:after="160" w:before="0"/>
      </w:pPr>
      <w:r>
        <w:rPr>
          <w:rFonts w:ascii="Times New Roman" w:hAnsi="Times New Roman"/>
          <w:b w:val="0"/>
          <w:i w:val="0"/>
          <w:sz w:val="24"/>
        </w:rPr>
        <w:t>Enrollment ratio = observed female proportion / expected share. Ratio 1.0 means the trial matched its target-population comparator.</w:t>
      </w:r>
    </w:p>
    <w:p>
      <w:pPr>
        <w:pStyle w:val="Heading2"/>
      </w:pPr>
      <w:r>
        <w:rPr>
          <w:rFonts w:ascii="Times New Roman" w:hAnsi="Times New Roman"/>
          <w:b/>
          <w:i w:val="0"/>
          <w:sz w:val="24"/>
        </w:rPr>
        <w:t>Statistical analysis</w:t>
      </w:r>
    </w:p>
    <w:p>
      <w:pPr>
        <w:spacing w:after="160" w:before="0"/>
      </w:pPr>
      <w:r>
        <w:rPr>
          <w:rFonts w:ascii="Times New Roman" w:hAnsi="Times New Roman"/>
          <w:b w:val="0"/>
          <w:i w:val="0"/>
          <w:sz w:val="24"/>
        </w:rPr>
        <w:t>Wilson 95% confidence intervals were computed for each observed proportion. The primary Bayesian model used trial-level log-odds deviations \(\hat\theta_i=\mathrm{logit}(p_i)-\mathrm{logit}(\pi_i)\) with known sampling variances \(s_i^2=1/[n_i p_i(1-p_i)]\):</w:t>
      </w:r>
    </w:p>
    <w:p>
      <w:pPr>
        <w:spacing w:after="160" w:before="0"/>
      </w:pPr>
      <w:r>
        <w:rPr>
          <w:rFonts w:ascii="Times New Roman" w:hAnsi="Times New Roman"/>
          <w:b w:val="0"/>
          <w:i w:val="0"/>
          <w:sz w:val="24"/>
        </w:rPr>
        <w:t>\[\hat\theta_i \sim \mathrm{Normal}(\alpha + \delta_{d[i]},\; s_i^2 + \tau^2),\quad \delta_d\sim\mathrm{Normal}(0,\sigma_\delta^2).\]</w:t>
      </w:r>
    </w:p>
    <w:p>
      <w:pPr>
        <w:spacing w:after="160" w:before="0"/>
      </w:pPr>
      <w:r>
        <w:rPr>
          <w:rFonts w:ascii="Times New Roman" w:hAnsi="Times New Roman"/>
          <w:b w:val="0"/>
          <w:i w:val="0"/>
          <w:sz w:val="24"/>
        </w:rPr>
        <w:t>Priors: \(\alpha\sim\mathrm{Normal}(0,1)\); \(\tau,\sigma_\delta\sim\mathrm{HalfNormal}(0.5)\). The observational unit is the trial. \(\alpha\) is the mean log-odds deviation from the trial-specific expected share. \(\tau^2\) is residual between-trial variance; \(\sigma_\delta^2\) is disease-level variance. Their sum is the between-trial variance of the linear predictor; binomial sampling variance is already in \(s_i^2\). Posterior samples used componentwise Metropolis–Hastings (20,000 iterations; 5,000 discarded; seed 42).</w:t>
      </w:r>
    </w:p>
    <w:p>
      <w:pPr>
        <w:spacing w:after="160" w:before="0"/>
      </w:pPr>
      <w:r>
        <w:rPr>
          <w:rFonts w:ascii="Times New Roman" w:hAnsi="Times New Roman"/>
          <w:b w:val="0"/>
          <w:i w:val="0"/>
          <w:sz w:val="24"/>
        </w:rPr>
        <w:t>Time (years or decades) was not included in the primary model. COVID-19 trials are all 2020, Ebola 2015–2019, and HIV 2008–2011; a global slope is not separately identified from disease.</w:t>
      </w:r>
    </w:p>
    <w:p>
      <w:pPr>
        <w:spacing w:after="160" w:before="0"/>
      </w:pPr>
      <w:r>
        <w:rPr>
          <w:rFonts w:ascii="Times New Roman" w:hAnsi="Times New Roman"/>
          <w:b w:val="0"/>
          <w:i w:val="0"/>
          <w:sz w:val="24"/>
        </w:rPr>
        <w:t>Sensitivity analyses: (i) replace every mixed-sex expected share with 0.50; (ii) drop the health-care-worker trial; (iii) drop rVSV-ZEBOV. Long-range parity projections to 2068–2074 are not reported.</w:t>
      </w:r>
    </w:p>
    <w:p>
      <w:pPr>
        <w:spacing w:after="160" w:before="0"/>
      </w:pPr>
      <w:r>
        <w:rPr>
          <w:rFonts w:ascii="Times New Roman" w:hAnsi="Times New Roman"/>
          <w:b w:val="0"/>
          <w:i w:val="0"/>
          <w:sz w:val="24"/>
        </w:rPr>
        <w:t>Analyses used Python 3.9+ (NumPy, SciPy, pandas). Code, extraction tables, and posterior draws are in the reproducibility package submitted as an additional file.</w:t>
      </w:r>
    </w:p>
    <w:p>
      <w:pPr>
        <w:pStyle w:val="Heading2"/>
      </w:pPr>
      <w:r>
        <w:rPr>
          <w:rFonts w:ascii="Times New Roman" w:hAnsi="Times New Roman"/>
          <w:b/>
          <w:i w:val="0"/>
          <w:sz w:val="24"/>
        </w:rPr>
        <w:t>Terminology and reporting</w:t>
      </w:r>
    </w:p>
    <w:p>
      <w:pPr>
        <w:spacing w:after="160" w:before="0"/>
      </w:pPr>
      <w:r>
        <w:rPr>
          <w:rFonts w:ascii="Times New Roman" w:hAnsi="Times New Roman"/>
          <w:b w:val="0"/>
          <w:i w:val="0"/>
          <w:sz w:val="24"/>
        </w:rPr>
        <w:t>Trial reports record sex as female/male. We use *sex* for those categories. This observational analysis of published trial reports follows STROBE (Supplementary File S3).</w:t>
      </w:r>
    </w:p>
    <w:p>
      <w:pPr>
        <w:pStyle w:val="Heading1"/>
      </w:pPr>
      <w:r>
        <w:rPr>
          <w:rFonts w:ascii="Times New Roman" w:hAnsi="Times New Roman"/>
          <w:b/>
          <w:i w:val="0"/>
          <w:sz w:val="28"/>
        </w:rPr>
        <w:t>Results</w:t>
      </w:r>
    </w:p>
    <w:p>
      <w:pPr>
        <w:pStyle w:val="Heading2"/>
      </w:pPr>
      <w:r>
        <w:rPr>
          <w:rFonts w:ascii="Times New Roman" w:hAnsi="Times New Roman"/>
          <w:b/>
          <w:i w:val="0"/>
          <w:sz w:val="24"/>
        </w:rPr>
        <w:t>Reconstruction</w:t>
      </w:r>
    </w:p>
    <w:p>
      <w:pPr>
        <w:spacing w:after="160" w:before="0"/>
      </w:pPr>
      <w:r>
        <w:rPr>
          <w:rFonts w:ascii="Times New Roman" w:hAnsi="Times New Roman"/>
          <w:b w:val="0"/>
          <w:i w:val="0"/>
          <w:sz w:val="24"/>
        </w:rPr>
        <w:t>Of 15 originally named studies, five were ineligible: Tapia et al. (ChAd3-EBO-Z) and Milligan et al. (Ad26/MVA) are phase 1 [11,12]; Qiu et al. is a nonhuman-primate ZMapp experiment [13]; PARTNER is observational [14]; Peterson et al. is labelled phase 2 in the source paper [15]. Three trials were sex-restricted: VOICE, 5,029 women [16]; FEM-PrEP, 2,120 women [17]; iPrEx, 2,499 MSM and transgender women, with 29 participants (1.2%) identifying as women [10]. Seven original mixed-sex trials were retained after count correction. Three mixed-sex phase III trials were added. The primary set is 10 trials (N=150,907). Supplementary Figure S1 shows the reconstruction flow.</w:t>
      </w:r>
    </w:p>
    <w:p>
      <w:pPr>
        <w:spacing w:after="160" w:before="0"/>
      </w:pPr>
      <w:r>
        <w:rPr>
          <w:rFonts w:ascii="Times New Roman" w:hAnsi="Times New Roman"/>
          <w:b w:val="0"/>
          <w:i w:val="0"/>
          <w:sz w:val="24"/>
        </w:rPr>
        <w:t>Corrected counts differ substantially from the submitted table. Examples: BNT162b2 49.4% female (18,631/37,706), not 34.3% [18]; mRNA-1273 47.3% (14,366/30,351) [19]; HPTN 052 49.5% female index partners (873/1,763), not 32.8% of n=5,876 [20]; Bangkok Tenofovir 20.2% female (487/2,413), not 38.9% of n=6,184 [9]; PALM 55.6% female (374/673), not 36.8% of n=5,686 [21]. VOICE and FEM-PrEP are 100% female, not ~35–37%.</w:t>
      </w:r>
    </w:p>
    <w:p>
      <w:pPr>
        <w:pStyle w:val="Heading2"/>
      </w:pPr>
      <w:r>
        <w:rPr>
          <w:rFonts w:ascii="Times New Roman" w:hAnsi="Times New Roman"/>
          <w:b/>
          <w:i w:val="0"/>
          <w:sz w:val="24"/>
        </w:rPr>
        <w:t>Mixed-sex enrollment versus expected share</w:t>
      </w:r>
    </w:p>
    <w:p>
      <w:pPr>
        <w:spacing w:after="160" w:before="0"/>
      </w:pPr>
      <w:r>
        <w:rPr>
          <w:rFonts w:ascii="Times New Roman" w:hAnsi="Times New Roman"/>
          <w:b w:val="0"/>
          <w:i w:val="0"/>
          <w:sz w:val="24"/>
        </w:rPr>
        <w:t>Table 1 and Figure 1 show observed versus expected shares. Median ratio was 0.98. COVID-19 general-adult vaccine trials ranged from 45.0% (Ad26.COV2.S) to 49.4% (BNT162b2) against 50% expected. ChAdOx1 nCoV-19 enrolled 60.5% women in a health-care-worker-enriched sample, below a 70% workforce comparator but far above 50% [7,22]. HIV mixed-sex trials tracked their comparators: HPTN 052 49.5% versus 50%; Partners PrEP 37.6% versus 38%; Bangkok 20.2% versus 20%. PALM enrolled 55.6% women and reported that 6.1% of female participants were pregnant at EVD diagnosis [21]. rVSV-ZEBOV immediately vaccinated contacts were 32% women versus 43% among enumerated contacts [8]; eligibility excluded pregnant and breastfeeding individuals.</w:t>
      </w:r>
    </w:p>
    <w:p>
      <w:pPr>
        <w:pStyle w:val="Heading2"/>
      </w:pPr>
      <w:r>
        <w:rPr>
          <w:rFonts w:ascii="Times New Roman" w:hAnsi="Times New Roman"/>
          <w:b/>
          <w:i w:val="0"/>
          <w:sz w:val="24"/>
        </w:rPr>
        <w:t>Bayesian summary and variance components</w:t>
      </w:r>
    </w:p>
    <w:p>
      <w:pPr>
        <w:spacing w:after="160" w:before="0"/>
      </w:pPr>
      <w:r>
        <w:rPr>
          <w:rFonts w:ascii="Times New Roman" w:hAnsi="Times New Roman"/>
          <w:b w:val="0"/>
          <w:i w:val="0"/>
          <w:sz w:val="24"/>
        </w:rPr>
        <w:t>The posterior mean of \(\alpha\) was −0.11 (95% CrI −0.34 to 0.17), compatible with no mean deviation from the trial-specific expected share. Residual SD \(\tau\) was 0.22 (0.13–0.40). Disease-level SD \(\sigma_\delta\) was 0.15 (0.005–0.61). The residual share of between-trial variance had 95% CrI 0.11–1.00. A 72%/28% systemic-versus-disease split is not supported. Inverse-variance pooling, which is dominated by the largest COVID-19 trials, gave a mean log-odds deviation of −0.12 (SE 0.044). After dropping rVSV-ZEBOV, \(\alpha\) was −0.01 (−0.26 to 0.29). Replacing all expected shares with 0.50 produced a more negative mean (α −0.33, CrI −1.09 to 0.22), illustrating that the unconditional 50% benchmark, not a shared recruitment process, generates the appearance of large “systemic” underrepresentation.</w:t>
      </w:r>
    </w:p>
    <w:p>
      <w:pPr>
        <w:pStyle w:val="Heading2"/>
      </w:pPr>
      <w:r>
        <w:rPr>
          <w:rFonts w:ascii="Times New Roman" w:hAnsi="Times New Roman"/>
          <w:b/>
          <w:i w:val="0"/>
          <w:sz w:val="24"/>
        </w:rPr>
        <w:t>Sex-restricted trials</w:t>
      </w:r>
    </w:p>
    <w:p>
      <w:pPr>
        <w:spacing w:after="160" w:before="0"/>
      </w:pPr>
      <w:r>
        <w:rPr>
          <w:rFonts w:ascii="Times New Roman" w:hAnsi="Times New Roman"/>
          <w:b w:val="0"/>
          <w:i w:val="0"/>
          <w:sz w:val="24"/>
        </w:rPr>
        <w:t>VOICE and FEM-PrEP enrolled only women, as designed [16,17]. iPrEx excluded cisgender women by eligibility [10]. Comparing these trials with 50% is not a valid estimand.</w:t>
      </w:r>
    </w:p>
    <w:p>
      <w:pPr>
        <w:pStyle w:val="Heading2"/>
      </w:pPr>
      <w:r>
        <w:rPr>
          <w:rFonts w:ascii="Times New Roman" w:hAnsi="Times New Roman"/>
          <w:b/>
          <w:i w:val="0"/>
          <w:sz w:val="24"/>
        </w:rPr>
        <w:t>Protocol features</w:t>
      </w:r>
    </w:p>
    <w:p>
      <w:pPr>
        <w:spacing w:after="160" w:before="0"/>
      </w:pPr>
      <w:r>
        <w:rPr>
          <w:rFonts w:ascii="Times New Roman" w:hAnsi="Times New Roman"/>
          <w:b w:val="0"/>
          <w:i w:val="0"/>
          <w:sz w:val="24"/>
        </w:rPr>
        <w:t>Pregnancy exclusion at entry was present in the COVID-19 vaccine trials and in rVSV-ZEBOV, and women in Partners PrEP were not pregnant at enrollment [6]. PALM did not exclude pregnancy [21]. These features are descriptive; they were not entered as covariates in the hierarchical model.</w:t>
      </w:r>
    </w:p>
    <w:p>
      <w:pPr>
        <w:pStyle w:val="Heading1"/>
      </w:pPr>
      <w:r>
        <w:rPr>
          <w:rFonts w:ascii="Times New Roman" w:hAnsi="Times New Roman"/>
          <w:b/>
          <w:i w:val="0"/>
          <w:sz w:val="28"/>
        </w:rPr>
        <w:t>Discussion</w:t>
      </w:r>
    </w:p>
    <w:p>
      <w:pPr>
        <w:spacing w:after="160" w:before="0"/>
      </w:pPr>
      <w:r>
        <w:rPr>
          <w:rFonts w:ascii="Times New Roman" w:hAnsi="Times New Roman"/>
          <w:b w:val="0"/>
          <w:i w:val="0"/>
          <w:sz w:val="24"/>
        </w:rPr>
        <w:t>After eligible designs are restored and the comparator is the target population, mixed-sex pivotal trials in this set do not show a uniform 34–36% female share. COVID-19 vaccine trials sit near 45–49%; HIV couple and PWID trials match their epidemiology; the Ebola treatment trial enrolled a female majority and included pregnant patients. The remaining, interpretable shortfall is rVSV-ZEBOV, where pregnancy and breastfeeding exclusions reduced female share relative to enumerated contacts.</w:t>
      </w:r>
    </w:p>
    <w:p>
      <w:pPr>
        <w:spacing w:after="160" w:before="0"/>
      </w:pPr>
      <w:r>
        <w:rPr>
          <w:rFonts w:ascii="Times New Roman" w:hAnsi="Times New Roman"/>
          <w:b w:val="0"/>
          <w:i w:val="0"/>
          <w:sz w:val="24"/>
        </w:rPr>
        <w:t>The original 72% “systemic barriers” claim treated a global time trend as a variance component, omitted residual trial-level variance, and used ineligible studies. With ten mixed-sex trials and three diseases, disease-level variance is not separately identified from residual heterogeneity. We report that uncertainty rather than a point percentage.</w:t>
      </w:r>
    </w:p>
    <w:p>
      <w:pPr>
        <w:spacing w:after="160" w:before="0"/>
      </w:pPr>
      <w:r>
        <w:rPr>
          <w:rFonts w:ascii="Times New Roman" w:hAnsi="Times New Roman"/>
          <w:b w:val="0"/>
          <w:i w:val="0"/>
          <w:sz w:val="24"/>
        </w:rPr>
        <w:t>We do not project parity years. A global time slope cannot be separated from disease in this sample, and the previous 2068–2074 figures used incorrect counts and an unidentified model.</w:t>
      </w:r>
    </w:p>
    <w:p>
      <w:pPr>
        <w:pStyle w:val="Heading2"/>
      </w:pPr>
      <w:r>
        <w:rPr>
          <w:rFonts w:ascii="Times New Roman" w:hAnsi="Times New Roman"/>
          <w:b/>
          <w:i w:val="0"/>
          <w:sz w:val="24"/>
        </w:rPr>
        <w:t>Limitations</w:t>
      </w:r>
    </w:p>
    <w:p>
      <w:pPr>
        <w:spacing w:after="160" w:before="0"/>
      </w:pPr>
      <w:r>
        <w:rPr>
          <w:rFonts w:ascii="Times New Roman" w:hAnsi="Times New Roman"/>
          <w:b w:val="0"/>
          <w:i w:val="0"/>
          <w:sz w:val="24"/>
        </w:rPr>
        <w:t>The sample is a reconstructed pivotal-trial set, not a comprehensive registry census. Expected shares depend on documented design features; the 0.70 health-care-worker comparator is a published workforce average, not the exact occupational mix at ChAdOx1 sites. Extraction was performed by one reviewer. PALM is phase II/III. Geographic site-level sex mix was rarely published and is unmodelled. The Bayesian variance split has wide credible intervals and should not be used for policy ranking of “systemic” versus “disease-specific” causes.</w:t>
      </w:r>
    </w:p>
    <w:p>
      <w:pPr>
        <w:pStyle w:val="Heading1"/>
      </w:pPr>
      <w:r>
        <w:rPr>
          <w:rFonts w:ascii="Times New Roman" w:hAnsi="Times New Roman"/>
          <w:b/>
          <w:i w:val="0"/>
          <w:sz w:val="28"/>
        </w:rPr>
        <w:t>Conclusions</w:t>
      </w:r>
    </w:p>
    <w:p>
      <w:pPr>
        <w:spacing w:after="160" w:before="0"/>
      </w:pPr>
      <w:r>
        <w:rPr>
          <w:rFonts w:ascii="Times New Roman" w:hAnsi="Times New Roman"/>
          <w:b w:val="0"/>
          <w:i w:val="0"/>
          <w:sz w:val="24"/>
        </w:rPr>
        <w:t>In a reconstructed set of 10 mixed-sex phase III/II–III infectious disease trials, female enrollment generally matched trial-specific expected shares. Sex-restricted HIV prevention trials should not be scored against 50%. Pregnancy exclusion in ring vaccination is a concrete protocol constraint. Hierarchical variance decomposition of “systemic” versus “disease-specific” barriers is not identified here and is not reported as a policy estimand.</w:t>
      </w:r>
    </w:p>
    <w:p>
      <w:pPr>
        <w:pStyle w:val="Heading1"/>
      </w:pPr>
      <w:r>
        <w:rPr>
          <w:rFonts w:ascii="Times New Roman" w:hAnsi="Times New Roman"/>
          <w:b/>
          <w:i w:val="0"/>
          <w:sz w:val="28"/>
        </w:rPr>
        <w:t>Declarations</w:t>
      </w:r>
    </w:p>
    <w:p>
      <w:pPr>
        <w:spacing w:after="160" w:before="0"/>
      </w:pPr>
      <w:r>
        <w:rPr>
          <w:rFonts w:ascii="Times New Roman" w:hAnsi="Times New Roman"/>
          <w:b w:val="0"/>
          <w:i w:val="0"/>
          <w:sz w:val="24"/>
        </w:rPr>
        <w:t>**Ethics approval and consent to participate:** Not applicable. This study used published aggregate trial reports. No individual participant data were accessed.</w:t>
      </w:r>
    </w:p>
    <w:p>
      <w:pPr>
        <w:spacing w:after="160" w:before="0"/>
      </w:pPr>
      <w:r>
        <w:rPr>
          <w:rFonts w:ascii="Times New Roman" w:hAnsi="Times New Roman"/>
          <w:b w:val="0"/>
          <w:i w:val="0"/>
          <w:sz w:val="24"/>
        </w:rPr>
        <w:t>**Consent for publication:** Not applicable.</w:t>
      </w:r>
    </w:p>
    <w:p>
      <w:pPr>
        <w:spacing w:after="160" w:before="0"/>
      </w:pPr>
      <w:r>
        <w:rPr>
          <w:rFonts w:ascii="Times New Roman" w:hAnsi="Times New Roman"/>
          <w:b w:val="0"/>
          <w:i w:val="0"/>
          <w:sz w:val="24"/>
        </w:rPr>
        <w:t>**Availability of data and materials:** Extraction tables, screening log, analysis code, and posterior draws are in Additional File 1 (reproducibility package). All source counts are from cited publications and ClinicalTrials.gov.</w:t>
      </w:r>
    </w:p>
    <w:p>
      <w:pPr>
        <w:spacing w:after="160" w:before="0"/>
      </w:pPr>
      <w:r>
        <w:rPr>
          <w:rFonts w:ascii="Times New Roman" w:hAnsi="Times New Roman"/>
          <w:b w:val="0"/>
          <w:i w:val="0"/>
          <w:sz w:val="24"/>
        </w:rPr>
        <w:t>**Competing interests:** The author declares no competing interests.</w:t>
      </w:r>
    </w:p>
    <w:p>
      <w:pPr>
        <w:spacing w:after="160" w:before="0"/>
      </w:pPr>
      <w:r>
        <w:rPr>
          <w:rFonts w:ascii="Times New Roman" w:hAnsi="Times New Roman"/>
          <w:b w:val="0"/>
          <w:i w:val="0"/>
          <w:sz w:val="24"/>
        </w:rPr>
        <w:t>**Funding:** None.</w:t>
      </w:r>
    </w:p>
    <w:p>
      <w:pPr>
        <w:spacing w:after="160" w:before="0"/>
      </w:pPr>
      <w:r>
        <w:rPr>
          <w:rFonts w:ascii="Times New Roman" w:hAnsi="Times New Roman"/>
          <w:b w:val="0"/>
          <w:i w:val="0"/>
          <w:sz w:val="24"/>
        </w:rPr>
        <w:t>**Authors’ contributions:** R.C.S. designed the reconstruction, extracted data, wrote the code, fitted the models, and wrote the manuscript.</w:t>
      </w:r>
    </w:p>
    <w:p>
      <w:pPr>
        <w:spacing w:after="160" w:before="0"/>
      </w:pPr>
      <w:r>
        <w:rPr>
          <w:rFonts w:ascii="Times New Roman" w:hAnsi="Times New Roman"/>
          <w:b w:val="0"/>
          <w:i w:val="0"/>
          <w:sz w:val="24"/>
        </w:rPr>
        <w:t>**Acknowledgements:** The author thanks the original trial participants and investigators who reported sex-stratified enrollment.</w:t>
      </w:r>
    </w:p>
    <w:p>
      <w:pPr>
        <w:pStyle w:val="Heading1"/>
      </w:pPr>
      <w:r>
        <w:rPr>
          <w:rFonts w:ascii="Times New Roman" w:hAnsi="Times New Roman"/>
          <w:b/>
          <w:i w:val="0"/>
          <w:sz w:val="28"/>
        </w:rPr>
        <w:t>References</w:t>
      </w:r>
    </w:p>
    <w:p>
      <w:pPr>
        <w:spacing w:after="160" w:before="0"/>
      </w:pPr>
      <w:r>
        <w:rPr>
          <w:rFonts w:ascii="Times New Roman" w:hAnsi="Times New Roman"/>
          <w:b w:val="0"/>
          <w:i w:val="0"/>
          <w:sz w:val="24"/>
        </w:rPr>
        <w:t>1. Clayton JA, Tannenbaum C. Reporting sex, gender, or both in clinical research? JAMA. 2016;316:1863–1864. doi:10.1001/jama.2016.16405.</w:t>
      </w:r>
    </w:p>
    <w:p>
      <w:pPr>
        <w:spacing w:after="160" w:before="0"/>
      </w:pPr>
      <w:r>
        <w:rPr>
          <w:rFonts w:ascii="Times New Roman" w:hAnsi="Times New Roman"/>
          <w:b w:val="0"/>
          <w:i w:val="0"/>
          <w:sz w:val="24"/>
        </w:rPr>
        <w:t>2. Feldman S, Ammar W, Lo K, Trepman E, van Zuylen L, Etzioni O. Quantifying sex bias in clinical studies at scale with automated data extraction. JAMA Netw Open. 2019;2:e196700. doi:10.1001/jamanetworkopen.2019.6700.</w:t>
      </w:r>
    </w:p>
    <w:p>
      <w:pPr>
        <w:spacing w:after="160" w:before="0"/>
      </w:pPr>
      <w:r>
        <w:rPr>
          <w:rFonts w:ascii="Times New Roman" w:hAnsi="Times New Roman"/>
          <w:b w:val="0"/>
          <w:i w:val="0"/>
          <w:sz w:val="24"/>
        </w:rPr>
        <w:t>3. Zucker I, Prendergast BJ. Sex differences in pharmacokinetics predict adverse drug reactions in women. Biol Sex Differ. 2020;11:32. doi:10.1186/s13293-020-00308-5.</w:t>
      </w:r>
    </w:p>
    <w:p>
      <w:pPr>
        <w:spacing w:after="160" w:before="0"/>
      </w:pPr>
      <w:r>
        <w:rPr>
          <w:rFonts w:ascii="Times New Roman" w:hAnsi="Times New Roman"/>
          <w:b w:val="0"/>
          <w:i w:val="0"/>
          <w:sz w:val="24"/>
        </w:rPr>
        <w:t>4. Sadoff J, Gray G, Vandebosch A, Cárdenas V, Shukarev G, Grinsztejn B, et al. Safety and efficacy of single-dose Ad26.COV2.S vaccine against Covid-19. N Engl J Med. 2021;384:2187–2201. doi:10.1056/NEJMoa2101544.</w:t>
      </w:r>
    </w:p>
    <w:p>
      <w:pPr>
        <w:spacing w:after="160" w:before="0"/>
      </w:pPr>
      <w:r>
        <w:rPr>
          <w:rFonts w:ascii="Times New Roman" w:hAnsi="Times New Roman"/>
          <w:b w:val="0"/>
          <w:i w:val="0"/>
          <w:sz w:val="24"/>
        </w:rPr>
        <w:t>5. Heath PT, Galiza EP, Baxter DN, Boffito M, Browne D, Burns F, et al. Safety and efficacy of NVX-CoV2373 Covid-19 vaccine. N Engl J Med. 2021;385:1172–1183. doi:10.1056/NEJMoa2107659.</w:t>
      </w:r>
    </w:p>
    <w:p>
      <w:pPr>
        <w:spacing w:after="160" w:before="0"/>
      </w:pPr>
      <w:r>
        <w:rPr>
          <w:rFonts w:ascii="Times New Roman" w:hAnsi="Times New Roman"/>
          <w:b w:val="0"/>
          <w:i w:val="0"/>
          <w:sz w:val="24"/>
        </w:rPr>
        <w:t>6. Baeten JM, Donnell D, Ndase P, Mugo NR, Campbell JD, Wangisi J, et al. Antiretroviral prophylaxis for HIV prevention in heterosexual men and women. N Engl J Med. 2012;367:399–410. doi:10.1056/NEJMoa1108524.</w:t>
      </w:r>
    </w:p>
    <w:p>
      <w:pPr>
        <w:spacing w:after="160" w:before="0"/>
      </w:pPr>
      <w:r>
        <w:rPr>
          <w:rFonts w:ascii="Times New Roman" w:hAnsi="Times New Roman"/>
          <w:b w:val="0"/>
          <w:i w:val="0"/>
          <w:sz w:val="24"/>
        </w:rPr>
        <w:t>7. World Health Organization. Closing the leadership gap: gender equity and leadership in the global health and care workforce. Geneva: WHO; 2021. https://www.who.int/publications/i/item/9789240025905.</w:t>
      </w:r>
    </w:p>
    <w:p>
      <w:pPr>
        <w:spacing w:after="160" w:before="0"/>
      </w:pPr>
      <w:r>
        <w:rPr>
          <w:rFonts w:ascii="Times New Roman" w:hAnsi="Times New Roman"/>
          <w:b w:val="0"/>
          <w:i w:val="0"/>
          <w:sz w:val="24"/>
        </w:rPr>
        <w:t>8. Henao-Restrepo AM, Camacho A, Longini IM, Watson CH, Edmunds WJ, Egger M, et al. Efficacy and effectiveness of an rVSV-vectored vaccine in preventing Ebola virus disease: final results from the Guinea ring vaccination, open-label, cluster-randomised trial (Ebola Ça Suffit!). Lancet. 2017;389:505–518. doi:10.1016/S0140-6736(16)32621-6.</w:t>
      </w:r>
    </w:p>
    <w:p>
      <w:pPr>
        <w:spacing w:after="160" w:before="0"/>
      </w:pPr>
      <w:r>
        <w:rPr>
          <w:rFonts w:ascii="Times New Roman" w:hAnsi="Times New Roman"/>
          <w:b w:val="0"/>
          <w:i w:val="0"/>
          <w:sz w:val="24"/>
        </w:rPr>
        <w:t>9. Choopanya K, Martin M, Suntharasamai P, Sangkum U, Mock PA, Leethochawalit M, et al. Antiretroviral prophylaxis for HIV infection in injecting drug users in Bangkok, Thailand (the Bangkok Tenofovir Study): a randomised, double-blind, placebo-controlled phase 3 trial. Lancet. 2013;381:2083–2090. doi:10.1016/S0140-6736(13)61127-7.</w:t>
      </w:r>
    </w:p>
    <w:p>
      <w:pPr>
        <w:spacing w:after="160" w:before="0"/>
      </w:pPr>
      <w:r>
        <w:rPr>
          <w:rFonts w:ascii="Times New Roman" w:hAnsi="Times New Roman"/>
          <w:b w:val="0"/>
          <w:i w:val="0"/>
          <w:sz w:val="24"/>
        </w:rPr>
        <w:t>10. Grant RM, Lama JR, Anderson PL, McMahan V, Liu AY, Vargas L, et al. Preexposure chemoprophylaxis for HIV prevention in men who have sex with men. N Engl J Med. 2010;363:2587–2599. doi:10.1056/NEJMoa1011205.</w:t>
      </w:r>
    </w:p>
    <w:p>
      <w:pPr>
        <w:spacing w:after="160" w:before="0"/>
      </w:pPr>
      <w:r>
        <w:rPr>
          <w:rFonts w:ascii="Times New Roman" w:hAnsi="Times New Roman"/>
          <w:b w:val="0"/>
          <w:i w:val="0"/>
          <w:sz w:val="24"/>
        </w:rPr>
        <w:t>11. Tapia MD, Sow SO, Lyke KE, Haidara FC, Diallo F, Doumbia M, et al. Use of ChAd3-EBO-Z Ebola virus vaccine in Malian and US adults, and boosting of Malian adults with MVA-BN-Filo: a phase 1, randomised, double-blind, dummy-controlled trial. Lancet Infect Dis. 2016;16:31–42. doi:10.1016/S1473-3099(15)00362-X.</w:t>
      </w:r>
    </w:p>
    <w:p>
      <w:pPr>
        <w:spacing w:after="160" w:before="0"/>
      </w:pPr>
      <w:r>
        <w:rPr>
          <w:rFonts w:ascii="Times New Roman" w:hAnsi="Times New Roman"/>
          <w:b w:val="0"/>
          <w:i w:val="0"/>
          <w:sz w:val="24"/>
        </w:rPr>
        <w:t>12. Milligan ID, Gibani MM, Sewell R, Clutterbuck EA, Campbell D, Plested E, et al. Safety and immunogenicity of novel adenovirus type 26- and modified vaccinia Ankara-vectored Ebola vaccines: a randomized clinical trial. JAMA. 2016;315:1610–1623. doi:10.1001/jama.2016.4218.</w:t>
      </w:r>
    </w:p>
    <w:p>
      <w:pPr>
        <w:spacing w:after="160" w:before="0"/>
      </w:pPr>
      <w:r>
        <w:rPr>
          <w:rFonts w:ascii="Times New Roman" w:hAnsi="Times New Roman"/>
          <w:b w:val="0"/>
          <w:i w:val="0"/>
          <w:sz w:val="24"/>
        </w:rPr>
        <w:t>13. Qiu X, Wong G, Audet J, Bello A, Fernando L, Alimonti JB, et al. Reversion of advanced Ebola virus disease in nonhuman primates with ZMapp. Nature. 2014;514:47–53. doi:10.1038/nature13777.</w:t>
      </w:r>
    </w:p>
    <w:p>
      <w:pPr>
        <w:spacing w:after="160" w:before="0"/>
      </w:pPr>
      <w:r>
        <w:rPr>
          <w:rFonts w:ascii="Times New Roman" w:hAnsi="Times New Roman"/>
          <w:b w:val="0"/>
          <w:i w:val="0"/>
          <w:sz w:val="24"/>
        </w:rPr>
        <w:t>14. Rodger AJ, Cambiano V, Bruun T, Vernazza P, Collins S, van Lunzen J, et al. Sexual activity without condoms and risk of HIV transmission in serodifferent couples when the HIV-positive partner is using suppressive antiretroviral therapy: the PARTNER study. JAMA. 2016;316:171–181. doi:10.1001/jama.2016.5148.</w:t>
      </w:r>
    </w:p>
    <w:p>
      <w:pPr>
        <w:spacing w:after="160" w:before="0"/>
      </w:pPr>
      <w:r>
        <w:rPr>
          <w:rFonts w:ascii="Times New Roman" w:hAnsi="Times New Roman"/>
          <w:b w:val="0"/>
          <w:i w:val="0"/>
          <w:sz w:val="24"/>
        </w:rPr>
        <w:t>15. Peterson L, Taylor D, Roddy R, Belai G, Phillips P, Nanda K, et al. Tenofovir disoproxil fumarate for prevention of HIV infection in women: a phase 2, double-blind, randomized, placebo-controlled trial. PLoS Clin Trials. 2007;2:e27. doi:10.1371/journal.pctr.0020027.</w:t>
      </w:r>
    </w:p>
    <w:p>
      <w:pPr>
        <w:spacing w:after="160" w:before="0"/>
      </w:pPr>
      <w:r>
        <w:rPr>
          <w:rFonts w:ascii="Times New Roman" w:hAnsi="Times New Roman"/>
          <w:b w:val="0"/>
          <w:i w:val="0"/>
          <w:sz w:val="24"/>
        </w:rPr>
        <w:t>16. Marrazzo JM, Ramjee G, Richardson BA, Gomez K, Mgodi N, Nair G, et al. Tenofovir-based preexposure prophylaxis for HIV infection among African women. N Engl J Med. 2015;372:509–518. doi:10.1056/NEJMoa1402269.</w:t>
      </w:r>
    </w:p>
    <w:p>
      <w:pPr>
        <w:spacing w:after="160" w:before="0"/>
      </w:pPr>
      <w:r>
        <w:rPr>
          <w:rFonts w:ascii="Times New Roman" w:hAnsi="Times New Roman"/>
          <w:b w:val="0"/>
          <w:i w:val="0"/>
          <w:sz w:val="24"/>
        </w:rPr>
        <w:t>17. Van Damme L, Corneli A, Ahmed K, Agot K, Lombaard J, Kapiga S, et al. Preexposure prophylaxis for HIV infection among African women. N Engl J Med. 2012;367:411–422. doi:10.1056/NEJMoa1202614.</w:t>
      </w:r>
    </w:p>
    <w:p>
      <w:pPr>
        <w:spacing w:after="160" w:before="0"/>
      </w:pPr>
      <w:r>
        <w:rPr>
          <w:rFonts w:ascii="Times New Roman" w:hAnsi="Times New Roman"/>
          <w:b w:val="0"/>
          <w:i w:val="0"/>
          <w:sz w:val="24"/>
        </w:rPr>
        <w:t>18. Polack FP, Thomas SJ, Kitchin N, Absalon J, Gurtman A, Lockhart S, et al. Safety and efficacy of the BNT162b2 mRNA Covid-19 vaccine. N Engl J Med. 2020;383:2603–2615. doi:10.1056/NEJMoa2034577.</w:t>
      </w:r>
    </w:p>
    <w:p>
      <w:pPr>
        <w:spacing w:after="160" w:before="0"/>
      </w:pPr>
      <w:r>
        <w:rPr>
          <w:rFonts w:ascii="Times New Roman" w:hAnsi="Times New Roman"/>
          <w:b w:val="0"/>
          <w:i w:val="0"/>
          <w:sz w:val="24"/>
        </w:rPr>
        <w:t>19. Baden LR, El Sahly HM, Essink B, Kotloff K, Frey S, Novak R, et al. Efficacy and safety of the mRNA-1273 SARS-CoV-2 vaccine. N Engl J Med. 2021;384:403–416. doi:10.1056/NEJMoa2035389.</w:t>
      </w:r>
    </w:p>
    <w:p>
      <w:pPr>
        <w:spacing w:after="160" w:before="0"/>
      </w:pPr>
      <w:r>
        <w:rPr>
          <w:rFonts w:ascii="Times New Roman" w:hAnsi="Times New Roman"/>
          <w:b w:val="0"/>
          <w:i w:val="0"/>
          <w:sz w:val="24"/>
        </w:rPr>
        <w:t>20. Cohen MS, Chen YQ, McCauley M, Gamble T, Hosseinipour MC, Kumarasamy N, et al. Prevention of HIV-1 infection with early antiretroviral therapy. N Engl J Med. 2011;365:493–505. doi:10.1056/NEJMoa1105243.</w:t>
      </w:r>
    </w:p>
    <w:p>
      <w:pPr>
        <w:spacing w:after="160" w:before="0"/>
      </w:pPr>
      <w:r>
        <w:rPr>
          <w:rFonts w:ascii="Times New Roman" w:hAnsi="Times New Roman"/>
          <w:b w:val="0"/>
          <w:i w:val="0"/>
          <w:sz w:val="24"/>
        </w:rPr>
        <w:t>21. Mulangu S, Dodd LE, Davey RT Jr, Tshiani Mbaya O, Proschan M, Mukadi D, et al. A randomized, controlled trial of Ebola virus disease therapeutics. N Engl J Med. 2019;381:2293–2303. doi:10.1056/NEJMoa1910993.</w:t>
      </w:r>
    </w:p>
    <w:p>
      <w:pPr>
        <w:spacing w:after="160" w:before="0"/>
      </w:pPr>
      <w:r>
        <w:rPr>
          <w:rFonts w:ascii="Times New Roman" w:hAnsi="Times New Roman"/>
          <w:b w:val="0"/>
          <w:i w:val="0"/>
          <w:sz w:val="24"/>
        </w:rPr>
        <w:t>22. Voysey M, Clemens SAC, Madhi SA, Weckx LY, Folegatti PM, Aley PK, et al. Safety and efficacy of the ChAdOx1 nCoV-19 vaccine (AZD1222) against SARS-CoV-2: an interim analysis of four randomised controlled trials in Brazil, South Africa, and the UK. Lancet. 2021;397:99–111. doi:10.1016/S0140-6736(20)32661-1.</w:t>
      </w:r>
    </w:p>
    <w:p>
      <w:pPr>
        <w:spacing w:after="160" w:before="0"/>
      </w:pPr>
      <w:r>
        <w:rPr>
          <w:rFonts w:ascii="Times New Roman" w:hAnsi="Times New Roman"/>
          <w:b w:val="0"/>
          <w:i w:val="0"/>
          <w:sz w:val="24"/>
        </w:rPr>
        <w:t>23. Page MJ, McKenzie JE, Bossuyt PM, Boutron I, Hoffmann TC, Mulrow CD, et al. The PRISMA 2020 statement: an updated guideline for reporting systematic reviews. BMJ. 2021;372:n71. doi:10.1136/bmj.n71.</w:t>
      </w:r>
    </w:p>
    <w:p>
      <w:pPr>
        <w:pStyle w:val="Heading1"/>
      </w:pPr>
      <w:r>
        <w:rPr>
          <w:rFonts w:ascii="Times New Roman" w:hAnsi="Times New Roman"/>
          <w:b/>
          <w:i w:val="0"/>
          <w:sz w:val="28"/>
        </w:rPr>
        <w:t>Figure legends</w:t>
      </w:r>
    </w:p>
    <w:p>
      <w:pPr>
        <w:spacing w:after="160" w:before="0"/>
      </w:pPr>
      <w:r>
        <w:rPr>
          <w:rFonts w:ascii="Times New Roman" w:hAnsi="Times New Roman"/>
          <w:b w:val="0"/>
          <w:i w:val="0"/>
          <w:sz w:val="24"/>
        </w:rPr>
        <w:t>**Figure 1.** Observed female enrollment (points, Wilson 95% CI) and trial-specific expected share (diamonds) in 10 mixed-sex pivotal trials. The dashed line is an unconditional 50% benchmark, shown only for reference.</w:t>
      </w:r>
    </w:p>
    <w:p>
      <w:pPr>
        <w:spacing w:after="160" w:before="0"/>
      </w:pPr>
      <w:r>
        <w:rPr>
          <w:rFonts w:ascii="Times New Roman" w:hAnsi="Times New Roman"/>
          <w:b w:val="0"/>
          <w:i w:val="0"/>
          <w:sz w:val="24"/>
        </w:rPr>
        <w:t>**Figure 2.** Enrollment ratio (observed/expected) for the same 10 trials. Values near 1 indicate match to the target-population comparator.</w:t>
      </w:r>
    </w:p>
    <w:p>
      <w:pPr>
        <w:spacing w:after="160" w:before="0"/>
      </w:pPr>
      <w:r>
        <w:rPr>
          <w:rFonts w:ascii="Times New Roman" w:hAnsi="Times New Roman"/>
          <w:b w:val="0"/>
          <w:i w:val="0"/>
          <w:sz w:val="24"/>
        </w:rPr>
        <w:t>**Supplementary Figure S1.** Reconstruction of the analysis set from the original 15 named studies.</w:t>
      </w:r>
    </w:p>
    <w:p>
      <w:pPr>
        <w:pStyle w:val="Heading1"/>
      </w:pPr>
      <w:r>
        <w:rPr>
          <w:rFonts w:ascii="Times New Roman" w:hAnsi="Times New Roman"/>
          <w:b/>
          <w:i w:val="0"/>
          <w:sz w:val="28"/>
        </w:rPr>
        <w:t>Table 1. Mixed-sex primary analysis set</w:t>
      </w:r>
    </w:p>
    <w:p>
      <w:pPr>
        <w:pStyle w:val="Heading1"/>
      </w:pPr>
      <w:r>
        <w:rPr>
          <w:rFonts w:ascii="Times New Roman" w:hAnsi="Times New Roman"/>
          <w:b/>
          <w:i w:val="0"/>
          <w:sz w:val="28"/>
        </w:rPr>
        <w:t>Table 1. Mixed-sex primary trials: observed female enrollment versus expected share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Trial</w:t>
            </w:r>
          </w:p>
        </w:tc>
        <w:tc>
          <w:tcPr>
            <w:tcW w:type="dxa" w:w="1337"/>
          </w:tcPr>
          <w:p>
            <w:r>
              <w:t>Disease</w:t>
            </w:r>
          </w:p>
        </w:tc>
        <w:tc>
          <w:tcPr>
            <w:tcW w:type="dxa" w:w="1337"/>
          </w:tcPr>
          <w:p>
            <w:r>
              <w:t>N</w:t>
            </w:r>
          </w:p>
        </w:tc>
        <w:tc>
          <w:tcPr>
            <w:tcW w:type="dxa" w:w="1337"/>
          </w:tcPr>
          <w:p>
            <w:r>
              <w:t>Female n</w:t>
            </w:r>
          </w:p>
        </w:tc>
        <w:tc>
          <w:tcPr>
            <w:tcW w:type="dxa" w:w="1337"/>
          </w:tcPr>
          <w:p>
            <w:r>
              <w:t>Observed %</w:t>
            </w:r>
          </w:p>
        </w:tc>
        <w:tc>
          <w:tcPr>
            <w:tcW w:type="dxa" w:w="1337"/>
          </w:tcPr>
          <w:p>
            <w:r>
              <w:t>Expected %</w:t>
            </w:r>
          </w:p>
        </w:tc>
        <w:tc>
          <w:tcPr>
            <w:tcW w:type="dxa" w:w="1337"/>
          </w:tcPr>
          <w:p>
            <w:r>
              <w:t>Ratio</w:t>
            </w:r>
          </w:p>
        </w:tc>
      </w:tr>
      <w:tr>
        <w:tc>
          <w:tcPr>
            <w:tcW w:type="dxa" w:w="1337"/>
          </w:tcPr>
          <w:p>
            <w:r>
              <w:t>BNT162b2 (Pfizer-BioNTech)</w:t>
            </w:r>
          </w:p>
        </w:tc>
        <w:tc>
          <w:tcPr>
            <w:tcW w:type="dxa" w:w="1337"/>
          </w:tcPr>
          <w:p>
            <w:r>
              <w:t>COVID-19</w:t>
            </w:r>
          </w:p>
        </w:tc>
        <w:tc>
          <w:tcPr>
            <w:tcW w:type="dxa" w:w="1337"/>
          </w:tcPr>
          <w:p>
            <w:r>
              <w:t>37,706</w:t>
            </w:r>
          </w:p>
        </w:tc>
        <w:tc>
          <w:tcPr>
            <w:tcW w:type="dxa" w:w="1337"/>
          </w:tcPr>
          <w:p>
            <w:r>
              <w:t>18,631</w:t>
            </w:r>
          </w:p>
        </w:tc>
        <w:tc>
          <w:tcPr>
            <w:tcW w:type="dxa" w:w="1337"/>
          </w:tcPr>
          <w:p>
            <w:r>
              <w:t>49.4</w:t>
            </w:r>
          </w:p>
        </w:tc>
        <w:tc>
          <w:tcPr>
            <w:tcW w:type="dxa" w:w="1337"/>
          </w:tcPr>
          <w:p>
            <w:r>
              <w:t>50</w:t>
            </w:r>
          </w:p>
        </w:tc>
        <w:tc>
          <w:tcPr>
            <w:tcW w:type="dxa" w:w="1337"/>
          </w:tcPr>
          <w:p>
            <w:r>
              <w:t>0.99</w:t>
            </w:r>
          </w:p>
        </w:tc>
      </w:tr>
      <w:tr>
        <w:tc>
          <w:tcPr>
            <w:tcW w:type="dxa" w:w="1337"/>
          </w:tcPr>
          <w:p>
            <w:r>
              <w:t>mRNA-1273 (Moderna COVE)</w:t>
            </w:r>
          </w:p>
        </w:tc>
        <w:tc>
          <w:tcPr>
            <w:tcW w:type="dxa" w:w="1337"/>
          </w:tcPr>
          <w:p>
            <w:r>
              <w:t>COVID-19</w:t>
            </w:r>
          </w:p>
        </w:tc>
        <w:tc>
          <w:tcPr>
            <w:tcW w:type="dxa" w:w="1337"/>
          </w:tcPr>
          <w:p>
            <w:r>
              <w:t>30,351</w:t>
            </w:r>
          </w:p>
        </w:tc>
        <w:tc>
          <w:tcPr>
            <w:tcW w:type="dxa" w:w="1337"/>
          </w:tcPr>
          <w:p>
            <w:r>
              <w:t>14,366</w:t>
            </w:r>
          </w:p>
        </w:tc>
        <w:tc>
          <w:tcPr>
            <w:tcW w:type="dxa" w:w="1337"/>
          </w:tcPr>
          <w:p>
            <w:r>
              <w:t>47.3</w:t>
            </w:r>
          </w:p>
        </w:tc>
        <w:tc>
          <w:tcPr>
            <w:tcW w:type="dxa" w:w="1337"/>
          </w:tcPr>
          <w:p>
            <w:r>
              <w:t>50</w:t>
            </w:r>
          </w:p>
        </w:tc>
        <w:tc>
          <w:tcPr>
            <w:tcW w:type="dxa" w:w="1337"/>
          </w:tcPr>
          <w:p>
            <w:r>
              <w:t>0.95</w:t>
            </w:r>
          </w:p>
        </w:tc>
      </w:tr>
      <w:tr>
        <w:tc>
          <w:tcPr>
            <w:tcW w:type="dxa" w:w="1337"/>
          </w:tcPr>
          <w:p>
            <w:r>
              <w:t>ChAdOx1 nCoV-19 (AZD1222)</w:t>
            </w:r>
          </w:p>
        </w:tc>
        <w:tc>
          <w:tcPr>
            <w:tcW w:type="dxa" w:w="1337"/>
          </w:tcPr>
          <w:p>
            <w:r>
              <w:t>COVID-19</w:t>
            </w:r>
          </w:p>
        </w:tc>
        <w:tc>
          <w:tcPr>
            <w:tcW w:type="dxa" w:w="1337"/>
          </w:tcPr>
          <w:p>
            <w:r>
              <w:t>11,636</w:t>
            </w:r>
          </w:p>
        </w:tc>
        <w:tc>
          <w:tcPr>
            <w:tcW w:type="dxa" w:w="1337"/>
          </w:tcPr>
          <w:p>
            <w:r>
              <w:t>7,045</w:t>
            </w:r>
          </w:p>
        </w:tc>
        <w:tc>
          <w:tcPr>
            <w:tcW w:type="dxa" w:w="1337"/>
          </w:tcPr>
          <w:p>
            <w:r>
              <w:t>60.5</w:t>
            </w:r>
          </w:p>
        </w:tc>
        <w:tc>
          <w:tcPr>
            <w:tcW w:type="dxa" w:w="1337"/>
          </w:tcPr>
          <w:p>
            <w:r>
              <w:t>70</w:t>
            </w:r>
          </w:p>
        </w:tc>
        <w:tc>
          <w:tcPr>
            <w:tcW w:type="dxa" w:w="1337"/>
          </w:tcPr>
          <w:p>
            <w:r>
              <w:t>0.86</w:t>
            </w:r>
          </w:p>
        </w:tc>
      </w:tr>
      <w:tr>
        <w:tc>
          <w:tcPr>
            <w:tcW w:type="dxa" w:w="1337"/>
          </w:tcPr>
          <w:p>
            <w:r>
              <w:t>Ad26.COV2.S (ENSEMBLE)</w:t>
            </w:r>
          </w:p>
        </w:tc>
        <w:tc>
          <w:tcPr>
            <w:tcW w:type="dxa" w:w="1337"/>
          </w:tcPr>
          <w:p>
            <w:r>
              <w:t>COVID-19</w:t>
            </w:r>
          </w:p>
        </w:tc>
        <w:tc>
          <w:tcPr>
            <w:tcW w:type="dxa" w:w="1337"/>
          </w:tcPr>
          <w:p>
            <w:r>
              <w:t>43,783</w:t>
            </w:r>
          </w:p>
        </w:tc>
        <w:tc>
          <w:tcPr>
            <w:tcW w:type="dxa" w:w="1337"/>
          </w:tcPr>
          <w:p>
            <w:r>
              <w:t>19,722</w:t>
            </w:r>
          </w:p>
        </w:tc>
        <w:tc>
          <w:tcPr>
            <w:tcW w:type="dxa" w:w="1337"/>
          </w:tcPr>
          <w:p>
            <w:r>
              <w:t>45.0</w:t>
            </w:r>
          </w:p>
        </w:tc>
        <w:tc>
          <w:tcPr>
            <w:tcW w:type="dxa" w:w="1337"/>
          </w:tcPr>
          <w:p>
            <w:r>
              <w:t>50</w:t>
            </w:r>
          </w:p>
        </w:tc>
        <w:tc>
          <w:tcPr>
            <w:tcW w:type="dxa" w:w="1337"/>
          </w:tcPr>
          <w:p>
            <w:r>
              <w:t>0.90</w:t>
            </w:r>
          </w:p>
        </w:tc>
      </w:tr>
      <w:tr>
        <w:tc>
          <w:tcPr>
            <w:tcW w:type="dxa" w:w="1337"/>
          </w:tcPr>
          <w:p>
            <w:r>
              <w:t>NVX-CoV2373 (UK)</w:t>
            </w:r>
          </w:p>
        </w:tc>
        <w:tc>
          <w:tcPr>
            <w:tcW w:type="dxa" w:w="1337"/>
          </w:tcPr>
          <w:p>
            <w:r>
              <w:t>COVID-19</w:t>
            </w:r>
          </w:p>
        </w:tc>
        <w:tc>
          <w:tcPr>
            <w:tcW w:type="dxa" w:w="1337"/>
          </w:tcPr>
          <w:p>
            <w:r>
              <w:t>14,039</w:t>
            </w:r>
          </w:p>
        </w:tc>
        <w:tc>
          <w:tcPr>
            <w:tcW w:type="dxa" w:w="1337"/>
          </w:tcPr>
          <w:p>
            <w:r>
              <w:t>6,801</w:t>
            </w:r>
          </w:p>
        </w:tc>
        <w:tc>
          <w:tcPr>
            <w:tcW w:type="dxa" w:w="1337"/>
          </w:tcPr>
          <w:p>
            <w:r>
              <w:t>48.4</w:t>
            </w:r>
          </w:p>
        </w:tc>
        <w:tc>
          <w:tcPr>
            <w:tcW w:type="dxa" w:w="1337"/>
          </w:tcPr>
          <w:p>
            <w:r>
              <w:t>50</w:t>
            </w:r>
          </w:p>
        </w:tc>
        <w:tc>
          <w:tcPr>
            <w:tcW w:type="dxa" w:w="1337"/>
          </w:tcPr>
          <w:p>
            <w:r>
              <w:t>0.97</w:t>
            </w:r>
          </w:p>
        </w:tc>
      </w:tr>
      <w:tr>
        <w:tc>
          <w:tcPr>
            <w:tcW w:type="dxa" w:w="1337"/>
          </w:tcPr>
          <w:p>
            <w:r>
              <w:t>rVSV-ZEBOV (Ebola Ça Suffit!)</w:t>
            </w:r>
          </w:p>
        </w:tc>
        <w:tc>
          <w:tcPr>
            <w:tcW w:type="dxa" w:w="1337"/>
          </w:tcPr>
          <w:p>
            <w:r>
              <w:t>Ebola</w:t>
            </w:r>
          </w:p>
        </w:tc>
        <w:tc>
          <w:tcPr>
            <w:tcW w:type="dxa" w:w="1337"/>
          </w:tcPr>
          <w:p>
            <w:r>
              <w:t>3,796</w:t>
            </w:r>
          </w:p>
        </w:tc>
        <w:tc>
          <w:tcPr>
            <w:tcW w:type="dxa" w:w="1337"/>
          </w:tcPr>
          <w:p>
            <w:r>
              <w:t>1,223</w:t>
            </w:r>
          </w:p>
        </w:tc>
        <w:tc>
          <w:tcPr>
            <w:tcW w:type="dxa" w:w="1337"/>
          </w:tcPr>
          <w:p>
            <w:r>
              <w:t>32.2</w:t>
            </w:r>
          </w:p>
        </w:tc>
        <w:tc>
          <w:tcPr>
            <w:tcW w:type="dxa" w:w="1337"/>
          </w:tcPr>
          <w:p>
            <w:r>
              <w:t>43</w:t>
            </w:r>
          </w:p>
        </w:tc>
        <w:tc>
          <w:tcPr>
            <w:tcW w:type="dxa" w:w="1337"/>
          </w:tcPr>
          <w:p>
            <w:r>
              <w:t>0.75</w:t>
            </w:r>
          </w:p>
        </w:tc>
      </w:tr>
      <w:tr>
        <w:tc>
          <w:tcPr>
            <w:tcW w:type="dxa" w:w="1337"/>
          </w:tcPr>
          <w:p>
            <w:r>
              <w:t>PALM (ZMapp/remdesivir/MAb114/REGN-EB3)</w:t>
            </w:r>
          </w:p>
        </w:tc>
        <w:tc>
          <w:tcPr>
            <w:tcW w:type="dxa" w:w="1337"/>
          </w:tcPr>
          <w:p>
            <w:r>
              <w:t>Ebola</w:t>
            </w:r>
          </w:p>
        </w:tc>
        <w:tc>
          <w:tcPr>
            <w:tcW w:type="dxa" w:w="1337"/>
          </w:tcPr>
          <w:p>
            <w:r>
              <w:t>673</w:t>
            </w:r>
          </w:p>
        </w:tc>
        <w:tc>
          <w:tcPr>
            <w:tcW w:type="dxa" w:w="1337"/>
          </w:tcPr>
          <w:p>
            <w:r>
              <w:t>374</w:t>
            </w:r>
          </w:p>
        </w:tc>
        <w:tc>
          <w:tcPr>
            <w:tcW w:type="dxa" w:w="1337"/>
          </w:tcPr>
          <w:p>
            <w:r>
              <w:t>55.6</w:t>
            </w:r>
          </w:p>
        </w:tc>
        <w:tc>
          <w:tcPr>
            <w:tcW w:type="dxa" w:w="1337"/>
          </w:tcPr>
          <w:p>
            <w:r>
              <w:t>50</w:t>
            </w:r>
          </w:p>
        </w:tc>
        <w:tc>
          <w:tcPr>
            <w:tcW w:type="dxa" w:w="1337"/>
          </w:tcPr>
          <w:p>
            <w:r>
              <w:t>1.11</w:t>
            </w:r>
          </w:p>
        </w:tc>
      </w:tr>
      <w:tr>
        <w:tc>
          <w:tcPr>
            <w:tcW w:type="dxa" w:w="1337"/>
          </w:tcPr>
          <w:p>
            <w:r>
              <w:t>HPTN 052</w:t>
            </w:r>
          </w:p>
        </w:tc>
        <w:tc>
          <w:tcPr>
            <w:tcW w:type="dxa" w:w="1337"/>
          </w:tcPr>
          <w:p>
            <w:r>
              <w:t>HIV</w:t>
            </w:r>
          </w:p>
        </w:tc>
        <w:tc>
          <w:tcPr>
            <w:tcW w:type="dxa" w:w="1337"/>
          </w:tcPr>
          <w:p>
            <w:r>
              <w:t>1,763</w:t>
            </w:r>
          </w:p>
        </w:tc>
        <w:tc>
          <w:tcPr>
            <w:tcW w:type="dxa" w:w="1337"/>
          </w:tcPr>
          <w:p>
            <w:r>
              <w:t>873</w:t>
            </w:r>
          </w:p>
        </w:tc>
        <w:tc>
          <w:tcPr>
            <w:tcW w:type="dxa" w:w="1337"/>
          </w:tcPr>
          <w:p>
            <w:r>
              <w:t>49.5</w:t>
            </w:r>
          </w:p>
        </w:tc>
        <w:tc>
          <w:tcPr>
            <w:tcW w:type="dxa" w:w="1337"/>
          </w:tcPr>
          <w:p>
            <w:r>
              <w:t>50</w:t>
            </w:r>
          </w:p>
        </w:tc>
        <w:tc>
          <w:tcPr>
            <w:tcW w:type="dxa" w:w="1337"/>
          </w:tcPr>
          <w:p>
            <w:r>
              <w:t>0.99</w:t>
            </w:r>
          </w:p>
        </w:tc>
      </w:tr>
      <w:tr>
        <w:tc>
          <w:tcPr>
            <w:tcW w:type="dxa" w:w="1337"/>
          </w:tcPr>
          <w:p>
            <w:r>
              <w:t>Partners PrEP</w:t>
            </w:r>
          </w:p>
        </w:tc>
        <w:tc>
          <w:tcPr>
            <w:tcW w:type="dxa" w:w="1337"/>
          </w:tcPr>
          <w:p>
            <w:r>
              <w:t>HIV</w:t>
            </w:r>
          </w:p>
        </w:tc>
        <w:tc>
          <w:tcPr>
            <w:tcW w:type="dxa" w:w="1337"/>
          </w:tcPr>
          <w:p>
            <w:r>
              <w:t>4,747</w:t>
            </w:r>
          </w:p>
        </w:tc>
        <w:tc>
          <w:tcPr>
            <w:tcW w:type="dxa" w:w="1337"/>
          </w:tcPr>
          <w:p>
            <w:r>
              <w:t>1,785</w:t>
            </w:r>
          </w:p>
        </w:tc>
        <w:tc>
          <w:tcPr>
            <w:tcW w:type="dxa" w:w="1337"/>
          </w:tcPr>
          <w:p>
            <w:r>
              <w:t>37.6</w:t>
            </w:r>
          </w:p>
        </w:tc>
        <w:tc>
          <w:tcPr>
            <w:tcW w:type="dxa" w:w="1337"/>
          </w:tcPr>
          <w:p>
            <w:r>
              <w:t>38</w:t>
            </w:r>
          </w:p>
        </w:tc>
        <w:tc>
          <w:tcPr>
            <w:tcW w:type="dxa" w:w="1337"/>
          </w:tcPr>
          <w:p>
            <w:r>
              <w:t>0.99</w:t>
            </w:r>
          </w:p>
        </w:tc>
      </w:tr>
      <w:tr>
        <w:tc>
          <w:tcPr>
            <w:tcW w:type="dxa" w:w="1337"/>
          </w:tcPr>
          <w:p>
            <w:r>
              <w:t>Bangkok Tenofovir Study</w:t>
            </w:r>
          </w:p>
        </w:tc>
        <w:tc>
          <w:tcPr>
            <w:tcW w:type="dxa" w:w="1337"/>
          </w:tcPr>
          <w:p>
            <w:r>
              <w:t>HIV</w:t>
            </w:r>
          </w:p>
        </w:tc>
        <w:tc>
          <w:tcPr>
            <w:tcW w:type="dxa" w:w="1337"/>
          </w:tcPr>
          <w:p>
            <w:r>
              <w:t>2,413</w:t>
            </w:r>
          </w:p>
        </w:tc>
        <w:tc>
          <w:tcPr>
            <w:tcW w:type="dxa" w:w="1337"/>
          </w:tcPr>
          <w:p>
            <w:r>
              <w:t>487</w:t>
            </w:r>
          </w:p>
        </w:tc>
        <w:tc>
          <w:tcPr>
            <w:tcW w:type="dxa" w:w="1337"/>
          </w:tcPr>
          <w:p>
            <w:r>
              <w:t>20.2</w:t>
            </w:r>
          </w:p>
        </w:tc>
        <w:tc>
          <w:tcPr>
            <w:tcW w:type="dxa" w:w="1337"/>
          </w:tcPr>
          <w:p>
            <w:r>
              <w:t>20</w:t>
            </w:r>
          </w:p>
        </w:tc>
        <w:tc>
          <w:tcPr>
            <w:tcW w:type="dxa" w:w="1337"/>
          </w:tcPr>
          <w:p>
            <w:r>
              <w:t>1.01</w:t>
            </w:r>
          </w:p>
        </w:tc>
      </w:tr>
    </w:tbl>
    <w:p>
      <w:pPr>
        <w:spacing w:after="160" w:before="0"/>
      </w:pPr>
      <w:r>
        <w:rPr>
          <w:rFonts w:ascii="Times New Roman" w:hAnsi="Times New Roman"/>
          <w:b w:val="0"/>
          <w:i/>
          <w:sz w:val="20"/>
        </w:rPr>
        <w:t>Expected share is defined in Methods (indication, eligibility, and target-population epidemiology). Ratio = observed / expected. Sources and extraction notes: Additional File 1.</w:t>
      </w:r>
    </w:p>
    <w:p>
      <w:pPr>
        <w:pStyle w:val="Heading1"/>
      </w:pPr>
      <w:r>
        <w:rPr>
          <w:rFonts w:ascii="Times New Roman" w:hAnsi="Times New Roman"/>
          <w:b/>
          <w:i w:val="0"/>
          <w:sz w:val="28"/>
        </w:rPr>
        <w:t>Figure files</w:t>
      </w:r>
    </w:p>
    <w:p>
      <w:pPr>
        <w:spacing w:after="160" w:before="0"/>
      </w:pPr>
      <w:r>
        <w:rPr>
          <w:rFonts w:ascii="Times New Roman" w:hAnsi="Times New Roman"/>
          <w:b w:val="0"/>
          <w:i w:val="0"/>
          <w:sz w:val="24"/>
        </w:rPr>
        <w:t>Figure 1: figures/figure1_observed_vs_expected.png</w:t>
      </w:r>
    </w:p>
    <w:p>
      <w:pPr>
        <w:spacing w:after="160" w:before="0"/>
      </w:pPr>
      <w:r>
        <w:rPr>
          <w:rFonts w:ascii="Times New Roman" w:hAnsi="Times New Roman"/>
          <w:b w:val="0"/>
          <w:i w:val="0"/>
          <w:sz w:val="24"/>
        </w:rPr>
        <w:t>Figure 2: figures/figure2_enrollment_ratio.png</w:t>
      </w:r>
    </w:p>
    <w:p>
      <w:pPr>
        <w:spacing w:after="160" w:before="0"/>
      </w:pPr>
      <w:r>
        <w:rPr>
          <w:rFonts w:ascii="Times New Roman" w:hAnsi="Times New Roman"/>
          <w:b w:val="0"/>
          <w:i w:val="0"/>
          <w:sz w:val="24"/>
        </w:rPr>
        <w:t>Supplementary Figure S1: figures/figure_s1_reconstruction_flow.png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