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R. Craig Stillwell, Ph.D. Independent Researcher craig.stillwell@gmail.com 270-491-0493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9 September 2026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Sam Watson, Editor Trials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Re: Submission ID 10975380-4561-4e88-b54d-6692abdfe004 — major revision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Dear Dr Watson,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Thank you for the opportunity to revise this manuscript. The reviewer required a target-population comparator, an eligible trial set, residual variance, and a public repository during review. We followed those instructions, including where they change the results.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 xml:space="preserve">The revised paper is a methods result for </w:t>
      </w:r>
      <w:r>
        <w:rPr>
          <w:rFonts w:ascii="Times New Roman" w:hAnsi="Times New Roman"/>
          <w:b w:val="0"/>
          <w:i/>
          <w:sz w:val="24"/>
        </w:rPr>
        <w:t>Trials</w:t>
      </w:r>
      <w:r>
        <w:rPr>
          <w:rFonts w:ascii="Times New Roman" w:hAnsi="Times New Roman"/>
          <w:b w:val="0"/>
          <w:i w:val="0"/>
          <w:sz w:val="24"/>
        </w:rPr>
        <w:t>. Scoring every infectious disease trial against 50% female manufactures a uniform enrollment failure: it treats women-only PrEP, MSM PrEP, PWID, and health-care-worker samples as if they shared one recruitment deficit. Against trial-specific expected shares, ten mixed-sex pivotal trials (N=150,907) have a median enrollment ratio of 0.98. Forcing the same trials onto 50% recreates the appearance of a shared crisis. The remaining, interpretable contrast is protocol, not pathogen: PALM enrolled pregnant patients with Ebola virus disease, whereas rVSV-ZEBOV excluded pregnancy and breastfeeding and sat 11 percentage points below its enumerated-contact comparator. That is the eligibility lever ICH E21 (Step 2 draft) now asks sponsors to reverse. We do not restore a 72%/28% variance split or parity-year forecasts; those quantities are not identified.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The title is now: “Scoring sex representativeness against the wrong denominator: target-population analysis of pivotal infectious disease trials.”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Enclosed: revised manuscript, point-by-point response, figures, STROBE checklist, and a reproducibility package (https://github.com/rstil2/infectious-disease-trial-sex-enrollment; also Additional File 1) with the extraction table, screening log, code, and posterior draws.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This research received no funding. I declare no competing interests.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Sincerely,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R. Craig Stillwell, Ph.D. Independent Researcher craig.stillwell@gmail.com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