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R. Craig Stillwell, Ph.D. Independent Researcher craig.stillwell@gmail.com 270-491-0493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9 September 2026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Sam Watson, Editor Trials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Re: Submission ID 10975380-4561-4e88-b54d-6692abdfe004 — major revision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Dear Dr Watson,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Thank you for the opportunity to revise this manuscript. The reviewer showed that the original 15-study list mixed ineligible designs with pivotal trials, that a 50% female benchmark was applied to sex-restricted indications, and that the hierarchical variance split omitted residual variance. We rebuilt the eligible set, extracted enrollment from primary publications, changed the estimand to observed versus target-population expected share, and fitted a model that reports residual variance.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The title is now: “Female enrollment versus target-population sex composition in pivotal infectious disease trials: a reconstructed Bayesian analysis of phase III/IV randomised trials.” We withdrew the 72% systemic-barrier claim and the 2068–2074 projections.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Enclosed: revised manuscript, point-by-point response, figures, STROBE checklist, and a reproducibility package (https://github.com/rstil2/infectious-disease-trial-sex-enrollment; also Additional File 1) with the extraction table, screening log, code, and posterior draws.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This research received no funding. I declare no competing interests.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Sincerely,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R. Craig Stillwell, Ph.D. Independent Researcher craig.stillwell@gmail.com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