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Times New Roman" w:hAnsi="Times New Roman"/>
          <w:b w:val="0"/>
          <w:i w:val="0"/>
          <w:sz w:val="24"/>
        </w:rPr>
        <w:t>Submission ID: 10975380-4561-4e88-b54d-6692abdfe004 Journal: Trials Manuscript: Female enrollment versus target-population sex composition in pivotal infectious disease trials: a reconstructed Bayesian analysis of phase III/IV randomised trials</w:t>
      </w:r>
    </w:p>
    <w:p>
      <w:pPr>
        <w:spacing w:after="160" w:before="0"/>
      </w:pPr>
      <w:r>
        <w:rPr>
          <w:rFonts w:ascii="Times New Roman" w:hAnsi="Times New Roman"/>
          <w:b w:val="0"/>
          <w:i w:val="0"/>
          <w:sz w:val="24"/>
        </w:rPr>
        <w:t>Dear Dr Watson and Reviewer,</w:t>
      </w:r>
    </w:p>
    <w:p>
      <w:pPr>
        <w:spacing w:after="160" w:before="0"/>
      </w:pPr>
      <w:r>
        <w:rPr>
          <w:rFonts w:ascii="Times New Roman" w:hAnsi="Times New Roman"/>
          <w:b w:val="0"/>
          <w:i w:val="0"/>
          <w:sz w:val="24"/>
        </w:rPr>
        <w:t>Thank you for the review. We treated the comments as a requirement to rebuild trial selection, extraction, the estimand, and the model. The previous 15-study table, the 72% (68–76%) systemic-variance claim, the 2068–2074 parity projections, and the 2,847-record funnel are withdrawn. The revised manuscript uses counts taken from primary publications, a trial-specific expected-share comparator, and a hierarchical model that reports residual variance.</w:t>
      </w:r>
    </w:p>
    <w:p>
      <w:pPr>
        <w:spacing w:after="160" w:before="0"/>
      </w:pPr>
      <w:r>
        <w:rPr>
          <w:rFonts w:ascii="Times New Roman" w:hAnsi="Times New Roman"/>
          <w:b w:val="0"/>
          <w:i w:val="0"/>
          <w:sz w:val="24"/>
        </w:rPr>
        <w:t>A reproducibility package (extraction table, screening log, code, posterior draws, figures) is at https://github.com/rstil2/infectious-disease-trial-sex-enrollment and in Additional File 1.</w:t>
      </w:r>
    </w:p>
    <w:p>
      <w:pPr>
        <w:spacing w:after="160" w:before="0"/>
      </w:pPr>
      <w:r>
        <w:rPr>
          <w:rFonts w:ascii="Times New Roman" w:hAnsi="Times New Roman"/>
          <w:b w:val="0"/>
          <w:i w:val="0"/>
          <w:sz w:val="24"/>
        </w:rPr>
        <w:t>Editor</w:t>
      </w:r>
    </w:p>
    <w:p>
      <w:pPr>
        <w:spacing w:after="160" w:before="0"/>
      </w:pPr>
      <w:r>
        <w:rPr>
          <w:rFonts w:ascii="Times New Roman" w:hAnsi="Times New Roman"/>
          <w:b w:val="0"/>
          <w:i w:val="0"/>
          <w:sz w:val="24"/>
        </w:rPr>
        <w:t>Comment: Please ensure the results are accurately reported, any overstated conclusions are rewritten and the limitations of the work fully explained.</w:t>
      </w:r>
    </w:p>
    <w:p>
      <w:pPr>
        <w:spacing w:after="160" w:before="0"/>
      </w:pPr>
      <w:r>
        <w:rPr>
          <w:rFonts w:ascii="Times New Roman" w:hAnsi="Times New Roman"/>
          <w:b w:val="0"/>
          <w:i w:val="0"/>
          <w:sz w:val="24"/>
        </w:rPr>
        <w:t>Response: We agree. Female percentages now match the cited tables (e.g. BNT162b2 49.4% not 34%; VOICE 100% not 35%). Conclusions no longer attribute 72% of variance to systemic barriers or forecast parity in 2068–2074. Limitations state that disease-versus-residual variance is not identified and that the sample is a reconstructed pivotal-trial set, not a registry census.</w:t>
      </w:r>
    </w:p>
    <w:p>
      <w:pPr>
        <w:spacing w:after="160" w:before="0"/>
      </w:pPr>
      <w:r>
        <w:rPr>
          <w:rFonts w:ascii="Times New Roman" w:hAnsi="Times New Roman"/>
          <w:b w:val="0"/>
          <w:i w:val="0"/>
          <w:sz w:val="24"/>
        </w:rPr>
        <w:t>Reviewer</w:t>
      </w:r>
    </w:p>
    <w:p>
      <w:pPr>
        <w:spacing w:after="160" w:before="0"/>
      </w:pPr>
      <w:r>
        <w:rPr>
          <w:rFonts w:ascii="Times New Roman" w:hAnsi="Times New Roman"/>
          <w:b w:val="0"/>
          <w:i w:val="0"/>
          <w:sz w:val="24"/>
        </w:rPr>
        <w:t>Major comment 1. The Methods specify phase III/IV randomized human trials, but the Ebola sample includes phase I studies and the Qiu et al. ZMapp nonhuman-primate experiment. The HIV sample includes the observational PARTNER study and a phase II trial. These studies do not meet the stated criteria. A reproducible search strategy, screening flowchart, reasons for exclusion, and verified study-characteristics table are required.</w:t>
      </w:r>
    </w:p>
    <w:p>
      <w:pPr>
        <w:spacing w:after="160" w:before="0"/>
      </w:pPr>
      <w:r>
        <w:rPr>
          <w:rFonts w:ascii="Times New Roman" w:hAnsi="Times New Roman"/>
          <w:b w:val="0"/>
          <w:i w:val="0"/>
          <w:sz w:val="24"/>
        </w:rPr>
        <w:t>Response: We agree. We re-applied the stated criteria to the original 15 named studies.</w:t>
      </w:r>
    </w:p>
    <w:p>
      <w:pPr>
        <w:spacing w:after="160" w:before="0"/>
      </w:pPr>
      <w:r>
        <w:rPr>
          <w:rFonts w:ascii="Times New Roman" w:hAnsi="Times New Roman"/>
          <w:b w:val="0"/>
          <w:i w:val="0"/>
          <w:sz w:val="24"/>
        </w:rPr>
        <w:t>Excluded as ineligible:</w:t>
      </w:r>
    </w:p>
    <w:p>
      <w:pPr>
        <w:pStyle w:val="ListBullet"/>
      </w:pPr>
      <w:r>
        <w:rPr>
          <w:rFonts w:ascii="Times New Roman" w:hAnsi="Times New Roman"/>
          <w:b w:val="0"/>
          <w:i w:val="0"/>
          <w:sz w:val="24"/>
        </w:rPr>
        <w:t>Tapia et al., Lancet Infect Dis 2016 — phase 1 ChAd3-EBO-Z [manuscript ref 11]</w:t>
      </w:r>
    </w:p>
    <w:p>
      <w:pPr>
        <w:pStyle w:val="ListBullet"/>
      </w:pPr>
      <w:r>
        <w:rPr>
          <w:rFonts w:ascii="Times New Roman" w:hAnsi="Times New Roman"/>
          <w:b w:val="0"/>
          <w:i w:val="0"/>
          <w:sz w:val="24"/>
        </w:rPr>
        <w:t>Milligan et al., JAMA 2016 — phase 1 Ad26/MVA [12]</w:t>
      </w:r>
    </w:p>
    <w:p>
      <w:pPr>
        <w:pStyle w:val="ListBullet"/>
      </w:pPr>
      <w:r>
        <w:rPr>
          <w:rFonts w:ascii="Times New Roman" w:hAnsi="Times New Roman"/>
          <w:b w:val="0"/>
          <w:i w:val="0"/>
          <w:sz w:val="24"/>
        </w:rPr>
        <w:t>Qiu et al., Nature 2014 — nonhuman-primate ZMapp experiment [13]</w:t>
      </w:r>
    </w:p>
    <w:p>
      <w:pPr>
        <w:pStyle w:val="ListBullet"/>
      </w:pPr>
      <w:r>
        <w:rPr>
          <w:rFonts w:ascii="Times New Roman" w:hAnsi="Times New Roman"/>
          <w:b w:val="0"/>
          <w:i w:val="0"/>
          <w:sz w:val="24"/>
        </w:rPr>
        <w:t>Rodger et al., JAMA 2016 (PARTNER) — observational cohort [14]</w:t>
      </w:r>
    </w:p>
    <w:p>
      <w:pPr>
        <w:pStyle w:val="ListBullet"/>
      </w:pPr>
      <w:r>
        <w:rPr>
          <w:rFonts w:ascii="Times New Roman" w:hAnsi="Times New Roman"/>
          <w:b w:val="0"/>
          <w:i w:val="0"/>
          <w:sz w:val="24"/>
        </w:rPr>
        <w:t>Peterson et al., PLoS Clin Trials 2007 — phase 2 [15]</w:t>
      </w:r>
    </w:p>
    <w:p>
      <w:pPr>
        <w:spacing w:after="160" w:before="0"/>
      </w:pPr>
      <w:r>
        <w:rPr>
          <w:rFonts w:ascii="Times New Roman" w:hAnsi="Times New Roman"/>
          <w:b w:val="0"/>
          <w:i w:val="0"/>
          <w:sz w:val="24"/>
        </w:rPr>
        <w:t>Human ZMapp/therapeutic data are taken from PALM (Mulangu et al., NEJM 2019; phase II/III; n=673; 55.6% female), not from Qiu et al.</w:t>
      </w:r>
    </w:p>
    <w:p>
      <w:pPr>
        <w:spacing w:after="160" w:before="0"/>
      </w:pPr>
      <w:r>
        <w:rPr>
          <w:rFonts w:ascii="Times New Roman" w:hAnsi="Times New Roman"/>
          <w:b w:val="0"/>
          <w:i w:val="0"/>
          <w:sz w:val="24"/>
        </w:rPr>
        <w:t>We added three pivotal mixed-sex phase III trials with extractable Table 1 sex counts: ENSEMBLE, NVX-CoV2373 UK, and Partners PrEP.</w:t>
      </w:r>
    </w:p>
    <w:p>
      <w:pPr>
        <w:spacing w:after="160" w:before="0"/>
      </w:pPr>
      <w:r>
        <w:rPr>
          <w:rFonts w:ascii="Times New Roman" w:hAnsi="Times New Roman"/>
          <w:b w:val="0"/>
          <w:i w:val="0"/>
          <w:sz w:val="24"/>
        </w:rPr>
        <w:t>Supplementary Table S1 is the study-by-study decision log. Supplementary Figure S1 is the reconstruction flowchart. Table 1 and Supplementary Table S2 give verified characteristics, n, female n, source table, NCT/registry ID, and DOI.</w:t>
      </w:r>
    </w:p>
    <w:p>
      <w:pPr>
        <w:spacing w:after="160" w:before="0"/>
      </w:pPr>
      <w:r>
        <w:rPr>
          <w:rFonts w:ascii="Times New Roman" w:hAnsi="Times New Roman"/>
          <w:b w:val="0"/>
          <w:i w:val="0"/>
          <w:sz w:val="24"/>
        </w:rPr>
        <w:t>We do not reuse the previous 2,847 / 67-trial funnel. That funnel cannot be reproduced from a trial-level log with real registry identifiers. The Methods now state that this is a reconstructed pivotal-trial sample.</w:t>
      </w:r>
    </w:p>
    <w:p>
      <w:pPr>
        <w:spacing w:after="160" w:before="0"/>
      </w:pPr>
      <w:r>
        <w:rPr>
          <w:rFonts w:ascii="Times New Roman" w:hAnsi="Times New Roman"/>
          <w:b w:val="0"/>
          <w:i w:val="0"/>
          <w:sz w:val="24"/>
        </w:rPr>
        <w:t>Major comment 2. VOICE and FEM-PrEP enrolled women, whereas iPrEx enrolled men and transgender women who have sex with men. Their enrollment composition largely reflects the intended study population rather than a common recruitment bias. Applying an unconditional 50% benchmark across these studies is therefore not appropriate. The comparator should reflect each trial’s target population, disease epidemiology, intervention indication, and eligibility criteria.</w:t>
      </w:r>
    </w:p>
    <w:p>
      <w:pPr>
        <w:spacing w:after="160" w:before="0"/>
      </w:pPr>
      <w:r>
        <w:rPr>
          <w:rFonts w:ascii="Times New Roman" w:hAnsi="Times New Roman"/>
          <w:b w:val="0"/>
          <w:i w:val="0"/>
          <w:sz w:val="24"/>
        </w:rPr>
        <w:t>Response: We agree. VOICE (5,029 women) and FEM-PrEP (2,120 women) are women-only by design. iPrEx required male sex at birth. They are a secondary, sex-restricted set. The primary estimand is observed female share divided by a trial-specific expected share (general adult COVID-19 vaccines 0.50; ChAdOx1 health-care workers 0.70; rVSV-ZEBOV enumerated contacts 0.43; Partners PrEP HIV-negative partners 0.38; Bangkok PWID 0.20; and so on). Results are enrollment ratios, not distance from 50%.</w:t>
      </w:r>
    </w:p>
    <w:p>
      <w:pPr>
        <w:spacing w:after="160" w:before="0"/>
      </w:pPr>
      <w:r>
        <w:rPr>
          <w:rFonts w:ascii="Times New Roman" w:hAnsi="Times New Roman"/>
          <w:b w:val="0"/>
          <w:i w:val="0"/>
          <w:sz w:val="24"/>
        </w:rPr>
        <w:t>Major comment 3. The model is highly parameterized for only 15 heterogeneous trial-level observations, and disease is strongly confounded with calendar time. The Methods define time per decade, whereas the Results interpret the coefficient per year. In addition, the reported global and disease variances sum exactly to total variance, leaving no residual variance despite inclusion of a trial-level random effect. The authors should clarify the observational unit, identifiability constraints, coefficient units, and calculation of every variance component.</w:t>
      </w:r>
    </w:p>
    <w:p>
      <w:pPr>
        <w:spacing w:after="160" w:before="0"/>
      </w:pPr>
      <w:r>
        <w:rPr>
          <w:rFonts w:ascii="Times New Roman" w:hAnsi="Times New Roman"/>
          <w:b w:val="0"/>
          <w:i w:val="0"/>
          <w:sz w:val="24"/>
        </w:rPr>
        <w:t>Response: We agree. The observational unit is the trial. The primary model has no time term, because COVID-19, Ebola, and HIV occupy disjoint eras. Coefficient α is a log-odds deviation from the trial-specific expected share, not a per-year or per-decade slope. Between-trial variance is split into disease-level σδ² and residual τ²; both are reported with 95% credible intervals. Residual variance is no longer omitted. With 10 mixed-sex trials and three diseases, the disease proportion of variance has 95% CrI 0.0004–0.89 and is not identified. We do not report a 72%/28% split.</w:t>
      </w:r>
    </w:p>
    <w:p>
      <w:pPr>
        <w:spacing w:after="160" w:before="0"/>
      </w:pPr>
      <w:r>
        <w:rPr>
          <w:rFonts w:ascii="Times New Roman" w:hAnsi="Times New Roman"/>
          <w:b w:val="0"/>
          <w:i w:val="0"/>
          <w:sz w:val="24"/>
        </w:rPr>
        <w:t>Major comment 4. The repository is still listed as “[URL to be added],” and the trial-level dataset, extraction forms, model code and sensitivity analyses are unavailable. These materials are necessary during peer review, particularly because several reported values cannot be reconciled with the cited sources.</w:t>
      </w:r>
    </w:p>
    <w:p>
      <w:pPr>
        <w:spacing w:after="160" w:before="0"/>
      </w:pPr>
      <w:r>
        <w:rPr>
          <w:rFonts w:ascii="Times New Roman" w:hAnsi="Times New Roman"/>
          <w:b w:val="0"/>
          <w:i w:val="0"/>
          <w:sz w:val="24"/>
        </w:rPr>
        <w:t>Response: We agree. The package is at https://github.com/rstil2/infectious-disease-trial-sex-enrollment and in Additional File 1:</w:t>
      </w:r>
    </w:p>
    <w:p>
      <w:pPr>
        <w:pStyle w:val="ListBullet"/>
      </w:pPr>
      <w:r>
        <w:rPr>
          <w:rFonts w:ascii="Times New Roman" w:hAnsi="Times New Roman"/>
          <w:b w:val="0"/>
          <w:i w:val="0"/>
          <w:sz w:val="24"/>
        </w:rPr>
        <w:t>data/verified_trials.csv (n, female n, expected share, DOI, extraction note)</w:t>
      </w:r>
    </w:p>
    <w:p>
      <w:pPr>
        <w:pStyle w:val="ListBullet"/>
      </w:pPr>
      <w:r>
        <w:rPr>
          <w:rFonts w:ascii="Times New Roman" w:hAnsi="Times New Roman"/>
          <w:b w:val="0"/>
          <w:i w:val="0"/>
          <w:sz w:val="24"/>
        </w:rPr>
        <w:t>data/screening_log.csv</w:t>
      </w:r>
    </w:p>
    <w:p>
      <w:pPr>
        <w:pStyle w:val="ListBullet"/>
      </w:pPr>
      <w:r>
        <w:rPr>
          <w:rFonts w:ascii="Times New Roman" w:hAnsi="Times New Roman"/>
          <w:b w:val="0"/>
          <w:i w:val="0"/>
          <w:sz w:val="24"/>
        </w:rPr>
        <w:t>src/analysis.py (seed 42)</w:t>
      </w:r>
    </w:p>
    <w:p>
      <w:pPr>
        <w:pStyle w:val="ListBullet"/>
      </w:pPr>
      <w:r>
        <w:rPr>
          <w:rFonts w:ascii="Times New Roman" w:hAnsi="Times New Roman"/>
          <w:b w:val="0"/>
          <w:i w:val="0"/>
          <w:sz w:val="24"/>
        </w:rPr>
        <w:t>results/trial_level_estimates.csv and posterior_draws.csv</w:t>
      </w:r>
    </w:p>
    <w:p>
      <w:pPr>
        <w:pStyle w:val="ListBullet"/>
      </w:pPr>
      <w:r>
        <w:rPr>
          <w:rFonts w:ascii="Times New Roman" w:hAnsi="Times New Roman"/>
          <w:b w:val="0"/>
          <w:i w:val="0"/>
          <w:sz w:val="24"/>
        </w:rPr>
        <w:t>figures</w:t>
      </w:r>
    </w:p>
    <w:p>
      <w:pPr>
        <w:spacing w:after="160" w:before="0"/>
      </w:pPr>
      <w:r>
        <w:rPr>
          <w:rFonts w:ascii="Times New Roman" w:hAnsi="Times New Roman"/>
          <w:b w:val="0"/>
          <w:i w:val="0"/>
          <w:sz w:val="24"/>
        </w:rPr>
        <w:t>Every primary-set percentage in the revised paper can be recomputed from those files and the cited tables. Examples of previous irreconcilable values and the corrected sources are in the response to comment 1.</w:t>
      </w:r>
    </w:p>
    <w:p>
      <w:pPr>
        <w:spacing w:after="160" w:before="0"/>
      </w:pPr>
      <w:r>
        <w:rPr>
          <w:rFonts w:ascii="Times New Roman" w:hAnsi="Times New Roman"/>
          <w:b w:val="0"/>
          <w:i w:val="0"/>
          <w:sz w:val="24"/>
        </w:rPr>
        <w:t>We hope this reconstruction addresses every point. We are grateful for a review that made the ineligible studies and the wrong estimand explicit.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