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77B00" w:rsidRDefault="00D77B00" w:rsidP="00762E08">
      <w:pPr>
        <w:pStyle w:val="p1"/>
        <w:spacing w:line="360" w:lineRule="auto"/>
      </w:pPr>
      <w:r>
        <w:t xml:space="preserve">Dear Dr. </w:t>
      </w:r>
      <w:proofErr w:type="spellStart"/>
      <w:r>
        <w:t>Bauchner</w:t>
      </w:r>
      <w:proofErr w:type="spellEnd"/>
      <w:r>
        <w:t xml:space="preserve"> and Editorial Team,</w:t>
      </w:r>
    </w:p>
    <w:p w:rsidR="00D77B00" w:rsidRDefault="00D77B00" w:rsidP="00762E08">
      <w:pPr>
        <w:pStyle w:val="p1"/>
        <w:spacing w:line="360" w:lineRule="auto"/>
      </w:pPr>
      <w:r>
        <w:t xml:space="preserve">I am pleased to submit our manuscript, </w:t>
      </w:r>
      <w:r>
        <w:rPr>
          <w:i/>
          <w:iCs/>
        </w:rPr>
        <w:t>“Sex Representation Equity in Clinical Trials: A Statistical Analysis,”</w:t>
      </w:r>
      <w:r>
        <w:t xml:space="preserve"> for your consideration for publication in </w:t>
      </w:r>
      <w:r>
        <w:rPr>
          <w:i/>
          <w:iCs/>
        </w:rPr>
        <w:t>JAMA</w:t>
      </w:r>
      <w:r>
        <w:t>. This study addresses a timely and critical question in clinical research: Have policy interventions and regulatory reforms effectively addressed the longstanding underrepresentation of women in clinical trials?</w:t>
      </w:r>
    </w:p>
    <w:p w:rsidR="00D77B00" w:rsidRDefault="00D77B00" w:rsidP="00762E08">
      <w:pPr>
        <w:pStyle w:val="p1"/>
        <w:spacing w:line="360" w:lineRule="auto"/>
      </w:pPr>
      <w:r>
        <w:t>While past literature has largely relied on descriptive summaries, our analysis uses statistical hypothesis testing to rigorously evaluate whether sex representation in clinical trials deviates from population expectations. Analyzing 1,825 clinical trials from ClinicalTrials.gov, we tested the null hypothesis that trial participation is proportionally representative of the general U.S. population (50.8% female). Across all trials and disease categories—including those historically biased such as HIV/AIDS—we found no statistically significant deviations, suggesting that equity efforts may be producing their intended effect.</w:t>
      </w:r>
    </w:p>
    <w:p w:rsidR="00D77B00" w:rsidRDefault="00D77B00" w:rsidP="00762E08">
      <w:pPr>
        <w:pStyle w:val="p1"/>
        <w:spacing w:line="360" w:lineRule="auto"/>
      </w:pPr>
      <w:r>
        <w:t xml:space="preserve">We believe this manuscript is well-suited for </w:t>
      </w:r>
      <w:r>
        <w:rPr>
          <w:i/>
          <w:iCs/>
        </w:rPr>
        <w:t>JAMA</w:t>
      </w:r>
      <w:r>
        <w:t xml:space="preserve">’s broad clinical and policy-focused readership. Our findings offer a data-driven, encouraging perspective on sex representation in research, while highlighting next steps: ensuring proportional </w:t>
      </w:r>
      <w:r>
        <w:rPr>
          <w:i/>
          <w:iCs/>
        </w:rPr>
        <w:t>participation</w:t>
      </w:r>
      <w:r>
        <w:t>, not just eligibility, and expanding equity analyses to additional dimensions such as race, age, and geography.</w:t>
      </w:r>
    </w:p>
    <w:p w:rsidR="00D77B00" w:rsidRDefault="00D77B00" w:rsidP="00762E08">
      <w:pPr>
        <w:pStyle w:val="p1"/>
        <w:spacing w:line="360" w:lineRule="auto"/>
      </w:pPr>
      <w:r>
        <w:t>This work has not been published or submitted elsewhere. We have no conflicts of interest to disclose, and the research was based entirely on publicly available data from ClinicalTrials.gov. A detailed breakdown of methods, data sources, and analysis scripts is included in the Supplementary Materials.</w:t>
      </w:r>
    </w:p>
    <w:p w:rsidR="00D77B00" w:rsidRDefault="00D77B00" w:rsidP="00762E08">
      <w:pPr>
        <w:pStyle w:val="p1"/>
        <w:spacing w:line="360" w:lineRule="auto"/>
      </w:pPr>
      <w:r>
        <w:t xml:space="preserve">Thank you for considering this manuscript for peer review. We would be honored to contribute to the ongoing dialogue in </w:t>
      </w:r>
      <w:r>
        <w:rPr>
          <w:i/>
          <w:iCs/>
        </w:rPr>
        <w:t>JAMA</w:t>
      </w:r>
      <w:r>
        <w:t xml:space="preserve"> on equity, ethics, and evidence-based research.</w:t>
      </w:r>
    </w:p>
    <w:p w:rsidR="00D77B00" w:rsidRDefault="00D77B00" w:rsidP="00762E08">
      <w:pPr>
        <w:pStyle w:val="p1"/>
        <w:spacing w:line="360" w:lineRule="auto"/>
      </w:pPr>
      <w:r>
        <w:t>Sincerely,</w:t>
      </w:r>
    </w:p>
    <w:p w:rsidR="00D77B00" w:rsidRDefault="00D77B00" w:rsidP="00D77B00">
      <w:pPr>
        <w:pStyle w:val="p1"/>
      </w:pPr>
    </w:p>
    <w:p w:rsidR="00D77B00" w:rsidRDefault="00D77B00" w:rsidP="00D77B00">
      <w:pPr>
        <w:pStyle w:val="p3"/>
      </w:pPr>
      <w:r>
        <w:rPr>
          <w:b/>
          <w:bCs/>
        </w:rPr>
        <w:t>R. Craig Stillwell, PhD</w:t>
      </w:r>
    </w:p>
    <w:p w:rsidR="00D77B00" w:rsidRDefault="00D77B00" w:rsidP="00D77B00">
      <w:pPr>
        <w:pStyle w:val="p1"/>
      </w:pPr>
      <w:r>
        <w:t>University of Kentucky</w:t>
      </w:r>
    </w:p>
    <w:p w:rsidR="00D77B00" w:rsidRDefault="00D77B00" w:rsidP="00D77B00">
      <w:pPr>
        <w:pStyle w:val="p1"/>
      </w:pPr>
      <w:r>
        <w:lastRenderedPageBreak/>
        <w:t>craig.stillwell@gmail.com</w:t>
      </w:r>
    </w:p>
    <w:p w:rsidR="00D77B00" w:rsidRDefault="00D77B00" w:rsidP="00D77B00">
      <w:pPr>
        <w:pStyle w:val="p1"/>
      </w:pPr>
      <w:r>
        <w:t>+1-270-491-0493</w:t>
      </w:r>
    </w:p>
    <w:p w:rsidR="00BA2888" w:rsidRDefault="00BA2888">
      <w:pPr>
        <w:spacing w:after="0"/>
      </w:pPr>
    </w:p>
    <w:sectPr w:rsidR="00BA2888"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984220">
    <w:abstractNumId w:val="8"/>
  </w:num>
  <w:num w:numId="2" w16cid:durableId="1356030541">
    <w:abstractNumId w:val="6"/>
  </w:num>
  <w:num w:numId="3" w16cid:durableId="478230749">
    <w:abstractNumId w:val="5"/>
  </w:num>
  <w:num w:numId="4" w16cid:durableId="1351105916">
    <w:abstractNumId w:val="4"/>
  </w:num>
  <w:num w:numId="5" w16cid:durableId="1860266727">
    <w:abstractNumId w:val="7"/>
  </w:num>
  <w:num w:numId="6" w16cid:durableId="1966159125">
    <w:abstractNumId w:val="3"/>
  </w:num>
  <w:num w:numId="7" w16cid:durableId="803887248">
    <w:abstractNumId w:val="2"/>
  </w:num>
  <w:num w:numId="8" w16cid:durableId="1238049476">
    <w:abstractNumId w:val="1"/>
  </w:num>
  <w:num w:numId="9" w16cid:durableId="96076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2E08"/>
    <w:rsid w:val="007F590A"/>
    <w:rsid w:val="00AA1D8D"/>
    <w:rsid w:val="00B47730"/>
    <w:rsid w:val="00BA2888"/>
    <w:rsid w:val="00CB0664"/>
    <w:rsid w:val="00D77B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DC35F"/>
  <w14:defaultImageDpi w14:val="300"/>
  <w15:docId w15:val="{AA81BBDB-9197-B241-8C84-7EA98882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D77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D77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D77B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866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1709</Characters>
  <Application>Microsoft Office Word</Application>
  <DocSecurity>0</DocSecurity>
  <Lines>34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Stillwell</cp:lastModifiedBy>
  <cp:revision>3</cp:revision>
  <dcterms:created xsi:type="dcterms:W3CDTF">2013-12-23T23:15:00Z</dcterms:created>
  <dcterms:modified xsi:type="dcterms:W3CDTF">2025-05-10T08:49:00Z</dcterms:modified>
  <cp:category/>
</cp:coreProperties>
</file>