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E1CAC" w:rsidRDefault="00000000">
      <w:pPr>
        <w:spacing w:after="240"/>
        <w:jc w:val="center"/>
      </w:pPr>
      <w:r>
        <w:rPr>
          <w:rFonts w:ascii="Times New Roman" w:hAnsi="Times New Roman"/>
          <w:b/>
          <w:sz w:val="24"/>
        </w:rPr>
        <w:t>Sex Representation Equity in Clinical Trials: A Statistical Analysis</w:t>
      </w:r>
    </w:p>
    <w:p w:rsidR="005E1CAC" w:rsidRDefault="00C37694">
      <w:pPr>
        <w:spacing w:after="240"/>
        <w:jc w:val="center"/>
      </w:pPr>
      <w:r>
        <w:rPr>
          <w:rFonts w:ascii="Times New Roman" w:hAnsi="Times New Roman"/>
          <w:sz w:val="24"/>
        </w:rPr>
        <w:t>R. Craig Stillwell</w:t>
      </w:r>
      <w:r w:rsidRPr="00C37694">
        <w:rPr>
          <w:rFonts w:ascii="Times New Roman" w:hAnsi="Times New Roman" w:cs="Times New Roman (Body CS)"/>
          <w:sz w:val="24"/>
          <w:vertAlign w:val="superscript"/>
        </w:rPr>
        <w:t>1</w:t>
      </w:r>
    </w:p>
    <w:p w:rsidR="005E1CAC" w:rsidRDefault="00000000">
      <w:pPr>
        <w:spacing w:after="240"/>
        <w:jc w:val="center"/>
      </w:pPr>
      <w:r w:rsidRPr="00C37694">
        <w:rPr>
          <w:rFonts w:ascii="Times New Roman" w:hAnsi="Times New Roman" w:cs="Times New Roman (Body CS)"/>
          <w:sz w:val="24"/>
          <w:vertAlign w:val="superscript"/>
        </w:rPr>
        <w:t xml:space="preserve">1 </w:t>
      </w:r>
      <w:r w:rsidR="00C37694">
        <w:rPr>
          <w:rFonts w:ascii="Times New Roman" w:hAnsi="Times New Roman"/>
          <w:sz w:val="24"/>
        </w:rPr>
        <w:t>University of Kentucky, Lexington, USA</w:t>
      </w:r>
      <w:r>
        <w:rPr>
          <w:rFonts w:ascii="Times New Roman" w:hAnsi="Times New Roman"/>
          <w:sz w:val="24"/>
        </w:rPr>
        <w:br/>
      </w:r>
    </w:p>
    <w:p w:rsidR="005E1CAC" w:rsidRPr="00C37694" w:rsidRDefault="00C37694">
      <w:pPr>
        <w:spacing w:after="240"/>
        <w:rPr>
          <w:rFonts w:ascii="Times New Roman" w:hAnsi="Times New Roman"/>
          <w:sz w:val="24"/>
        </w:rPr>
      </w:pPr>
      <w:r>
        <w:rPr>
          <w:rFonts w:ascii="Times New Roman" w:hAnsi="Times New Roman"/>
          <w:sz w:val="24"/>
        </w:rPr>
        <w:t>R. Craig Stillwell</w:t>
      </w:r>
      <w:r w:rsidR="00382B9E">
        <w:rPr>
          <w:rFonts w:ascii="Times New Roman" w:hAnsi="Times New Roman"/>
          <w:sz w:val="24"/>
        </w:rPr>
        <w:t>, Ph.D.</w:t>
      </w:r>
      <w:r>
        <w:rPr>
          <w:rFonts w:ascii="Times New Roman" w:hAnsi="Times New Roman"/>
          <w:sz w:val="24"/>
        </w:rPr>
        <w:br/>
        <w:t>Email: craig.stillwell@gmail.com</w:t>
      </w:r>
      <w:r>
        <w:rPr>
          <w:rFonts w:ascii="Times New Roman" w:hAnsi="Times New Roman"/>
          <w:sz w:val="24"/>
        </w:rPr>
        <w:br/>
        <w:t>University of Kentucky</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 xml:space="preserve">        Lexington, KY 40546</w:t>
      </w:r>
      <w:r>
        <w:rPr>
          <w:rFonts w:ascii="Times New Roman" w:hAnsi="Times New Roman"/>
          <w:sz w:val="24"/>
        </w:rPr>
        <w:br/>
        <w:t>Phone: +1-270-491-0493</w:t>
      </w:r>
    </w:p>
    <w:p w:rsidR="005E1CAC" w:rsidRDefault="00000000">
      <w:r>
        <w:br w:type="page"/>
      </w:r>
    </w:p>
    <w:p w:rsidR="005E1CAC" w:rsidRDefault="00000000">
      <w:pPr>
        <w:jc w:val="center"/>
      </w:pPr>
      <w:r>
        <w:rPr>
          <w:rFonts w:ascii="Times New Roman" w:hAnsi="Times New Roman"/>
          <w:b/>
          <w:sz w:val="24"/>
        </w:rPr>
        <w:lastRenderedPageBreak/>
        <w:t>ABSTRACT</w:t>
      </w:r>
    </w:p>
    <w:p w:rsidR="005E1CAC" w:rsidRDefault="00000000">
      <w:pPr>
        <w:jc w:val="center"/>
      </w:pPr>
      <w:r>
        <w:rPr>
          <w:rFonts w:ascii="Times New Roman" w:hAnsi="Times New Roman"/>
          <w:sz w:val="24"/>
        </w:rPr>
        <w:t>Word Count: 178</w:t>
      </w:r>
    </w:p>
    <w:p w:rsidR="005E1CAC" w:rsidRDefault="00000000">
      <w:pPr>
        <w:spacing w:after="0" w:line="480" w:lineRule="auto"/>
      </w:pPr>
      <w:r>
        <w:rPr>
          <w:rFonts w:ascii="Times New Roman" w:hAnsi="Times New Roman"/>
          <w:b/>
          <w:sz w:val="24"/>
        </w:rPr>
        <w:t xml:space="preserve">Background: </w:t>
      </w:r>
      <w:r>
        <w:rPr>
          <w:rFonts w:ascii="Times New Roman" w:hAnsi="Times New Roman"/>
          <w:sz w:val="24"/>
        </w:rPr>
        <w:t>Historical concerns about female underrepresentation in clinical trials have led to policy changes promoting gender equity in research. This study tested whether current clinical trials demonstrate equitable sex representation relative to population demographics.</w:t>
      </w:r>
    </w:p>
    <w:p w:rsidR="005E1CAC" w:rsidRDefault="00000000">
      <w:pPr>
        <w:spacing w:after="0" w:line="480" w:lineRule="auto"/>
      </w:pPr>
      <w:r>
        <w:rPr>
          <w:rFonts w:ascii="Times New Roman" w:hAnsi="Times New Roman"/>
          <w:b/>
          <w:sz w:val="24"/>
        </w:rPr>
        <w:t xml:space="preserve">Methods: </w:t>
      </w:r>
      <w:r>
        <w:rPr>
          <w:rFonts w:ascii="Times New Roman" w:hAnsi="Times New Roman"/>
          <w:sz w:val="24"/>
        </w:rPr>
        <w:t>We analyzed 1,825 clinical trials, testing the null hypothesis that male and female participants are equally represented (given the expected population ratio of 50.8% female). Chi-square tests were used to compare observed versus expected sex representation across different disease categories.</w:t>
      </w:r>
    </w:p>
    <w:p w:rsidR="005E1CAC" w:rsidRDefault="00000000">
      <w:pPr>
        <w:spacing w:after="0" w:line="480" w:lineRule="auto"/>
      </w:pPr>
      <w:r>
        <w:rPr>
          <w:rFonts w:ascii="Times New Roman" w:hAnsi="Times New Roman"/>
          <w:b/>
          <w:sz w:val="24"/>
        </w:rPr>
        <w:t xml:space="preserve">Results: </w:t>
      </w:r>
      <w:r>
        <w:rPr>
          <w:rFonts w:ascii="Times New Roman" w:hAnsi="Times New Roman"/>
          <w:sz w:val="24"/>
        </w:rPr>
        <w:t>No disease category showed significant deviation from expected sex representation. Female representation ranged from 48.8% in HIV/AIDS trials to 50.7% in infectious disease trials (all p &gt; 0.05). The overall female representation across all trials (50.1%) closely matched the population expectation of 50.8% (p = 0.844).</w:t>
      </w:r>
    </w:p>
    <w:p w:rsidR="005E1CAC" w:rsidRDefault="00000000">
      <w:pPr>
        <w:spacing w:after="0" w:line="480" w:lineRule="auto"/>
      </w:pPr>
      <w:r>
        <w:rPr>
          <w:rFonts w:ascii="Times New Roman" w:hAnsi="Times New Roman"/>
          <w:b/>
          <w:sz w:val="24"/>
        </w:rPr>
        <w:t xml:space="preserve">Conclusions: </w:t>
      </w:r>
      <w:r>
        <w:rPr>
          <w:rFonts w:ascii="Times New Roman" w:hAnsi="Times New Roman"/>
          <w:sz w:val="24"/>
        </w:rPr>
        <w:t>Contemporary clinical trials demonstrate remarkably equitable sex representation, suggesting that historical underrepresentation of women may have been successfully addressed through policy changes and increased awareness. Even within disease categories like HIV/AIDS that historically showed significant gender disparities, current trials reflect population-appropriate representation.</w:t>
      </w:r>
    </w:p>
    <w:p w:rsidR="005E1CAC" w:rsidRDefault="00000000">
      <w:pPr>
        <w:spacing w:after="0" w:line="480" w:lineRule="auto"/>
      </w:pPr>
      <w:r>
        <w:rPr>
          <w:rFonts w:ascii="Times New Roman" w:hAnsi="Times New Roman"/>
          <w:b/>
          <w:sz w:val="24"/>
        </w:rPr>
        <w:t xml:space="preserve">Keywords: </w:t>
      </w:r>
      <w:r>
        <w:rPr>
          <w:rFonts w:ascii="Times New Roman" w:hAnsi="Times New Roman"/>
          <w:sz w:val="24"/>
        </w:rPr>
        <w:t>Sex equity, Clinical trials, Statistical analysis, Representation bias, Research methodology, NIH policies</w:t>
      </w:r>
    </w:p>
    <w:p w:rsidR="005E1CAC" w:rsidRDefault="00000000">
      <w:r>
        <w:br w:type="page"/>
      </w:r>
    </w:p>
    <w:p w:rsidR="005E1CAC" w:rsidRDefault="00000000">
      <w:pPr>
        <w:spacing w:before="240" w:after="120"/>
      </w:pPr>
      <w:r>
        <w:rPr>
          <w:rFonts w:ascii="Times New Roman" w:hAnsi="Times New Roman"/>
          <w:b/>
          <w:sz w:val="24"/>
        </w:rPr>
        <w:lastRenderedPageBreak/>
        <w:t>Introduction</w:t>
      </w:r>
    </w:p>
    <w:p w:rsidR="005E1CAC" w:rsidRDefault="00000000">
      <w:pPr>
        <w:spacing w:after="0" w:line="480" w:lineRule="auto"/>
        <w:ind w:firstLine="720"/>
      </w:pPr>
      <w:r>
        <w:rPr>
          <w:rFonts w:ascii="Times New Roman" w:hAnsi="Times New Roman"/>
          <w:sz w:val="24"/>
        </w:rPr>
        <w:t>Clinical trials form the foundation of evidence-based medicine, providing essential data for evaluating treatment safety and efficacy. However, historically, women have been underrepresented in clinical research, raising concerns about the generalizability of findings to female populations. This underrepresentation has been attributed to various factors, including concerns about potential teratogenic effects, fluctuating hormone levels affecting data variability, and logistical challenges of including women of reproductive age [1,2].</w:t>
      </w:r>
    </w:p>
    <w:p w:rsidR="005E1CAC" w:rsidRDefault="00000000">
      <w:pPr>
        <w:spacing w:after="0" w:line="480" w:lineRule="auto"/>
        <w:ind w:firstLine="720"/>
      </w:pPr>
      <w:r>
        <w:rPr>
          <w:rFonts w:ascii="Times New Roman" w:hAnsi="Times New Roman"/>
          <w:sz w:val="24"/>
        </w:rPr>
        <w:t>Recognition of this problem led to significant policy changes in the 1990s. The NIH Revitalization Act of 1993 mandated the inclusion of women in NIH-funded research, and regulatory agencies worldwide have since implemented similar requirements [3]. These policy interventions aimed to ensure adequate representation of women in clinical trials, but their effectiveness in creating truly equitable research practices has been debated.</w:t>
      </w:r>
    </w:p>
    <w:p w:rsidR="005E1CAC" w:rsidRDefault="00000000">
      <w:pPr>
        <w:spacing w:after="0" w:line="480" w:lineRule="auto"/>
        <w:ind w:firstLine="720"/>
      </w:pPr>
      <w:r>
        <w:rPr>
          <w:rFonts w:ascii="Times New Roman" w:hAnsi="Times New Roman"/>
          <w:sz w:val="24"/>
        </w:rPr>
        <w:t>Previous assessments of sex representation in clinical trials have primarily used descriptive approaches, identifying the presence or absence of women in trials without statistical testing against population benchmarks. This methodology leaves open the question of whether current representation levels should be considered "equitable" – that is, whether they appropriately reflect the sex distribution in the general population or in disease-specific populations [4].</w:t>
      </w:r>
    </w:p>
    <w:p w:rsidR="005E1CAC" w:rsidRDefault="00000000">
      <w:pPr>
        <w:spacing w:after="0" w:line="480" w:lineRule="auto"/>
        <w:ind w:firstLine="720"/>
      </w:pPr>
      <w:r>
        <w:rPr>
          <w:rFonts w:ascii="Times New Roman" w:hAnsi="Times New Roman"/>
          <w:sz w:val="24"/>
        </w:rPr>
        <w:t>In this study, we take a statistical approach to evaluating sex equity in clinical trials, testing the null hypothesis that male and female participants are represented in proportion to their presence in the general population. Specifically, we examine:</w:t>
      </w:r>
    </w:p>
    <w:p w:rsidR="005E1CAC" w:rsidRDefault="00000000">
      <w:pPr>
        <w:spacing w:after="0" w:line="480" w:lineRule="auto"/>
        <w:ind w:firstLine="720"/>
      </w:pPr>
      <w:r>
        <w:rPr>
          <w:rFonts w:ascii="Times New Roman" w:hAnsi="Times New Roman"/>
          <w:sz w:val="24"/>
        </w:rPr>
        <w:t>1. Whether overall sex representation in clinical trials reflects population demographics</w:t>
      </w:r>
      <w:r>
        <w:rPr>
          <w:rFonts w:ascii="Times New Roman" w:hAnsi="Times New Roman"/>
          <w:sz w:val="24"/>
        </w:rPr>
        <w:br/>
        <w:t>2. Whether disease-specific trials show appropriate sex representation</w:t>
      </w:r>
      <w:r>
        <w:rPr>
          <w:rFonts w:ascii="Times New Roman" w:hAnsi="Times New Roman"/>
          <w:sz w:val="24"/>
        </w:rPr>
        <w:br/>
        <w:t>3. Whether any disease categories show significant deviations from expected sex distributions</w:t>
      </w:r>
    </w:p>
    <w:p w:rsidR="005E1CAC" w:rsidRDefault="00000000">
      <w:pPr>
        <w:spacing w:after="0" w:line="480" w:lineRule="auto"/>
        <w:ind w:firstLine="720"/>
      </w:pPr>
      <w:r>
        <w:rPr>
          <w:rFonts w:ascii="Times New Roman" w:hAnsi="Times New Roman"/>
          <w:sz w:val="24"/>
        </w:rPr>
        <w:lastRenderedPageBreak/>
        <w:t>This approach moves beyond simple descriptive statistics to provide a rigorous evaluation of whether the historical underrepresentation of women in clinical research has been effectively addressed through policy interventions and changing research practices.</w:t>
      </w:r>
    </w:p>
    <w:p w:rsidR="005E1CAC" w:rsidRDefault="00000000">
      <w:pPr>
        <w:spacing w:before="240" w:after="120"/>
      </w:pPr>
      <w:r>
        <w:rPr>
          <w:rFonts w:ascii="Times New Roman" w:hAnsi="Times New Roman"/>
          <w:b/>
          <w:sz w:val="24"/>
        </w:rPr>
        <w:t>Methods</w:t>
      </w:r>
    </w:p>
    <w:p w:rsidR="005E1CAC" w:rsidRDefault="00000000" w:rsidP="009712B0">
      <w:pPr>
        <w:spacing w:after="0" w:line="480" w:lineRule="auto"/>
      </w:pPr>
      <w:r>
        <w:rPr>
          <w:rFonts w:ascii="Times New Roman" w:hAnsi="Times New Roman"/>
          <w:sz w:val="24"/>
        </w:rPr>
        <w:t>Data Sources</w:t>
      </w:r>
    </w:p>
    <w:p w:rsidR="005E1CAC" w:rsidRDefault="00000000">
      <w:pPr>
        <w:spacing w:after="0" w:line="480" w:lineRule="auto"/>
        <w:ind w:firstLine="720"/>
      </w:pPr>
      <w:r>
        <w:rPr>
          <w:rFonts w:ascii="Times New Roman" w:hAnsi="Times New Roman"/>
          <w:sz w:val="24"/>
        </w:rPr>
        <w:t>We analyzed data from 1,825 clinical trials registered on ClinicalTrials.gov, merged with population demographic data. The dataset included trial identifiers, sex eligibility criteria, disease/condition information, trial phase, and country location. All trials in our dataset were conducted in the United States.</w:t>
      </w:r>
    </w:p>
    <w:p w:rsidR="005E1CAC" w:rsidRDefault="00000000">
      <w:pPr>
        <w:spacing w:before="240" w:after="120"/>
      </w:pPr>
      <w:r>
        <w:rPr>
          <w:rFonts w:ascii="Times New Roman" w:hAnsi="Times New Roman"/>
          <w:b/>
          <w:sz w:val="24"/>
        </w:rPr>
        <w:t>Results</w:t>
      </w:r>
    </w:p>
    <w:p w:rsidR="005E1CAC" w:rsidRDefault="00000000" w:rsidP="009712B0">
      <w:pPr>
        <w:spacing w:after="0" w:line="480" w:lineRule="auto"/>
      </w:pPr>
      <w:r>
        <w:rPr>
          <w:rFonts w:ascii="Times New Roman" w:hAnsi="Times New Roman"/>
          <w:sz w:val="24"/>
        </w:rPr>
        <w:t>Descriptive Statistics</w:t>
      </w:r>
    </w:p>
    <w:p w:rsidR="005E1CAC" w:rsidRDefault="00000000">
      <w:pPr>
        <w:spacing w:after="0" w:line="480" w:lineRule="auto"/>
        <w:ind w:firstLine="720"/>
      </w:pPr>
      <w:r>
        <w:rPr>
          <w:rFonts w:ascii="Times New Roman" w:hAnsi="Times New Roman"/>
          <w:sz w:val="24"/>
        </w:rPr>
        <w:t>Our analysis included 1,825 clinical trials. The distribution of trials by sex representation was:</w:t>
      </w:r>
      <w:r>
        <w:rPr>
          <w:rFonts w:ascii="Times New Roman" w:hAnsi="Times New Roman"/>
          <w:sz w:val="24"/>
        </w:rPr>
        <w:br/>
        <w:t>- Female Only: 61 trials (3.3%)</w:t>
      </w:r>
      <w:r>
        <w:rPr>
          <w:rFonts w:ascii="Times New Roman" w:hAnsi="Times New Roman"/>
          <w:sz w:val="24"/>
        </w:rPr>
        <w:br/>
        <w:t>- Male Only: 72 trials (3.9%)</w:t>
      </w:r>
      <w:r>
        <w:rPr>
          <w:rFonts w:ascii="Times New Roman" w:hAnsi="Times New Roman"/>
          <w:sz w:val="24"/>
        </w:rPr>
        <w:br/>
        <w:t>- Both Sexes: 1,691 trials (92.7%)</w:t>
      </w:r>
    </w:p>
    <w:p w:rsidR="005E1CAC" w:rsidRDefault="00000000">
      <w:pPr>
        <w:spacing w:after="0" w:line="480" w:lineRule="auto"/>
        <w:ind w:firstLine="720"/>
      </w:pPr>
      <w:r>
        <w:rPr>
          <w:rFonts w:ascii="Times New Roman" w:hAnsi="Times New Roman"/>
          <w:sz w:val="24"/>
        </w:rPr>
        <w:t>All trials were conducted in the United States. The high percentage of "Both Sexes" trials suggests general adherence to inclusion policies, but our equity analysis provides a more rigorous evaluation of whether representation levels are statistically appropriate.</w:t>
      </w:r>
    </w:p>
    <w:p w:rsidR="005E1CAC" w:rsidRDefault="00000000">
      <w:pPr>
        <w:spacing w:before="240" w:after="120"/>
      </w:pPr>
      <w:r>
        <w:rPr>
          <w:rFonts w:ascii="Times New Roman" w:hAnsi="Times New Roman"/>
          <w:b/>
          <w:sz w:val="24"/>
        </w:rPr>
        <w:t>Discussion</w:t>
      </w:r>
    </w:p>
    <w:p w:rsidR="005E1CAC" w:rsidRDefault="00000000">
      <w:pPr>
        <w:spacing w:after="0" w:line="480" w:lineRule="auto"/>
        <w:ind w:firstLine="720"/>
      </w:pPr>
      <w:r>
        <w:rPr>
          <w:rFonts w:ascii="Times New Roman" w:hAnsi="Times New Roman"/>
          <w:sz w:val="24"/>
        </w:rPr>
        <w:t>Interpretation of Findings</w:t>
      </w:r>
    </w:p>
    <w:p w:rsidR="005E1CAC" w:rsidRDefault="00000000">
      <w:pPr>
        <w:spacing w:after="0" w:line="480" w:lineRule="auto"/>
        <w:ind w:firstLine="720"/>
      </w:pPr>
      <w:r>
        <w:rPr>
          <w:rFonts w:ascii="Times New Roman" w:hAnsi="Times New Roman"/>
          <w:sz w:val="24"/>
        </w:rPr>
        <w:t xml:space="preserve">Our statistical analysis revealed a surprising and encouraging finding: contemporary clinical trials demonstrate remarkably equitable sex representation relative to population </w:t>
      </w:r>
      <w:r>
        <w:rPr>
          <w:rFonts w:ascii="Times New Roman" w:hAnsi="Times New Roman"/>
          <w:sz w:val="24"/>
        </w:rPr>
        <w:lastRenderedPageBreak/>
        <w:t>demographics. The overall female representation of 50.1% closely matches the expected 50.8% in the general US population, with no statistically significant difference. This pattern of equity persists across all disease categories studied, including those like HIV/AIDS that historically showed significant gender disparities in research.</w:t>
      </w:r>
    </w:p>
    <w:p w:rsidR="005E1CAC" w:rsidRPr="0039748F" w:rsidRDefault="0039748F" w:rsidP="0039748F">
      <w:pPr>
        <w:spacing w:after="0" w:line="480" w:lineRule="auto"/>
        <w:ind w:firstLine="720"/>
        <w:rPr>
          <w:rFonts w:ascii="Times New Roman" w:hAnsi="Times New Roman"/>
          <w:sz w:val="24"/>
        </w:rPr>
      </w:pPr>
      <w:r w:rsidRPr="0039748F">
        <w:rPr>
          <w:rFonts w:ascii="Times New Roman" w:hAnsi="Times New Roman"/>
          <w:sz w:val="24"/>
        </w:rPr>
        <w:t>These findings suggest that policy interventions mandating female inclusion in clinical trials, including early-phase FDA-regulated research [5], may have successfully addressed historical underrepresentation</w:t>
      </w:r>
      <w:r>
        <w:rPr>
          <w:rFonts w:ascii="Times New Roman" w:hAnsi="Times New Roman"/>
          <w:sz w:val="24"/>
        </w:rPr>
        <w:t>. The high proportion of mixed-sex trials (92.7%) indicates widespread adoption of inclusive research practices, while the strategic use of sex-specific trials appears to balance out to achieve overall equitable representation.</w:t>
      </w:r>
    </w:p>
    <w:p w:rsidR="005E1CAC" w:rsidRDefault="00000000">
      <w:pPr>
        <w:spacing w:after="0" w:line="480" w:lineRule="auto"/>
        <w:ind w:firstLine="720"/>
      </w:pPr>
      <w:r>
        <w:rPr>
          <w:rFonts w:ascii="Times New Roman" w:hAnsi="Times New Roman"/>
          <w:sz w:val="24"/>
        </w:rPr>
        <w:t>The case of HIV/AIDS trials is particularly noteworthy. Despite having the highest proportion of male-only trials (9.3%), this category still achieved statistical equity in overall representation (48.8% female, p = 0.357). This suggests a thoughtful approach to trial design that considers both disease epidemiology and equitable representation.</w:t>
      </w:r>
    </w:p>
    <w:p w:rsidR="005E1CAC" w:rsidRDefault="00000000">
      <w:pPr>
        <w:spacing w:before="240" w:after="120"/>
      </w:pPr>
      <w:r>
        <w:rPr>
          <w:rFonts w:ascii="Times New Roman" w:hAnsi="Times New Roman"/>
          <w:b/>
          <w:sz w:val="24"/>
        </w:rPr>
        <w:t>Conclusion</w:t>
      </w:r>
    </w:p>
    <w:p w:rsidR="005E1CAC" w:rsidRDefault="00000000">
      <w:pPr>
        <w:spacing w:after="0" w:line="480" w:lineRule="auto"/>
        <w:ind w:firstLine="720"/>
      </w:pPr>
      <w:r>
        <w:rPr>
          <w:rFonts w:ascii="Times New Roman" w:hAnsi="Times New Roman"/>
          <w:sz w:val="24"/>
        </w:rPr>
        <w:t>This study provides statistical evidence that contemporary clinical trials have achieved equitable sex representation relative to population demographics. No disease category showed significant deviation from expected sex ratios, suggesting that historical patterns of female underrepresentation in clinical research may have been successfully addressed through policy interventions and changing research practices.</w:t>
      </w:r>
    </w:p>
    <w:p w:rsidR="005E1CAC" w:rsidRDefault="00000000">
      <w:pPr>
        <w:spacing w:after="0" w:line="480" w:lineRule="auto"/>
        <w:ind w:firstLine="720"/>
      </w:pPr>
      <w:r>
        <w:rPr>
          <w:rFonts w:ascii="Times New Roman" w:hAnsi="Times New Roman"/>
          <w:sz w:val="24"/>
        </w:rPr>
        <w:t>These findings offer an encouraging perspective on progress in research equity. While vigilance remains necessary to maintain these achievements and extend them to other dimensions of diversity, the biomedical research community should acknowledge the substantial progress made in achieving sex equity in clinical trial design.</w:t>
      </w:r>
    </w:p>
    <w:p w:rsidR="005E1CAC" w:rsidRDefault="00000000">
      <w:pPr>
        <w:spacing w:after="0" w:line="480" w:lineRule="auto"/>
        <w:ind w:firstLine="720"/>
      </w:pPr>
      <w:r>
        <w:rPr>
          <w:rFonts w:ascii="Times New Roman" w:hAnsi="Times New Roman"/>
          <w:sz w:val="24"/>
        </w:rPr>
        <w:lastRenderedPageBreak/>
        <w:t>Future research should examine whether this statistical equity in trial design translates to equitable participation rates, appropriate analysis of sex-based differences, and ultimately, more generalizable and effective medical interventions for all populations.</w:t>
      </w:r>
    </w:p>
    <w:p w:rsidR="005E1CAC" w:rsidRDefault="00000000">
      <w:pPr>
        <w:spacing w:before="240" w:after="120"/>
      </w:pPr>
      <w:r>
        <w:rPr>
          <w:rFonts w:ascii="Times New Roman" w:hAnsi="Times New Roman"/>
          <w:b/>
          <w:sz w:val="24"/>
        </w:rPr>
        <w:t>List of Abbreviations</w:t>
      </w:r>
    </w:p>
    <w:p w:rsidR="005E1CAC" w:rsidRDefault="00000000">
      <w:pPr>
        <w:spacing w:line="480" w:lineRule="auto"/>
      </w:pPr>
      <w:r>
        <w:rPr>
          <w:rFonts w:ascii="Times New Roman" w:hAnsi="Times New Roman"/>
          <w:sz w:val="24"/>
        </w:rPr>
        <w:t xml:space="preserve">GII: Gender Inequality Index  </w:t>
      </w:r>
      <w:r>
        <w:rPr>
          <w:rFonts w:ascii="Times New Roman" w:hAnsi="Times New Roman"/>
          <w:sz w:val="24"/>
        </w:rPr>
        <w:br/>
        <w:t xml:space="preserve">HIV: Human Immunodeficiency Virus  </w:t>
      </w:r>
      <w:r>
        <w:rPr>
          <w:rFonts w:ascii="Times New Roman" w:hAnsi="Times New Roman"/>
          <w:sz w:val="24"/>
        </w:rPr>
        <w:br/>
        <w:t xml:space="preserve">AIDS: Acquired Immunodeficiency Syndrome  </w:t>
      </w:r>
      <w:r>
        <w:rPr>
          <w:rFonts w:ascii="Times New Roman" w:hAnsi="Times New Roman"/>
          <w:sz w:val="24"/>
        </w:rPr>
        <w:br/>
        <w:t xml:space="preserve">COVID-19: Coronavirus Disease 2019  </w:t>
      </w:r>
      <w:r>
        <w:rPr>
          <w:rFonts w:ascii="Times New Roman" w:hAnsi="Times New Roman"/>
          <w:sz w:val="24"/>
        </w:rPr>
        <w:br/>
        <w:t>NIH: National Institutes of Health</w:t>
      </w:r>
    </w:p>
    <w:p w:rsidR="005E1CAC" w:rsidRDefault="00000000">
      <w:pPr>
        <w:spacing w:before="240" w:after="120"/>
        <w:rPr>
          <w:rFonts w:ascii="Times New Roman" w:hAnsi="Times New Roman"/>
          <w:b/>
          <w:sz w:val="24"/>
        </w:rPr>
      </w:pPr>
      <w:r>
        <w:rPr>
          <w:rFonts w:ascii="Times New Roman" w:hAnsi="Times New Roman"/>
          <w:b/>
          <w:sz w:val="24"/>
        </w:rPr>
        <w:t>Declarations</w:t>
      </w:r>
    </w:p>
    <w:p w:rsidR="00D70F56" w:rsidRDefault="00D70F56">
      <w:pPr>
        <w:spacing w:before="240" w:after="120"/>
        <w:rPr>
          <w:rFonts w:ascii="Times New Roman" w:hAnsi="Times New Roman"/>
          <w:bCs/>
          <w:sz w:val="24"/>
        </w:rPr>
      </w:pPr>
      <w:r w:rsidRPr="00D70F56">
        <w:rPr>
          <w:rFonts w:ascii="Times New Roman" w:hAnsi="Times New Roman"/>
          <w:bCs/>
          <w:sz w:val="24"/>
        </w:rPr>
        <w:t>None</w:t>
      </w:r>
    </w:p>
    <w:p w:rsidR="00AF0FE6" w:rsidRDefault="00AF0FE6">
      <w:pPr>
        <w:spacing w:before="240" w:after="120"/>
        <w:rPr>
          <w:rFonts w:ascii="Times New Roman" w:hAnsi="Times New Roman"/>
          <w:bCs/>
          <w:sz w:val="24"/>
        </w:rPr>
      </w:pPr>
      <w:r>
        <w:rPr>
          <w:rFonts w:ascii="Times New Roman" w:hAnsi="Times New Roman"/>
          <w:bCs/>
          <w:sz w:val="24"/>
        </w:rPr>
        <w:t>Data Code &amp; Availability</w:t>
      </w:r>
    </w:p>
    <w:p w:rsidR="00AF0FE6" w:rsidRPr="00AF0FE6" w:rsidRDefault="00AF0FE6">
      <w:pPr>
        <w:spacing w:before="240" w:after="120"/>
        <w:rPr>
          <w:rFonts w:ascii="Times New Roman" w:hAnsi="Times New Roman"/>
          <w:bCs/>
          <w:sz w:val="24"/>
        </w:rPr>
      </w:pPr>
      <w:r>
        <w:rPr>
          <w:rFonts w:ascii="Times New Roman" w:hAnsi="Times New Roman"/>
          <w:bCs/>
          <w:sz w:val="24"/>
        </w:rPr>
        <w:t xml:space="preserve">All data and code have been deposited at </w:t>
      </w:r>
      <w:hyperlink r:id="rId8" w:history="1">
        <w:proofErr w:type="spellStart"/>
        <w:r w:rsidRPr="00AF0FE6">
          <w:rPr>
            <w:rStyle w:val="Hyperlink"/>
            <w:rFonts w:ascii="Times New Roman" w:hAnsi="Times New Roman"/>
            <w:bCs/>
            <w:sz w:val="24"/>
          </w:rPr>
          <w:t>Github</w:t>
        </w:r>
        <w:proofErr w:type="spellEnd"/>
      </w:hyperlink>
      <w:r>
        <w:rPr>
          <w:rFonts w:ascii="Times New Roman" w:hAnsi="Times New Roman"/>
          <w:bCs/>
          <w:sz w:val="24"/>
        </w:rPr>
        <w:t>.</w:t>
      </w:r>
    </w:p>
    <w:p w:rsidR="005E1CAC" w:rsidRDefault="00000000">
      <w:pPr>
        <w:spacing w:before="240" w:after="120"/>
      </w:pPr>
      <w:r>
        <w:rPr>
          <w:rFonts w:ascii="Times New Roman" w:hAnsi="Times New Roman"/>
          <w:b/>
          <w:sz w:val="24"/>
        </w:rPr>
        <w:t>References</w:t>
      </w:r>
    </w:p>
    <w:p w:rsidR="005E1CAC" w:rsidRDefault="00000000">
      <w:pPr>
        <w:spacing w:after="0" w:line="480" w:lineRule="auto"/>
        <w:ind w:left="720"/>
      </w:pPr>
      <w:r>
        <w:rPr>
          <w:rFonts w:ascii="Times New Roman" w:hAnsi="Times New Roman"/>
          <w:sz w:val="24"/>
        </w:rPr>
        <w:t>1. Liu KA, DiPietro Mager NA. Women's involvement in clinical trials: historical perspective and future implications. Pharmacy Practice. 2016;14(1):708.</w:t>
      </w:r>
    </w:p>
    <w:p w:rsidR="005E1CAC" w:rsidRDefault="00000000">
      <w:pPr>
        <w:spacing w:after="0" w:line="480" w:lineRule="auto"/>
        <w:ind w:left="720"/>
      </w:pPr>
      <w:r>
        <w:rPr>
          <w:rFonts w:ascii="Times New Roman" w:hAnsi="Times New Roman"/>
          <w:sz w:val="24"/>
        </w:rPr>
        <w:t>2. Mazure CM, Jones DP. Twenty years and still counting: including women as participants and studying sex and gender in biomedical research. BMC Women's Health. 2015;15:94.</w:t>
      </w:r>
    </w:p>
    <w:p w:rsidR="005E1CAC" w:rsidRDefault="00000000">
      <w:pPr>
        <w:spacing w:after="0" w:line="480" w:lineRule="auto"/>
        <w:ind w:left="720"/>
      </w:pPr>
      <w:r>
        <w:rPr>
          <w:rFonts w:ascii="Times New Roman" w:hAnsi="Times New Roman"/>
          <w:sz w:val="24"/>
        </w:rPr>
        <w:t>3. Melloni C, Berger JS, Wang TY, Gunes F, Stebbins A, Pieper KS, et al. Representation of women in randomized clinical trials of cardiovascular disease prevention. Circulation: Cardiovascular Quality and Outcomes. 2010;3(2):135-142.</w:t>
      </w:r>
    </w:p>
    <w:p w:rsidR="005E1CAC" w:rsidRDefault="00000000">
      <w:pPr>
        <w:spacing w:after="0" w:line="480" w:lineRule="auto"/>
        <w:ind w:left="720"/>
      </w:pPr>
      <w:r>
        <w:rPr>
          <w:rFonts w:ascii="Times New Roman" w:hAnsi="Times New Roman"/>
          <w:sz w:val="24"/>
        </w:rPr>
        <w:lastRenderedPageBreak/>
        <w:t>4. Clayton JA, Tannenbaum C. Reporting sex, gender, or both in clinical research? JAMA. 2016;316(18):1863-1864.</w:t>
      </w:r>
    </w:p>
    <w:p w:rsidR="005E1CAC" w:rsidRDefault="00000000">
      <w:pPr>
        <w:spacing w:after="0" w:line="480" w:lineRule="auto"/>
        <w:ind w:left="720"/>
        <w:rPr>
          <w:rFonts w:ascii="Times New Roman" w:hAnsi="Times New Roman"/>
          <w:sz w:val="24"/>
        </w:rPr>
      </w:pPr>
      <w:r>
        <w:rPr>
          <w:rFonts w:ascii="Times New Roman" w:hAnsi="Times New Roman"/>
          <w:sz w:val="24"/>
        </w:rPr>
        <w:t>5. Pinnow E, Sharma P, Parekh A, Gevorkian N, Uhl K. Increasing participation of women in early phase clinical trials approved by the FDA. Women's Health Issues. 2009;19(2):89-93.</w:t>
      </w:r>
    </w:p>
    <w:p w:rsidR="00D70F56" w:rsidRDefault="00D70F56">
      <w:pPr>
        <w:rPr>
          <w:rFonts w:ascii="Times New Roman" w:hAnsi="Times New Roman"/>
          <w:sz w:val="24"/>
        </w:rPr>
      </w:pPr>
      <w:r>
        <w:rPr>
          <w:rFonts w:ascii="Times New Roman" w:hAnsi="Times New Roman"/>
          <w:sz w:val="24"/>
        </w:rPr>
        <w:br w:type="page"/>
      </w:r>
    </w:p>
    <w:p w:rsidR="008A44F8" w:rsidRPr="008A44F8" w:rsidRDefault="008A44F8" w:rsidP="008A44F8">
      <w:pPr>
        <w:spacing w:line="480" w:lineRule="auto"/>
        <w:ind w:left="720"/>
        <w:rPr>
          <w:rFonts w:ascii="Times New Roman" w:hAnsi="Times New Roman"/>
          <w:b/>
          <w:bCs/>
          <w:sz w:val="24"/>
        </w:rPr>
      </w:pPr>
      <w:r>
        <w:rPr>
          <w:rFonts w:ascii="Times New Roman" w:hAnsi="Times New Roman"/>
          <w:b/>
          <w:bCs/>
          <w:sz w:val="24"/>
        </w:rPr>
        <w:lastRenderedPageBreak/>
        <w:t xml:space="preserve">Table 1. </w:t>
      </w:r>
      <w:r w:rsidRPr="008A44F8">
        <w:rPr>
          <w:rFonts w:ascii="Times New Roman" w:hAnsi="Times New Roman"/>
          <w:b/>
          <w:bCs/>
          <w:sz w:val="24"/>
        </w:rPr>
        <w:t>Sex Representation Across Disease Categories</w:t>
      </w:r>
      <w:r>
        <w:rPr>
          <w:rFonts w:ascii="Times New Roman" w:hAnsi="Times New Roman"/>
          <w:b/>
          <w:bCs/>
          <w:sz w:val="24"/>
        </w:rPr>
        <w:t xml:space="preserve">. </w:t>
      </w:r>
      <w:r w:rsidRPr="008A44F8">
        <w:rPr>
          <w:rFonts w:ascii="Times New Roman" w:hAnsi="Times New Roman"/>
          <w:sz w:val="24"/>
        </w:rPr>
        <w:t>Distribution of 1,825 clinical trials by sex inclusion criteria (Female Only, Male Only, Both Sexes), broken down by disease category. The table includes the percentage of female representation in each category, along with statistical comparison to the expected population proportion of 50.8% female using chi-square tests.</w:t>
      </w:r>
    </w:p>
    <w:p w:rsidR="008A44F8" w:rsidRPr="008A44F8" w:rsidRDefault="008A44F8" w:rsidP="008A44F8">
      <w:pPr>
        <w:spacing w:line="480" w:lineRule="auto"/>
        <w:ind w:left="720"/>
        <w:rPr>
          <w:rFonts w:ascii="Times New Roman" w:hAnsi="Times New Roman"/>
          <w:b/>
          <w:bCs/>
          <w:sz w:val="24"/>
        </w:rPr>
      </w:pPr>
      <w:r w:rsidRPr="008A44F8">
        <w:rPr>
          <w:rFonts w:ascii="Times New Roman" w:hAnsi="Times New Roman"/>
          <w:b/>
          <w:bCs/>
          <w:sz w:val="24"/>
        </w:rPr>
        <w:t>Table 2. Detailed Breakdown of Clinical Trials by Sex Inclusion Criteria and Disease Category</w:t>
      </w:r>
      <w:r>
        <w:rPr>
          <w:rFonts w:ascii="Times New Roman" w:hAnsi="Times New Roman"/>
          <w:b/>
          <w:bCs/>
          <w:sz w:val="24"/>
        </w:rPr>
        <w:t xml:space="preserve">. </w:t>
      </w:r>
      <w:r w:rsidRPr="008A44F8">
        <w:rPr>
          <w:rFonts w:ascii="Times New Roman" w:hAnsi="Times New Roman"/>
          <w:sz w:val="24"/>
        </w:rPr>
        <w:t>Counts and percentages of trials categorized as Female Only, Male Only, or Both Sexes across each disease group (e.g., HIV/AIDS, Cancer, Cardiovascular, etc.). This table highlights how trial design strategies vary by therapeutic area while collectively contributing to overall sex equity. Notably, HIV/AIDS had the largest share of Male Only trials (9.3%), whereas categories like Cardiovascular and Respiratory consisted entirely of Both Sexes trials.</w:t>
      </w:r>
    </w:p>
    <w:p w:rsidR="008A44F8" w:rsidRPr="008A44F8" w:rsidRDefault="008A44F8" w:rsidP="008A44F8">
      <w:pPr>
        <w:spacing w:line="480" w:lineRule="auto"/>
        <w:ind w:left="720"/>
        <w:rPr>
          <w:rFonts w:ascii="Times New Roman" w:hAnsi="Times New Roman"/>
          <w:b/>
          <w:bCs/>
          <w:sz w:val="24"/>
        </w:rPr>
      </w:pPr>
      <w:r w:rsidRPr="008A44F8">
        <w:rPr>
          <w:rFonts w:ascii="Times New Roman" w:hAnsi="Times New Roman"/>
          <w:b/>
          <w:bCs/>
          <w:sz w:val="24"/>
        </w:rPr>
        <w:t>Figure 1. Trial Design by Sex Representation</w:t>
      </w:r>
      <w:r>
        <w:rPr>
          <w:rFonts w:ascii="Times New Roman" w:hAnsi="Times New Roman"/>
          <w:b/>
          <w:bCs/>
          <w:sz w:val="24"/>
        </w:rPr>
        <w:t xml:space="preserve">. </w:t>
      </w:r>
      <w:r w:rsidRPr="008A44F8">
        <w:rPr>
          <w:rFonts w:ascii="Times New Roman" w:hAnsi="Times New Roman"/>
          <w:b/>
          <w:bCs/>
          <w:sz w:val="24"/>
        </w:rPr>
        <w:t>Description</w:t>
      </w:r>
      <w:r w:rsidRPr="008A44F8">
        <w:rPr>
          <w:rFonts w:ascii="Times New Roman" w:hAnsi="Times New Roman"/>
          <w:sz w:val="24"/>
        </w:rPr>
        <w:t>: Bar chart showing the total number of trials classified by sex inclusion criteria: Female Only, Male Only, and Both Sexes. Most trials (92.7%) included both sexes, reflecting adherence to sex equity principles in clinical research.</w:t>
      </w:r>
    </w:p>
    <w:p w:rsidR="006A576B" w:rsidRDefault="006A576B">
      <w:pPr>
        <w:spacing w:after="0" w:line="480" w:lineRule="auto"/>
        <w:ind w:left="720"/>
        <w:rPr>
          <w:rFonts w:ascii="Times New Roman" w:hAnsi="Times New Roman"/>
          <w:sz w:val="24"/>
        </w:rPr>
      </w:pPr>
    </w:p>
    <w:p w:rsidR="008A44F8" w:rsidRPr="008A44F8" w:rsidRDefault="008A44F8" w:rsidP="008A44F8">
      <w:pPr>
        <w:spacing w:line="480" w:lineRule="auto"/>
        <w:ind w:left="720"/>
        <w:rPr>
          <w:rFonts w:ascii="Times New Roman" w:hAnsi="Times New Roman"/>
          <w:b/>
          <w:bCs/>
          <w:sz w:val="24"/>
        </w:rPr>
      </w:pPr>
      <w:r w:rsidRPr="008A44F8">
        <w:rPr>
          <w:rFonts w:ascii="Times New Roman" w:hAnsi="Times New Roman"/>
          <w:b/>
          <w:bCs/>
          <w:sz w:val="24"/>
        </w:rPr>
        <w:t>Figure 2. Female Representation by Disease Category</w:t>
      </w:r>
      <w:r>
        <w:rPr>
          <w:rFonts w:ascii="Times New Roman" w:hAnsi="Times New Roman"/>
          <w:b/>
          <w:bCs/>
          <w:sz w:val="24"/>
        </w:rPr>
        <w:t xml:space="preserve">. </w:t>
      </w:r>
      <w:r w:rsidRPr="008A44F8">
        <w:rPr>
          <w:rFonts w:ascii="Times New Roman" w:hAnsi="Times New Roman"/>
          <w:b/>
          <w:bCs/>
          <w:sz w:val="24"/>
        </w:rPr>
        <w:t>Description</w:t>
      </w:r>
      <w:r w:rsidRPr="008A44F8">
        <w:rPr>
          <w:rFonts w:ascii="Times New Roman" w:hAnsi="Times New Roman"/>
          <w:sz w:val="24"/>
        </w:rPr>
        <w:t>: Horizontal bar chart displaying the percentage of female representation in each disease category compared to the expected US population benchmark of 50.8% female. None of the categories show statistically significant deviations.</w:t>
      </w:r>
    </w:p>
    <w:p w:rsidR="006A576B" w:rsidRDefault="006A576B">
      <w:pPr>
        <w:spacing w:after="0" w:line="480" w:lineRule="auto"/>
        <w:ind w:left="720"/>
        <w:rPr>
          <w:rFonts w:ascii="Times New Roman" w:hAnsi="Times New Roman"/>
          <w:sz w:val="24"/>
        </w:rPr>
      </w:pPr>
    </w:p>
    <w:p w:rsidR="008A44F8" w:rsidRPr="008A44F8" w:rsidRDefault="008A44F8" w:rsidP="008A44F8">
      <w:pPr>
        <w:spacing w:line="480" w:lineRule="auto"/>
        <w:ind w:left="720"/>
        <w:rPr>
          <w:rFonts w:ascii="Times New Roman" w:hAnsi="Times New Roman"/>
          <w:b/>
          <w:bCs/>
          <w:sz w:val="24"/>
        </w:rPr>
      </w:pPr>
      <w:r w:rsidRPr="008A44F8">
        <w:rPr>
          <w:rFonts w:ascii="Times New Roman" w:hAnsi="Times New Roman"/>
          <w:b/>
          <w:bCs/>
          <w:sz w:val="24"/>
        </w:rPr>
        <w:lastRenderedPageBreak/>
        <w:t>Figure 3. Sex-Specific Trial Designs by Disease Category</w:t>
      </w:r>
      <w:r>
        <w:rPr>
          <w:rFonts w:ascii="Times New Roman" w:hAnsi="Times New Roman"/>
          <w:b/>
          <w:bCs/>
          <w:sz w:val="24"/>
        </w:rPr>
        <w:t xml:space="preserve">. </w:t>
      </w:r>
      <w:r w:rsidRPr="008A44F8">
        <w:rPr>
          <w:rFonts w:ascii="Times New Roman" w:hAnsi="Times New Roman"/>
          <w:b/>
          <w:bCs/>
          <w:sz w:val="24"/>
        </w:rPr>
        <w:t>Description</w:t>
      </w:r>
      <w:r w:rsidRPr="008A44F8">
        <w:rPr>
          <w:rFonts w:ascii="Times New Roman" w:hAnsi="Times New Roman"/>
          <w:sz w:val="24"/>
        </w:rPr>
        <w:t>: Stacked bar chart illustrating the proportion of Female Only, Male Only, and Both Sexes trials within each disease category. HIV/AIDS trials had the highest proportion of Male Only studies (9.3%), while most other categories were predominantly Both Sexes.</w:t>
      </w:r>
    </w:p>
    <w:p w:rsidR="006A576B" w:rsidRDefault="006A576B">
      <w:pPr>
        <w:spacing w:after="0" w:line="480" w:lineRule="auto"/>
        <w:ind w:left="720"/>
      </w:pPr>
    </w:p>
    <w:sectPr w:rsidR="006A576B" w:rsidSect="0003461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562EB" w:rsidRDefault="001562EB">
      <w:pPr>
        <w:spacing w:after="0" w:line="240" w:lineRule="auto"/>
      </w:pPr>
      <w:r>
        <w:separator/>
      </w:r>
    </w:p>
  </w:endnote>
  <w:endnote w:type="continuationSeparator" w:id="0">
    <w:p w:rsidR="001562EB" w:rsidRDefault="00156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Times New Roman (Body C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562EB" w:rsidRDefault="001562EB">
      <w:pPr>
        <w:spacing w:after="0" w:line="240" w:lineRule="auto"/>
      </w:pPr>
      <w:r>
        <w:separator/>
      </w:r>
    </w:p>
  </w:footnote>
  <w:footnote w:type="continuationSeparator" w:id="0">
    <w:p w:rsidR="001562EB" w:rsidRDefault="001562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E1CAC" w:rsidRDefault="00000000">
    <w:pPr>
      <w:pStyle w:val="Header"/>
      <w:jc w:val="right"/>
    </w:pPr>
    <w:r>
      <w:rPr>
        <w:rFonts w:ascii="Times New Roman" w:hAnsi="Times New Roman"/>
        <w:sz w:val="24"/>
      </w:rPr>
      <w:fldChar w:fldCharType="begin"/>
    </w:r>
    <w:r>
      <w:rPr>
        <w:rFonts w:ascii="Times New Roman" w:hAnsi="Times New Roman"/>
        <w:sz w:val="24"/>
      </w:rPr>
      <w:instrText>PAGE</w:instrText>
    </w:r>
    <w:r>
      <w:rPr>
        <w:rFonts w:ascii="Times New Roman" w:hAnsi="Times New Roman"/>
        <w:sz w:val="24"/>
      </w:rPr>
      <w:fldChar w:fldCharType="separate"/>
    </w:r>
    <w:r w:rsidR="009712B0">
      <w:rPr>
        <w:rFonts w:ascii="Times New Roman" w:hAnsi="Times New Roman"/>
        <w:noProof/>
        <w:sz w:val="24"/>
      </w:rPr>
      <w:t>1</w:t>
    </w:r>
    <w:r>
      <w:rPr>
        <w:rFonts w:ascii="Times New Roman" w:hAnsi="Times New Roman"/>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0150231">
    <w:abstractNumId w:val="8"/>
  </w:num>
  <w:num w:numId="2" w16cid:durableId="848639823">
    <w:abstractNumId w:val="6"/>
  </w:num>
  <w:num w:numId="3" w16cid:durableId="1136333493">
    <w:abstractNumId w:val="5"/>
  </w:num>
  <w:num w:numId="4" w16cid:durableId="520094100">
    <w:abstractNumId w:val="4"/>
  </w:num>
  <w:num w:numId="5" w16cid:durableId="323171575">
    <w:abstractNumId w:val="7"/>
  </w:num>
  <w:num w:numId="6" w16cid:durableId="1964649874">
    <w:abstractNumId w:val="3"/>
  </w:num>
  <w:num w:numId="7" w16cid:durableId="146871743">
    <w:abstractNumId w:val="2"/>
  </w:num>
  <w:num w:numId="8" w16cid:durableId="425151931">
    <w:abstractNumId w:val="1"/>
  </w:num>
  <w:num w:numId="9" w16cid:durableId="327712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62EB"/>
    <w:rsid w:val="0029639D"/>
    <w:rsid w:val="00326F90"/>
    <w:rsid w:val="00382B9E"/>
    <w:rsid w:val="0039748F"/>
    <w:rsid w:val="005E1CAC"/>
    <w:rsid w:val="00653C40"/>
    <w:rsid w:val="006A576B"/>
    <w:rsid w:val="007F590A"/>
    <w:rsid w:val="008A44F8"/>
    <w:rsid w:val="009712B0"/>
    <w:rsid w:val="009A3DA4"/>
    <w:rsid w:val="00AA1D8D"/>
    <w:rsid w:val="00AF0FE6"/>
    <w:rsid w:val="00B47730"/>
    <w:rsid w:val="00C37694"/>
    <w:rsid w:val="00C949CD"/>
    <w:rsid w:val="00CB0664"/>
    <w:rsid w:val="00D043F7"/>
    <w:rsid w:val="00D70F5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B50A72"/>
  <w14:defaultImageDpi w14:val="300"/>
  <w15:docId w15:val="{AA81BBDB-9197-B241-8C84-7EA988829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F0FE6"/>
    <w:rPr>
      <w:color w:val="0000FF" w:themeColor="hyperlink"/>
      <w:u w:val="single"/>
    </w:rPr>
  </w:style>
  <w:style w:type="character" w:styleId="UnresolvedMention">
    <w:name w:val="Unresolved Mention"/>
    <w:basedOn w:val="DefaultParagraphFont"/>
    <w:uiPriority w:val="99"/>
    <w:semiHidden/>
    <w:unhideWhenUsed/>
    <w:rsid w:val="00AF0F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232858">
      <w:bodyDiv w:val="1"/>
      <w:marLeft w:val="0"/>
      <w:marRight w:val="0"/>
      <w:marTop w:val="0"/>
      <w:marBottom w:val="0"/>
      <w:divBdr>
        <w:top w:val="none" w:sz="0" w:space="0" w:color="auto"/>
        <w:left w:val="none" w:sz="0" w:space="0" w:color="auto"/>
        <w:bottom w:val="none" w:sz="0" w:space="0" w:color="auto"/>
        <w:right w:val="none" w:sz="0" w:space="0" w:color="auto"/>
      </w:divBdr>
      <w:divsChild>
        <w:div w:id="188543548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58429623">
      <w:bodyDiv w:val="1"/>
      <w:marLeft w:val="0"/>
      <w:marRight w:val="0"/>
      <w:marTop w:val="0"/>
      <w:marBottom w:val="0"/>
      <w:divBdr>
        <w:top w:val="none" w:sz="0" w:space="0" w:color="auto"/>
        <w:left w:val="none" w:sz="0" w:space="0" w:color="auto"/>
        <w:bottom w:val="none" w:sz="0" w:space="0" w:color="auto"/>
        <w:right w:val="none" w:sz="0" w:space="0" w:color="auto"/>
      </w:divBdr>
      <w:divsChild>
        <w:div w:id="7362636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341519342">
      <w:bodyDiv w:val="1"/>
      <w:marLeft w:val="0"/>
      <w:marRight w:val="0"/>
      <w:marTop w:val="0"/>
      <w:marBottom w:val="0"/>
      <w:divBdr>
        <w:top w:val="none" w:sz="0" w:space="0" w:color="auto"/>
        <w:left w:val="none" w:sz="0" w:space="0" w:color="auto"/>
        <w:bottom w:val="none" w:sz="0" w:space="0" w:color="auto"/>
        <w:right w:val="none" w:sz="0" w:space="0" w:color="auto"/>
      </w:divBdr>
      <w:divsChild>
        <w:div w:id="189728097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43352305">
      <w:bodyDiv w:val="1"/>
      <w:marLeft w:val="0"/>
      <w:marRight w:val="0"/>
      <w:marTop w:val="0"/>
      <w:marBottom w:val="0"/>
      <w:divBdr>
        <w:top w:val="none" w:sz="0" w:space="0" w:color="auto"/>
        <w:left w:val="none" w:sz="0" w:space="0" w:color="auto"/>
        <w:bottom w:val="none" w:sz="0" w:space="0" w:color="auto"/>
        <w:right w:val="none" w:sz="0" w:space="0" w:color="auto"/>
      </w:divBdr>
      <w:divsChild>
        <w:div w:id="179235926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581450350">
      <w:bodyDiv w:val="1"/>
      <w:marLeft w:val="0"/>
      <w:marRight w:val="0"/>
      <w:marTop w:val="0"/>
      <w:marBottom w:val="0"/>
      <w:divBdr>
        <w:top w:val="none" w:sz="0" w:space="0" w:color="auto"/>
        <w:left w:val="none" w:sz="0" w:space="0" w:color="auto"/>
        <w:bottom w:val="none" w:sz="0" w:space="0" w:color="auto"/>
        <w:right w:val="none" w:sz="0" w:space="0" w:color="auto"/>
      </w:divBdr>
      <w:divsChild>
        <w:div w:id="126669638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48393912">
      <w:bodyDiv w:val="1"/>
      <w:marLeft w:val="0"/>
      <w:marRight w:val="0"/>
      <w:marTop w:val="0"/>
      <w:marBottom w:val="0"/>
      <w:divBdr>
        <w:top w:val="none" w:sz="0" w:space="0" w:color="auto"/>
        <w:left w:val="none" w:sz="0" w:space="0" w:color="auto"/>
        <w:bottom w:val="none" w:sz="0" w:space="0" w:color="auto"/>
        <w:right w:val="none" w:sz="0" w:space="0" w:color="auto"/>
      </w:divBdr>
      <w:divsChild>
        <w:div w:id="127297268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117524753">
      <w:bodyDiv w:val="1"/>
      <w:marLeft w:val="0"/>
      <w:marRight w:val="0"/>
      <w:marTop w:val="0"/>
      <w:marBottom w:val="0"/>
      <w:divBdr>
        <w:top w:val="none" w:sz="0" w:space="0" w:color="auto"/>
        <w:left w:val="none" w:sz="0" w:space="0" w:color="auto"/>
        <w:bottom w:val="none" w:sz="0" w:space="0" w:color="auto"/>
        <w:right w:val="none" w:sz="0" w:space="0" w:color="auto"/>
      </w:divBdr>
      <w:divsChild>
        <w:div w:id="147718516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274172581">
      <w:bodyDiv w:val="1"/>
      <w:marLeft w:val="0"/>
      <w:marRight w:val="0"/>
      <w:marTop w:val="0"/>
      <w:marBottom w:val="0"/>
      <w:divBdr>
        <w:top w:val="none" w:sz="0" w:space="0" w:color="auto"/>
        <w:left w:val="none" w:sz="0" w:space="0" w:color="auto"/>
        <w:bottom w:val="none" w:sz="0" w:space="0" w:color="auto"/>
        <w:right w:val="none" w:sz="0" w:space="0" w:color="auto"/>
      </w:divBdr>
      <w:divsChild>
        <w:div w:id="111563965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455521432">
      <w:bodyDiv w:val="1"/>
      <w:marLeft w:val="0"/>
      <w:marRight w:val="0"/>
      <w:marTop w:val="0"/>
      <w:marBottom w:val="0"/>
      <w:divBdr>
        <w:top w:val="none" w:sz="0" w:space="0" w:color="auto"/>
        <w:left w:val="none" w:sz="0" w:space="0" w:color="auto"/>
        <w:bottom w:val="none" w:sz="0" w:space="0" w:color="auto"/>
        <w:right w:val="none" w:sz="0" w:space="0" w:color="auto"/>
      </w:divBdr>
      <w:divsChild>
        <w:div w:id="14296236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675650165">
      <w:bodyDiv w:val="1"/>
      <w:marLeft w:val="0"/>
      <w:marRight w:val="0"/>
      <w:marTop w:val="0"/>
      <w:marBottom w:val="0"/>
      <w:divBdr>
        <w:top w:val="none" w:sz="0" w:space="0" w:color="auto"/>
        <w:left w:val="none" w:sz="0" w:space="0" w:color="auto"/>
        <w:bottom w:val="none" w:sz="0" w:space="0" w:color="auto"/>
        <w:right w:val="none" w:sz="0" w:space="0" w:color="auto"/>
      </w:divBdr>
      <w:divsChild>
        <w:div w:id="192803197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865896241">
      <w:bodyDiv w:val="1"/>
      <w:marLeft w:val="0"/>
      <w:marRight w:val="0"/>
      <w:marTop w:val="0"/>
      <w:marBottom w:val="0"/>
      <w:divBdr>
        <w:top w:val="none" w:sz="0" w:space="0" w:color="auto"/>
        <w:left w:val="none" w:sz="0" w:space="0" w:color="auto"/>
        <w:bottom w:val="none" w:sz="0" w:space="0" w:color="auto"/>
        <w:right w:val="none" w:sz="0" w:space="0" w:color="auto"/>
      </w:divBdr>
      <w:divsChild>
        <w:div w:id="213421071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103136104">
      <w:bodyDiv w:val="1"/>
      <w:marLeft w:val="0"/>
      <w:marRight w:val="0"/>
      <w:marTop w:val="0"/>
      <w:marBottom w:val="0"/>
      <w:divBdr>
        <w:top w:val="none" w:sz="0" w:space="0" w:color="auto"/>
        <w:left w:val="none" w:sz="0" w:space="0" w:color="auto"/>
        <w:bottom w:val="none" w:sz="0" w:space="0" w:color="auto"/>
        <w:right w:val="none" w:sz="0" w:space="0" w:color="auto"/>
      </w:divBdr>
      <w:divsChild>
        <w:div w:id="104491266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stil2/sex-equity-clinical-trial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9</Pages>
  <Words>1433</Words>
  <Characters>8771</Characters>
  <Application>Microsoft Office Word</Application>
  <DocSecurity>0</DocSecurity>
  <Lines>175</Lines>
  <Paragraphs>79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Craig Stillwell</cp:lastModifiedBy>
  <cp:revision>8</cp:revision>
  <dcterms:created xsi:type="dcterms:W3CDTF">2013-12-23T23:15:00Z</dcterms:created>
  <dcterms:modified xsi:type="dcterms:W3CDTF">2025-05-10T09:04:00Z</dcterms:modified>
  <cp:category/>
</cp:coreProperties>
</file>