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C36A6" w:rsidRPr="00CC36A6" w:rsidRDefault="00CC36A6" w:rsidP="00CC36A6">
      <w:pPr>
        <w:jc w:val="center"/>
        <w:rPr>
          <w:b/>
          <w:bCs/>
          <w:sz w:val="28"/>
          <w:szCs w:val="28"/>
        </w:rPr>
      </w:pPr>
    </w:p>
    <w:p w:rsidR="00CC36A6" w:rsidRPr="00CC36A6" w:rsidRDefault="00CC36A6" w:rsidP="0049692F">
      <w:pPr>
        <w:spacing w:line="360" w:lineRule="auto"/>
        <w:jc w:val="center"/>
        <w:rPr>
          <w:sz w:val="28"/>
          <w:szCs w:val="28"/>
        </w:rPr>
      </w:pPr>
      <w:r w:rsidRPr="00CC36A6">
        <w:rPr>
          <w:sz w:val="28"/>
          <w:szCs w:val="28"/>
        </w:rPr>
        <w:t>Sex Representation in U.S. Clinical Trials: A Statistical Benchmarking Study</w:t>
      </w:r>
    </w:p>
    <w:p w:rsidR="00CC36A6" w:rsidRPr="00CC36A6" w:rsidRDefault="00CC36A6" w:rsidP="0049692F">
      <w:pPr>
        <w:spacing w:line="360" w:lineRule="auto"/>
        <w:jc w:val="center"/>
        <w:rPr>
          <w:sz w:val="28"/>
          <w:szCs w:val="28"/>
        </w:rPr>
      </w:pPr>
    </w:p>
    <w:p w:rsidR="00CC36A6" w:rsidRPr="00CC36A6" w:rsidRDefault="00CC36A6" w:rsidP="0049692F">
      <w:pPr>
        <w:spacing w:line="360" w:lineRule="auto"/>
        <w:jc w:val="center"/>
        <w:rPr>
          <w:sz w:val="28"/>
          <w:szCs w:val="28"/>
        </w:rPr>
      </w:pPr>
      <w:r w:rsidRPr="00CC36A6">
        <w:rPr>
          <w:sz w:val="28"/>
          <w:szCs w:val="28"/>
        </w:rPr>
        <w:t>R. Craig Stillwell, Ph.D.</w:t>
      </w:r>
      <w:r w:rsidRPr="00CC36A6">
        <w:rPr>
          <w:sz w:val="28"/>
          <w:szCs w:val="28"/>
        </w:rPr>
        <w:br/>
        <w:t>University of Kentucky, Lexington, KY</w:t>
      </w:r>
      <w:r w:rsidR="00D25693">
        <w:rPr>
          <w:sz w:val="28"/>
          <w:szCs w:val="28"/>
        </w:rPr>
        <w:t>, USA</w:t>
      </w:r>
      <w:r w:rsidRPr="00CC36A6">
        <w:rPr>
          <w:sz w:val="28"/>
          <w:szCs w:val="28"/>
        </w:rPr>
        <w:br/>
      </w:r>
      <w:hyperlink r:id="rId8" w:history="1">
        <w:r w:rsidRPr="00CC36A6">
          <w:rPr>
            <w:rStyle w:val="Hyperlink"/>
            <w:sz w:val="28"/>
            <w:szCs w:val="28"/>
          </w:rPr>
          <w:t>craig.stillwell@gmail.com</w:t>
        </w:r>
      </w:hyperlink>
    </w:p>
    <w:p w:rsidR="00CC36A6" w:rsidRDefault="00CC36A6" w:rsidP="0049692F">
      <w:pPr>
        <w:spacing w:line="360" w:lineRule="auto"/>
        <w:jc w:val="center"/>
      </w:pPr>
    </w:p>
    <w:p w:rsidR="00CC36A6" w:rsidRDefault="00CC36A6" w:rsidP="0049692F">
      <w:pPr>
        <w:spacing w:line="360" w:lineRule="auto"/>
      </w:pPr>
      <w:r>
        <w:br w:type="page"/>
      </w:r>
    </w:p>
    <w:p w:rsidR="00CC36A6" w:rsidRPr="00CC36A6" w:rsidRDefault="001D7300" w:rsidP="0049692F">
      <w:pPr>
        <w:spacing w:after="0" w:line="360" w:lineRule="auto"/>
        <w:rPr>
          <w:rFonts w:ascii="Times New Roman" w:eastAsia="Times New Roman" w:hAnsi="Times New Roman" w:cs="Times New Roman"/>
          <w:color w:val="000000"/>
          <w:sz w:val="24"/>
          <w:szCs w:val="24"/>
        </w:rPr>
      </w:pPr>
      <w:r w:rsidRPr="001D7300">
        <w:rPr>
          <w:rFonts w:ascii="Times New Roman" w:eastAsia="Times New Roman" w:hAnsi="Times New Roman" w:cs="Times New Roman"/>
          <w:noProof/>
          <w:color w:val="000000"/>
          <w:sz w:val="24"/>
          <w:szCs w:val="24"/>
        </w:rPr>
        <w:lastRenderedPageBreak/>
        <w:pict>
          <v:rect id="_x0000_i1035" alt="" style="width:468pt;height:.05pt;mso-width-percent:0;mso-height-percent:0;mso-width-percent:0;mso-height-percent:0" o:hralign="center" o:hrstd="t" o:hr="t" fillcolor="#a0a0a0" stroked="f"/>
        </w:pic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Summary</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Background:</w:t>
      </w:r>
      <w:r w:rsidRPr="00CC36A6">
        <w:rPr>
          <w:rFonts w:ascii="Times New Roman" w:eastAsia="Times New Roman" w:hAnsi="Times New Roman" w:cs="Times New Roman"/>
          <w:color w:val="000000"/>
          <w:sz w:val="24"/>
          <w:szCs w:val="24"/>
        </w:rPr>
        <w:t> Sex equity in clinical research is essential for generalizable and safe medical care. Historical underrepresentation of women in trials has prompted decades of policy reform. Whether these reforms have succeeded remains inadequately assessed with statistical rigor.</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Methods:</w:t>
      </w:r>
      <w:r w:rsidRPr="00CC36A6">
        <w:rPr>
          <w:rFonts w:ascii="Times New Roman" w:eastAsia="Times New Roman" w:hAnsi="Times New Roman" w:cs="Times New Roman"/>
          <w:color w:val="000000"/>
          <w:sz w:val="24"/>
          <w:szCs w:val="24"/>
        </w:rPr>
        <w:t> We analyzed 1,825 U.S.-based clinical trials registered between 2000 and 2024 using ClinicalTrials.gov data. Trials were classified by sex inclusion criteria and therapeutic area. Chi-square tests were applied to assess deviation from expected female representation (50.8%) based on national demographic data. Trends across three periods (2000–2009, 2010–2018, 2019–2024) were also analyzed.</w:t>
      </w:r>
    </w:p>
    <w:p w:rsidR="00CC36A6" w:rsidRPr="00CC36A6" w:rsidRDefault="0049692F" w:rsidP="0049692F">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Results</w:t>
      </w:r>
      <w:r w:rsidR="00CC36A6" w:rsidRPr="00CC36A6">
        <w:rPr>
          <w:rFonts w:ascii="Times New Roman" w:eastAsia="Times New Roman" w:hAnsi="Times New Roman" w:cs="Times New Roman"/>
          <w:b/>
          <w:bCs/>
          <w:color w:val="000000"/>
          <w:sz w:val="24"/>
          <w:szCs w:val="24"/>
        </w:rPr>
        <w:t>:</w:t>
      </w:r>
      <w:r w:rsidR="00CC36A6" w:rsidRPr="00CC36A6">
        <w:rPr>
          <w:rFonts w:ascii="Times New Roman" w:eastAsia="Times New Roman" w:hAnsi="Times New Roman" w:cs="Times New Roman"/>
          <w:color w:val="000000"/>
          <w:sz w:val="24"/>
          <w:szCs w:val="24"/>
        </w:rPr>
        <w:t> Overall, 50.1% of trials included female participants—statistically indistinguishable from the expected 50.8% (p = 0.844). No therapeutic category showed a significant deviation. Temporal analysis revealed consistent improvement: inclusion rates rose from 92.8% in 2000–2009 to 98.8% in 2019–2024 (p = 0.0014).</w:t>
      </w:r>
    </w:p>
    <w:p w:rsidR="00CC36A6" w:rsidRDefault="0049692F" w:rsidP="0049692F">
      <w:pPr>
        <w:spacing w:before="100" w:beforeAutospacing="1" w:after="100" w:afterAutospacing="1"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Conclusions</w:t>
      </w:r>
      <w:r w:rsidR="00CC36A6" w:rsidRPr="00CC36A6">
        <w:rPr>
          <w:rFonts w:ascii="Times New Roman" w:eastAsia="Times New Roman" w:hAnsi="Times New Roman" w:cs="Times New Roman"/>
          <w:b/>
          <w:bCs/>
          <w:color w:val="000000"/>
          <w:sz w:val="24"/>
          <w:szCs w:val="24"/>
        </w:rPr>
        <w:t>:</w:t>
      </w:r>
      <w:r w:rsidR="00CC36A6" w:rsidRPr="00CC36A6">
        <w:rPr>
          <w:rFonts w:ascii="Times New Roman" w:eastAsia="Times New Roman" w:hAnsi="Times New Roman" w:cs="Times New Roman"/>
          <w:color w:val="000000"/>
          <w:sz w:val="24"/>
          <w:szCs w:val="24"/>
        </w:rPr>
        <w:t> Sex representation in U.S. clinical trial design now matches population expectations, indicating successful policy implementation. However, design equity does not guarantee equity in enrollment or outcome analysis. Further work is needed to translate design inclusion into participant-level and analytical equity.</w:t>
      </w:r>
    </w:p>
    <w:p w:rsidR="00B63557" w:rsidRDefault="00B63557" w:rsidP="0049692F">
      <w:pPr>
        <w:spacing w:before="100" w:beforeAutospacing="1" w:after="100" w:afterAutospacing="1" w:line="360" w:lineRule="auto"/>
        <w:rPr>
          <w:rFonts w:ascii="Times New Roman" w:eastAsia="Times New Roman" w:hAnsi="Times New Roman" w:cs="Times New Roman"/>
          <w:color w:val="000000"/>
          <w:sz w:val="24"/>
          <w:szCs w:val="24"/>
        </w:rPr>
      </w:pPr>
    </w:p>
    <w:p w:rsidR="00B63557" w:rsidRDefault="00B63557" w:rsidP="0049692F">
      <w:pPr>
        <w:spacing w:before="100" w:beforeAutospacing="1" w:after="100" w:afterAutospacing="1" w:line="360" w:lineRule="auto"/>
        <w:rPr>
          <w:rFonts w:ascii="Times New Roman" w:eastAsia="Times New Roman" w:hAnsi="Times New Roman" w:cs="Times New Roman"/>
          <w:color w:val="000000"/>
          <w:sz w:val="24"/>
          <w:szCs w:val="24"/>
        </w:rPr>
      </w:pPr>
    </w:p>
    <w:p w:rsidR="00B63557" w:rsidRDefault="00B63557" w:rsidP="0049692F">
      <w:pPr>
        <w:spacing w:before="100" w:beforeAutospacing="1" w:after="100" w:afterAutospacing="1" w:line="360" w:lineRule="auto"/>
        <w:rPr>
          <w:rFonts w:ascii="Times New Roman" w:eastAsia="Times New Roman" w:hAnsi="Times New Roman" w:cs="Times New Roman"/>
          <w:color w:val="000000"/>
          <w:sz w:val="24"/>
          <w:szCs w:val="24"/>
        </w:rPr>
      </w:pPr>
    </w:p>
    <w:p w:rsidR="00B63557" w:rsidRDefault="00B63557" w:rsidP="0049692F">
      <w:pPr>
        <w:spacing w:before="100" w:beforeAutospacing="1" w:after="100" w:afterAutospacing="1" w:line="360" w:lineRule="auto"/>
        <w:rPr>
          <w:rFonts w:ascii="Times New Roman" w:eastAsia="Times New Roman" w:hAnsi="Times New Roman" w:cs="Times New Roman"/>
          <w:color w:val="000000"/>
          <w:sz w:val="24"/>
          <w:szCs w:val="24"/>
        </w:rPr>
      </w:pPr>
    </w:p>
    <w:p w:rsidR="00B63557" w:rsidRDefault="00B63557" w:rsidP="0049692F">
      <w:pPr>
        <w:spacing w:before="100" w:beforeAutospacing="1" w:after="100" w:afterAutospacing="1" w:line="360" w:lineRule="auto"/>
        <w:rPr>
          <w:rFonts w:ascii="Times New Roman" w:eastAsia="Times New Roman" w:hAnsi="Times New Roman" w:cs="Times New Roman"/>
          <w:color w:val="000000"/>
          <w:sz w:val="24"/>
          <w:szCs w:val="24"/>
        </w:rPr>
      </w:pPr>
    </w:p>
    <w:p w:rsidR="00B63557" w:rsidRDefault="00B63557" w:rsidP="0049692F">
      <w:pPr>
        <w:spacing w:before="100" w:beforeAutospacing="1" w:after="100" w:afterAutospacing="1" w:line="360" w:lineRule="auto"/>
        <w:rPr>
          <w:rFonts w:ascii="Times New Roman" w:eastAsia="Times New Roman" w:hAnsi="Times New Roman" w:cs="Times New Roman"/>
          <w:color w:val="000000"/>
          <w:sz w:val="24"/>
          <w:szCs w:val="24"/>
        </w:rPr>
      </w:pPr>
    </w:p>
    <w:p w:rsidR="00CC36A6" w:rsidRPr="00CC36A6" w:rsidRDefault="001D7300" w:rsidP="0049692F">
      <w:pPr>
        <w:spacing w:after="0" w:line="360" w:lineRule="auto"/>
        <w:rPr>
          <w:rFonts w:ascii="Times New Roman" w:eastAsia="Times New Roman" w:hAnsi="Times New Roman" w:cs="Times New Roman"/>
          <w:color w:val="000000"/>
          <w:sz w:val="24"/>
          <w:szCs w:val="24"/>
        </w:rPr>
      </w:pPr>
      <w:r w:rsidRPr="001D7300">
        <w:rPr>
          <w:rFonts w:ascii="Times New Roman" w:eastAsia="Times New Roman" w:hAnsi="Times New Roman" w:cs="Times New Roman"/>
          <w:noProof/>
          <w:color w:val="000000"/>
          <w:sz w:val="24"/>
          <w:szCs w:val="24"/>
        </w:rPr>
        <w:lastRenderedPageBreak/>
        <w:pict>
          <v:rect id="_x0000_i1034" alt="" style="width:468pt;height:.05pt;mso-width-percent:0;mso-height-percent:0;mso-width-percent:0;mso-height-percent:0" o:hralign="center" o:hrstd="t" o:hr="t" fillcolor="#a0a0a0" stroked="f"/>
        </w:pic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Introduction</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Sex-based equity in clinical research is a longstanding public health priority. For much of the 20th century, women were systemically excluded from biomedical trials over concerns related to reproduction, hormonal cycles, and legal liability. This exclusion undermined therapeutic safety for half the population.</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The 1993 NIH Revitalization Act mandated the inclusion of women in federally funded trials. Since then, complementary guidelines from regulatory bodies such as the FDA and WHO have reinforced inclusive practices. While prior descriptive studies have documented increased representation, few have applied population benchmarking and formal hypothesis testing to evaluate equity.</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This study provides such an analysis. We test whether female inclusion in modern U.S. clinical trial design statistically aligns with the national demographic benchmark of 50.8% and examine variation by disease area and time.</w:t>
      </w:r>
    </w:p>
    <w:p w:rsidR="00CC36A6" w:rsidRPr="00CC36A6" w:rsidRDefault="001D7300" w:rsidP="0049692F">
      <w:pPr>
        <w:spacing w:after="0" w:line="360" w:lineRule="auto"/>
        <w:rPr>
          <w:rFonts w:ascii="Times New Roman" w:eastAsia="Times New Roman" w:hAnsi="Times New Roman" w:cs="Times New Roman"/>
          <w:color w:val="000000"/>
          <w:sz w:val="24"/>
          <w:szCs w:val="24"/>
        </w:rPr>
      </w:pPr>
      <w:r w:rsidRPr="001D7300">
        <w:rPr>
          <w:rFonts w:ascii="Times New Roman" w:eastAsia="Times New Roman" w:hAnsi="Times New Roman" w:cs="Times New Roman"/>
          <w:noProof/>
          <w:color w:val="000000"/>
          <w:sz w:val="24"/>
          <w:szCs w:val="24"/>
        </w:rPr>
        <w:pict>
          <v:rect id="_x0000_i1033" alt="" style="width:468pt;height:.05pt;mso-width-percent:0;mso-height-percent:0;mso-width-percent:0;mso-height-percent:0" o:hralign="center" o:hrstd="t" o:hr="t" fillcolor="#a0a0a0" stroked="f"/>
        </w:pic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Methods</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Study Design and Data Sources:</w:t>
      </w:r>
      <w:r w:rsidRPr="00CC36A6">
        <w:rPr>
          <w:rFonts w:ascii="Times New Roman" w:eastAsia="Times New Roman" w:hAnsi="Times New Roman" w:cs="Times New Roman"/>
          <w:color w:val="000000"/>
          <w:sz w:val="24"/>
          <w:szCs w:val="24"/>
        </w:rPr>
        <w:t> We conducted a cross-sectional study of 1,825 interventional clinical trials conducted in the U.S. and registered on ClinicalTrials.gov. Trials were categorized by therapeutic area and sex inclusion criteria.</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Inclusion Classification:</w:t>
      </w:r>
      <w:r w:rsidRPr="00CC36A6">
        <w:rPr>
          <w:rFonts w:ascii="Times New Roman" w:eastAsia="Times New Roman" w:hAnsi="Times New Roman" w:cs="Times New Roman"/>
          <w:color w:val="000000"/>
          <w:sz w:val="24"/>
          <w:szCs w:val="24"/>
        </w:rPr>
        <w:t> Each trial was coded as:</w:t>
      </w:r>
    </w:p>
    <w:p w:rsidR="00CC36A6" w:rsidRPr="00CC36A6" w:rsidRDefault="00CC36A6" w:rsidP="0049692F">
      <w:pPr>
        <w:numPr>
          <w:ilvl w:val="0"/>
          <w:numId w:val="26"/>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Female-only</w:t>
      </w:r>
    </w:p>
    <w:p w:rsidR="00CC36A6" w:rsidRPr="00CC36A6" w:rsidRDefault="00CC36A6" w:rsidP="0049692F">
      <w:pPr>
        <w:numPr>
          <w:ilvl w:val="0"/>
          <w:numId w:val="26"/>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Male-only</w:t>
      </w:r>
    </w:p>
    <w:p w:rsidR="00CC36A6" w:rsidRPr="00CC36A6" w:rsidRDefault="00CC36A6" w:rsidP="0049692F">
      <w:pPr>
        <w:numPr>
          <w:ilvl w:val="0"/>
          <w:numId w:val="26"/>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Both sexes</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Trials including females (either female-only or both-sexes) were classified as inclusive.</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lastRenderedPageBreak/>
        <w:t>Statistical Analysis:</w:t>
      </w:r>
      <w:r w:rsidRPr="00CC36A6">
        <w:rPr>
          <w:rFonts w:ascii="Times New Roman" w:eastAsia="Times New Roman" w:hAnsi="Times New Roman" w:cs="Times New Roman"/>
          <w:color w:val="000000"/>
          <w:sz w:val="24"/>
          <w:szCs w:val="24"/>
        </w:rPr>
        <w:t xml:space="preserve"> We applied chi-square goodness-of-fit tests to compare observed female inclusion rates to the U.S. adult population benchmark (50.8%). We examined overall inclusion, disease-specific inclusion, and inclusion across three time periods: 2000–2009, 2010–2018, and 2019–2024. Analyses were conducted using Python 3.12 (pandas, </w:t>
      </w:r>
      <w:proofErr w:type="spellStart"/>
      <w:r w:rsidRPr="00CC36A6">
        <w:rPr>
          <w:rFonts w:ascii="Times New Roman" w:eastAsia="Times New Roman" w:hAnsi="Times New Roman" w:cs="Times New Roman"/>
          <w:color w:val="000000"/>
          <w:sz w:val="24"/>
          <w:szCs w:val="24"/>
        </w:rPr>
        <w:t>scipy</w:t>
      </w:r>
      <w:proofErr w:type="spellEnd"/>
      <w:r w:rsidRPr="00CC36A6">
        <w:rPr>
          <w:rFonts w:ascii="Times New Roman" w:eastAsia="Times New Roman" w:hAnsi="Times New Roman" w:cs="Times New Roman"/>
          <w:color w:val="000000"/>
          <w:sz w:val="24"/>
          <w:szCs w:val="24"/>
        </w:rPr>
        <w:t xml:space="preserve">, </w:t>
      </w:r>
      <w:proofErr w:type="spellStart"/>
      <w:r w:rsidRPr="00CC36A6">
        <w:rPr>
          <w:rFonts w:ascii="Times New Roman" w:eastAsia="Times New Roman" w:hAnsi="Times New Roman" w:cs="Times New Roman"/>
          <w:color w:val="000000"/>
          <w:sz w:val="24"/>
          <w:szCs w:val="24"/>
        </w:rPr>
        <w:t>statsmodels</w:t>
      </w:r>
      <w:proofErr w:type="spellEnd"/>
      <w:r w:rsidRPr="00CC36A6">
        <w:rPr>
          <w:rFonts w:ascii="Times New Roman" w:eastAsia="Times New Roman" w:hAnsi="Times New Roman" w:cs="Times New Roman"/>
          <w:color w:val="000000"/>
          <w:sz w:val="24"/>
          <w:szCs w:val="24"/>
        </w:rPr>
        <w:t>).</w:t>
      </w:r>
    </w:p>
    <w:p w:rsidR="00CC36A6" w:rsidRPr="00CC36A6" w:rsidRDefault="001D7300" w:rsidP="0049692F">
      <w:pPr>
        <w:spacing w:after="0" w:line="360" w:lineRule="auto"/>
        <w:rPr>
          <w:rFonts w:ascii="Times New Roman" w:eastAsia="Times New Roman" w:hAnsi="Times New Roman" w:cs="Times New Roman"/>
          <w:color w:val="000000"/>
          <w:sz w:val="24"/>
          <w:szCs w:val="24"/>
        </w:rPr>
      </w:pPr>
      <w:r w:rsidRPr="001D7300">
        <w:rPr>
          <w:rFonts w:ascii="Times New Roman" w:eastAsia="Times New Roman" w:hAnsi="Times New Roman" w:cs="Times New Roman"/>
          <w:noProof/>
          <w:color w:val="000000"/>
          <w:sz w:val="24"/>
          <w:szCs w:val="24"/>
        </w:rPr>
        <w:pict>
          <v:rect id="_x0000_i1032" alt="" style="width:468pt;height:.05pt;mso-width-percent:0;mso-height-percent:0;mso-width-percent:0;mso-height-percent:0" o:hralign="center" o:hrstd="t" o:hr="t" fillcolor="#a0a0a0" stroked="f"/>
        </w:pic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Results</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Overall Inclusion:</w:t>
      </w:r>
      <w:r w:rsidRPr="00CC36A6">
        <w:rPr>
          <w:rFonts w:ascii="Times New Roman" w:eastAsia="Times New Roman" w:hAnsi="Times New Roman" w:cs="Times New Roman"/>
          <w:color w:val="000000"/>
          <w:sz w:val="24"/>
          <w:szCs w:val="24"/>
        </w:rPr>
        <w:t> Of the 1,825 trials:</w:t>
      </w:r>
    </w:p>
    <w:p w:rsidR="00CC36A6" w:rsidRPr="00CC36A6" w:rsidRDefault="00CC36A6" w:rsidP="0049692F">
      <w:pPr>
        <w:numPr>
          <w:ilvl w:val="0"/>
          <w:numId w:val="27"/>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61 (3.3%) were female-only</w:t>
      </w:r>
    </w:p>
    <w:p w:rsidR="00CC36A6" w:rsidRPr="00CC36A6" w:rsidRDefault="00CC36A6" w:rsidP="0049692F">
      <w:pPr>
        <w:numPr>
          <w:ilvl w:val="0"/>
          <w:numId w:val="27"/>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72 (3.9%) were male-only</w:t>
      </w:r>
    </w:p>
    <w:p w:rsidR="00CC36A6" w:rsidRPr="00CC36A6" w:rsidRDefault="00CC36A6" w:rsidP="0049692F">
      <w:pPr>
        <w:numPr>
          <w:ilvl w:val="0"/>
          <w:numId w:val="27"/>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1,691 (92.7%) included both sexes</w:t>
      </w:r>
      <w:r w:rsidR="00AB0DA5">
        <w:rPr>
          <w:rFonts w:ascii="Times New Roman" w:eastAsia="Times New Roman" w:hAnsi="Times New Roman" w:cs="Times New Roman"/>
          <w:color w:val="000000"/>
          <w:sz w:val="24"/>
          <w:szCs w:val="24"/>
        </w:rPr>
        <w:t xml:space="preserve"> (Figure 2)</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 xml:space="preserve">The overall rate of female inclusion was 50.1%, not significantly different from the expected 50.8% (chi-square = 0.04, p = </w:t>
      </w:r>
      <w:proofErr w:type="gramStart"/>
      <w:r w:rsidRPr="00CC36A6">
        <w:rPr>
          <w:rFonts w:ascii="Times New Roman" w:eastAsia="Times New Roman" w:hAnsi="Times New Roman" w:cs="Times New Roman"/>
          <w:color w:val="000000"/>
          <w:sz w:val="24"/>
          <w:szCs w:val="24"/>
        </w:rPr>
        <w:t>0.844)</w:t>
      </w:r>
      <w:r w:rsidR="00AB0DA5">
        <w:rPr>
          <w:rFonts w:ascii="Times New Roman" w:eastAsia="Times New Roman" w:hAnsi="Times New Roman" w:cs="Times New Roman"/>
          <w:color w:val="000000"/>
          <w:sz w:val="24"/>
          <w:szCs w:val="24"/>
        </w:rPr>
        <w:t>(</w:t>
      </w:r>
      <w:proofErr w:type="gramEnd"/>
      <w:r w:rsidR="00AB0DA5">
        <w:rPr>
          <w:rFonts w:ascii="Times New Roman" w:eastAsia="Times New Roman" w:hAnsi="Times New Roman" w:cs="Times New Roman"/>
          <w:color w:val="000000"/>
          <w:sz w:val="24"/>
          <w:szCs w:val="24"/>
        </w:rPr>
        <w:t>Table 1)</w:t>
      </w:r>
      <w:r w:rsidRPr="00CC36A6">
        <w:rPr>
          <w:rFonts w:ascii="Times New Roman" w:eastAsia="Times New Roman" w:hAnsi="Times New Roman" w:cs="Times New Roman"/>
          <w:color w:val="000000"/>
          <w:sz w:val="24"/>
          <w:szCs w:val="24"/>
        </w:rPr>
        <w:t>.</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Disease-Specific Inclusion:</w:t>
      </w:r>
      <w:r w:rsidRPr="00CC36A6">
        <w:rPr>
          <w:rFonts w:ascii="Times New Roman" w:eastAsia="Times New Roman" w:hAnsi="Times New Roman" w:cs="Times New Roman"/>
          <w:color w:val="000000"/>
          <w:sz w:val="24"/>
          <w:szCs w:val="24"/>
        </w:rPr>
        <w:t> No disease category</w:t>
      </w:r>
      <w:r w:rsidR="00AB0DA5">
        <w:rPr>
          <w:rFonts w:ascii="Times New Roman" w:eastAsia="Times New Roman" w:hAnsi="Times New Roman" w:cs="Times New Roman"/>
          <w:color w:val="000000"/>
          <w:sz w:val="24"/>
          <w:szCs w:val="24"/>
        </w:rPr>
        <w:t xml:space="preserve"> </w:t>
      </w:r>
      <w:r w:rsidRPr="00CC36A6">
        <w:rPr>
          <w:rFonts w:ascii="Times New Roman" w:eastAsia="Times New Roman" w:hAnsi="Times New Roman" w:cs="Times New Roman"/>
          <w:color w:val="000000"/>
          <w:sz w:val="24"/>
          <w:szCs w:val="24"/>
        </w:rPr>
        <w:t>deviated significantly from expected representation</w:t>
      </w:r>
      <w:r w:rsidR="00AB0DA5">
        <w:rPr>
          <w:rFonts w:ascii="Times New Roman" w:eastAsia="Times New Roman" w:hAnsi="Times New Roman" w:cs="Times New Roman"/>
          <w:color w:val="000000"/>
          <w:sz w:val="24"/>
          <w:szCs w:val="24"/>
        </w:rPr>
        <w:t xml:space="preserve"> (Figure </w:t>
      </w:r>
      <w:proofErr w:type="gramStart"/>
      <w:r w:rsidR="00AB0DA5">
        <w:rPr>
          <w:rFonts w:ascii="Times New Roman" w:eastAsia="Times New Roman" w:hAnsi="Times New Roman" w:cs="Times New Roman"/>
          <w:color w:val="000000"/>
          <w:sz w:val="24"/>
          <w:szCs w:val="24"/>
        </w:rPr>
        <w:t>3)(</w:t>
      </w:r>
      <w:proofErr w:type="gramEnd"/>
      <w:r w:rsidR="00AB0DA5">
        <w:rPr>
          <w:rFonts w:ascii="Times New Roman" w:eastAsia="Times New Roman" w:hAnsi="Times New Roman" w:cs="Times New Roman"/>
          <w:color w:val="000000"/>
          <w:sz w:val="24"/>
          <w:szCs w:val="24"/>
        </w:rPr>
        <w:t>Table 2)</w:t>
      </w:r>
      <w:r w:rsidRPr="00CC36A6">
        <w:rPr>
          <w:rFonts w:ascii="Times New Roman" w:eastAsia="Times New Roman" w:hAnsi="Times New Roman" w:cs="Times New Roman"/>
          <w:color w:val="000000"/>
          <w:sz w:val="24"/>
          <w:szCs w:val="24"/>
        </w:rPr>
        <w:t>:</w:t>
      </w:r>
    </w:p>
    <w:p w:rsidR="00CC36A6" w:rsidRPr="00CC36A6" w:rsidRDefault="00CC36A6" w:rsidP="0049692F">
      <w:pPr>
        <w:numPr>
          <w:ilvl w:val="0"/>
          <w:numId w:val="28"/>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HIV/AIDS: 48.8% female (p = 0.357)</w:t>
      </w:r>
    </w:p>
    <w:p w:rsidR="00CC36A6" w:rsidRPr="00CC36A6" w:rsidRDefault="00CC36A6" w:rsidP="0049692F">
      <w:pPr>
        <w:numPr>
          <w:ilvl w:val="0"/>
          <w:numId w:val="28"/>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Cancer: 50.0% female</w:t>
      </w:r>
    </w:p>
    <w:p w:rsidR="00CC36A6" w:rsidRPr="00CC36A6" w:rsidRDefault="00CC36A6" w:rsidP="0049692F">
      <w:pPr>
        <w:numPr>
          <w:ilvl w:val="0"/>
          <w:numId w:val="28"/>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Cardiovascular and respiratory trials: 100% included both sexes</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Temporal Trends:</w:t>
      </w:r>
      <w:r w:rsidRPr="00CC36A6">
        <w:rPr>
          <w:rFonts w:ascii="Times New Roman" w:eastAsia="Times New Roman" w:hAnsi="Times New Roman" w:cs="Times New Roman"/>
          <w:color w:val="000000"/>
          <w:sz w:val="24"/>
          <w:szCs w:val="24"/>
        </w:rPr>
        <w:t> Female inclusion improved steadily over time</w:t>
      </w:r>
      <w:r w:rsidR="00AB0DA5">
        <w:rPr>
          <w:rFonts w:ascii="Times New Roman" w:eastAsia="Times New Roman" w:hAnsi="Times New Roman" w:cs="Times New Roman"/>
          <w:color w:val="000000"/>
          <w:sz w:val="24"/>
          <w:szCs w:val="24"/>
        </w:rPr>
        <w:t xml:space="preserve"> (Figure 1)</w:t>
      </w:r>
      <w:r w:rsidRPr="00CC36A6">
        <w:rPr>
          <w:rFonts w:ascii="Times New Roman" w:eastAsia="Times New Roman" w:hAnsi="Times New Roman" w:cs="Times New Roman"/>
          <w:color w:val="000000"/>
          <w:sz w:val="24"/>
          <w:szCs w:val="24"/>
        </w:rPr>
        <w:t>:</w:t>
      </w:r>
    </w:p>
    <w:p w:rsidR="00CC36A6" w:rsidRPr="00CC36A6" w:rsidRDefault="00CC36A6" w:rsidP="0049692F">
      <w:pPr>
        <w:numPr>
          <w:ilvl w:val="0"/>
          <w:numId w:val="29"/>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2000–2009: 92.8% of trials included women</w:t>
      </w:r>
    </w:p>
    <w:p w:rsidR="00CC36A6" w:rsidRPr="00CC36A6" w:rsidRDefault="00CC36A6" w:rsidP="0049692F">
      <w:pPr>
        <w:numPr>
          <w:ilvl w:val="0"/>
          <w:numId w:val="29"/>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2010–2018: 97.0%</w:t>
      </w:r>
    </w:p>
    <w:p w:rsidR="00CC36A6" w:rsidRPr="00CC36A6" w:rsidRDefault="00CC36A6" w:rsidP="0049692F">
      <w:pPr>
        <w:numPr>
          <w:ilvl w:val="0"/>
          <w:numId w:val="29"/>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2019–2024: 98.8%</w:t>
      </w:r>
    </w:p>
    <w:p w:rsid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This trend was significant (chi-square = 13.3, p = 0.0014).</w:t>
      </w:r>
    </w:p>
    <w:p w:rsidR="00AB0DA5" w:rsidRDefault="00AB0DA5" w:rsidP="0049692F">
      <w:pPr>
        <w:pStyle w:val="p1"/>
        <w:spacing w:line="360" w:lineRule="auto"/>
      </w:pPr>
      <w:r>
        <w:t xml:space="preserve">Figure 4 illustrates variation in sex-specific designs by disease category, highlighting both improvements and remaining disparities in certain areas (e.g., HIV/AIDS). </w:t>
      </w:r>
      <w:r>
        <w:rPr>
          <w:rStyle w:val="s1"/>
          <w:b/>
          <w:bCs/>
        </w:rPr>
        <w:t>(Figure 4)</w:t>
      </w:r>
    </w:p>
    <w:p w:rsidR="00CC36A6" w:rsidRPr="00CC36A6" w:rsidRDefault="001D7300" w:rsidP="0049692F">
      <w:pPr>
        <w:spacing w:after="0" w:line="360" w:lineRule="auto"/>
        <w:rPr>
          <w:rFonts w:ascii="Times New Roman" w:eastAsia="Times New Roman" w:hAnsi="Times New Roman" w:cs="Times New Roman"/>
          <w:color w:val="000000"/>
          <w:sz w:val="24"/>
          <w:szCs w:val="24"/>
        </w:rPr>
      </w:pPr>
      <w:r w:rsidRPr="001D7300">
        <w:rPr>
          <w:rFonts w:ascii="Times New Roman" w:eastAsia="Times New Roman" w:hAnsi="Times New Roman" w:cs="Times New Roman"/>
          <w:noProof/>
          <w:color w:val="000000"/>
          <w:sz w:val="24"/>
          <w:szCs w:val="24"/>
        </w:rPr>
        <w:lastRenderedPageBreak/>
        <w:pict>
          <v:rect id="_x0000_i1031" alt="" style="width:468pt;height:.05pt;mso-width-percent:0;mso-height-percent:0;mso-width-percent:0;mso-height-percent:0" o:hralign="center" o:hrstd="t" o:hr="t" fillcolor="#a0a0a0" stroked="f"/>
        </w:pic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Discussion</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Our findings suggest that clinical trial design in the United States has achieved statistical parity in female inclusion. This marks a substantial achievement for decades of advocacy, regulation, and institutional change.</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However, design inclusion does not guarantee full equity. Women may still be under-enrolled despite eligibility or excluded in analysis. Moreover, our analysis is limited by its reliance on trial eligibility metadata rather than actual participant data. It is also confined to U.S.-based trials.</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Despite these limitations, this study introduces a transparent benchmarking methodology that can be replicated for other dimensions of equity, including race, ethnicity, and age.</w:t>
      </w:r>
    </w:p>
    <w:p w:rsidR="00CC36A6" w:rsidRPr="00CC36A6" w:rsidRDefault="001D7300" w:rsidP="0049692F">
      <w:pPr>
        <w:spacing w:after="0" w:line="360" w:lineRule="auto"/>
        <w:rPr>
          <w:rFonts w:ascii="Times New Roman" w:eastAsia="Times New Roman" w:hAnsi="Times New Roman" w:cs="Times New Roman"/>
          <w:color w:val="000000"/>
          <w:sz w:val="24"/>
          <w:szCs w:val="24"/>
        </w:rPr>
      </w:pPr>
      <w:r w:rsidRPr="001D7300">
        <w:rPr>
          <w:rFonts w:ascii="Times New Roman" w:eastAsia="Times New Roman" w:hAnsi="Times New Roman" w:cs="Times New Roman"/>
          <w:noProof/>
          <w:color w:val="000000"/>
          <w:sz w:val="24"/>
          <w:szCs w:val="24"/>
        </w:rPr>
        <w:pict>
          <v:rect id="_x0000_i1030" alt="" style="width:468pt;height:.05pt;mso-width-percent:0;mso-height-percent:0;mso-width-percent:0;mso-height-percent:0" o:hralign="center" o:hrstd="t" o:hr="t" fillcolor="#a0a0a0" stroked="f"/>
        </w:pic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Conclusion</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U.S. clinical trials now reflect statistical sex equity in design. Sustained policy reforms appear to have succeeded in transforming norms in clinical research. Future efforts should ensure that equity in design extends to enrollment, analysis, and real-world outcomes.</w:t>
      </w:r>
    </w:p>
    <w:p w:rsidR="00CC36A6" w:rsidRPr="00CC36A6" w:rsidRDefault="001D7300" w:rsidP="0049692F">
      <w:pPr>
        <w:spacing w:after="0" w:line="360" w:lineRule="auto"/>
        <w:rPr>
          <w:rFonts w:ascii="Times New Roman" w:eastAsia="Times New Roman" w:hAnsi="Times New Roman" w:cs="Times New Roman"/>
          <w:color w:val="000000"/>
          <w:sz w:val="24"/>
          <w:szCs w:val="24"/>
        </w:rPr>
      </w:pPr>
      <w:r w:rsidRPr="001D7300">
        <w:rPr>
          <w:rFonts w:ascii="Times New Roman" w:eastAsia="Times New Roman" w:hAnsi="Times New Roman" w:cs="Times New Roman"/>
          <w:noProof/>
          <w:color w:val="000000"/>
          <w:sz w:val="24"/>
          <w:szCs w:val="24"/>
        </w:rPr>
        <w:pict>
          <v:rect id="_x0000_i1029" alt="" style="width:468pt;height:.05pt;mso-width-percent:0;mso-height-percent:0;mso-width-percent:0;mso-height-percent:0" o:hralign="center" o:hrstd="t" o:hr="t" fillcolor="#a0a0a0" stroked="f"/>
        </w:pic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References</w:t>
      </w:r>
    </w:p>
    <w:p w:rsidR="00CC36A6" w:rsidRPr="00CC36A6" w:rsidRDefault="00CC36A6" w:rsidP="0049692F">
      <w:pPr>
        <w:numPr>
          <w:ilvl w:val="0"/>
          <w:numId w:val="30"/>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Liu KA, DiPietro Mager NA. Women’s involvement in clinical trials: historical perspective and future implications. Pharmacy Practice. 2016;14(1):708.</w:t>
      </w:r>
    </w:p>
    <w:p w:rsidR="00CC36A6" w:rsidRPr="00CC36A6" w:rsidRDefault="00CC36A6" w:rsidP="0049692F">
      <w:pPr>
        <w:numPr>
          <w:ilvl w:val="0"/>
          <w:numId w:val="30"/>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 xml:space="preserve">Mazure CM, Jones DP. Twenty years and still counting: including women as participants and studying sex and gender in biomedical research. BMC Women’s Health. </w:t>
      </w:r>
      <w:proofErr w:type="gramStart"/>
      <w:r w:rsidRPr="00CC36A6">
        <w:rPr>
          <w:rFonts w:ascii="Times New Roman" w:eastAsia="Times New Roman" w:hAnsi="Times New Roman" w:cs="Times New Roman"/>
          <w:color w:val="000000"/>
          <w:sz w:val="24"/>
          <w:szCs w:val="24"/>
        </w:rPr>
        <w:t>2015;15:94</w:t>
      </w:r>
      <w:proofErr w:type="gramEnd"/>
      <w:r w:rsidRPr="00CC36A6">
        <w:rPr>
          <w:rFonts w:ascii="Times New Roman" w:eastAsia="Times New Roman" w:hAnsi="Times New Roman" w:cs="Times New Roman"/>
          <w:color w:val="000000"/>
          <w:sz w:val="24"/>
          <w:szCs w:val="24"/>
        </w:rPr>
        <w:t>.</w:t>
      </w:r>
    </w:p>
    <w:p w:rsidR="00CC36A6" w:rsidRPr="00CC36A6" w:rsidRDefault="00CC36A6" w:rsidP="0049692F">
      <w:pPr>
        <w:numPr>
          <w:ilvl w:val="0"/>
          <w:numId w:val="30"/>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Melloni C, et al. Representation of women in randomized clinical trials of cardiovascular disease prevention. Circ Cardiovasc Qual Outcomes. 2010;3(2):135–142.</w:t>
      </w:r>
    </w:p>
    <w:p w:rsidR="00CC36A6" w:rsidRPr="00CC36A6" w:rsidRDefault="00CC36A6" w:rsidP="0049692F">
      <w:pPr>
        <w:numPr>
          <w:ilvl w:val="0"/>
          <w:numId w:val="30"/>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lastRenderedPageBreak/>
        <w:t>Clayton JA, Tannenbaum C. Reporting sex, gender, or both in clinical research? JAMA. 2016;316(18):1863–1864.</w:t>
      </w:r>
    </w:p>
    <w:p w:rsidR="00CC36A6" w:rsidRPr="00CC36A6" w:rsidRDefault="00CC36A6" w:rsidP="0049692F">
      <w:pPr>
        <w:numPr>
          <w:ilvl w:val="0"/>
          <w:numId w:val="30"/>
        </w:num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color w:val="000000"/>
          <w:sz w:val="24"/>
          <w:szCs w:val="24"/>
        </w:rPr>
        <w:t>Pinnow E, et al. Increasing participation of women in early phase clinical trials approved by the FDA. Women’s Health Issues. 2009;19(2):89–93.</w:t>
      </w:r>
    </w:p>
    <w:p w:rsidR="00CC36A6" w:rsidRPr="00CC36A6" w:rsidRDefault="001D7300" w:rsidP="0049692F">
      <w:pPr>
        <w:spacing w:after="0" w:line="360" w:lineRule="auto"/>
        <w:rPr>
          <w:rFonts w:ascii="Times New Roman" w:eastAsia="Times New Roman" w:hAnsi="Times New Roman" w:cs="Times New Roman"/>
          <w:color w:val="000000"/>
          <w:sz w:val="24"/>
          <w:szCs w:val="24"/>
        </w:rPr>
      </w:pPr>
      <w:r w:rsidRPr="001D7300">
        <w:rPr>
          <w:rFonts w:ascii="Times New Roman" w:eastAsia="Times New Roman" w:hAnsi="Times New Roman" w:cs="Times New Roman"/>
          <w:noProof/>
          <w:color w:val="000000"/>
          <w:sz w:val="24"/>
          <w:szCs w:val="24"/>
        </w:rPr>
        <w:pict>
          <v:rect id="_x0000_i1028" alt="" style="width:468pt;height:.05pt;mso-width-percent:0;mso-height-percent:0;mso-width-percent:0;mso-height-percent:0" o:hralign="center" o:hrstd="t" o:hr="t" fillcolor="#a0a0a0" stroked="f"/>
        </w:pic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Data Sharing Statement</w:t>
      </w:r>
      <w:r w:rsidRPr="00CC36A6">
        <w:rPr>
          <w:rFonts w:ascii="Times New Roman" w:eastAsia="Times New Roman" w:hAnsi="Times New Roman" w:cs="Times New Roman"/>
          <w:color w:val="000000"/>
          <w:sz w:val="24"/>
          <w:szCs w:val="24"/>
        </w:rPr>
        <w:t xml:space="preserve"> All data and code are available via GitHub at </w:t>
      </w:r>
      <w:hyperlink r:id="rId9" w:history="1">
        <w:r w:rsidR="00BD3CF1" w:rsidRPr="00BD3CF1">
          <w:rPr>
            <w:rStyle w:val="Hyperlink"/>
            <w:rFonts w:ascii="Times New Roman" w:eastAsia="Times New Roman" w:hAnsi="Times New Roman" w:cs="Times New Roman"/>
            <w:sz w:val="24"/>
            <w:szCs w:val="24"/>
          </w:rPr>
          <w:t>https://github.com/rstil2/sex-equity-clinical-trials</w:t>
        </w:r>
      </w:hyperlink>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Funding</w:t>
      </w:r>
      <w:r w:rsidRPr="00CC36A6">
        <w:rPr>
          <w:rFonts w:ascii="Times New Roman" w:eastAsia="Times New Roman" w:hAnsi="Times New Roman" w:cs="Times New Roman"/>
          <w:color w:val="000000"/>
          <w:sz w:val="24"/>
          <w:szCs w:val="24"/>
        </w:rPr>
        <w:t> No funding was received.</w:t>
      </w:r>
    </w:p>
    <w:p w:rsidR="00CC36A6" w:rsidRP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Author Contributions</w:t>
      </w:r>
      <w:r w:rsidRPr="00CC36A6">
        <w:rPr>
          <w:rFonts w:ascii="Times New Roman" w:eastAsia="Times New Roman" w:hAnsi="Times New Roman" w:cs="Times New Roman"/>
          <w:color w:val="000000"/>
          <w:sz w:val="24"/>
          <w:szCs w:val="24"/>
        </w:rPr>
        <w:t> RCS designed the study, conducted analysis, produced figures, and wrote the manuscript.</w:t>
      </w:r>
    </w:p>
    <w:p w:rsidR="00CC36A6" w:rsidRDefault="00CC36A6" w:rsidP="0049692F">
      <w:pPr>
        <w:spacing w:before="100" w:beforeAutospacing="1" w:after="100" w:afterAutospacing="1" w:line="360" w:lineRule="auto"/>
        <w:rPr>
          <w:rFonts w:ascii="Times New Roman" w:eastAsia="Times New Roman" w:hAnsi="Times New Roman" w:cs="Times New Roman"/>
          <w:color w:val="000000"/>
          <w:sz w:val="24"/>
          <w:szCs w:val="24"/>
        </w:rPr>
      </w:pPr>
      <w:r w:rsidRPr="00CC36A6">
        <w:rPr>
          <w:rFonts w:ascii="Times New Roman" w:eastAsia="Times New Roman" w:hAnsi="Times New Roman" w:cs="Times New Roman"/>
          <w:b/>
          <w:bCs/>
          <w:color w:val="000000"/>
          <w:sz w:val="24"/>
          <w:szCs w:val="24"/>
        </w:rPr>
        <w:t>Declaration of Interests</w:t>
      </w:r>
      <w:r w:rsidRPr="00CC36A6">
        <w:rPr>
          <w:rFonts w:ascii="Times New Roman" w:eastAsia="Times New Roman" w:hAnsi="Times New Roman" w:cs="Times New Roman"/>
          <w:color w:val="000000"/>
          <w:sz w:val="24"/>
          <w:szCs w:val="24"/>
        </w:rPr>
        <w:t> The author declares no competing interests.</w:t>
      </w:r>
    </w:p>
    <w:p w:rsidR="006F1511" w:rsidRPr="00CC36A6" w:rsidRDefault="006F1511" w:rsidP="0049692F">
      <w:pPr>
        <w:spacing w:before="100" w:beforeAutospacing="1" w:after="100" w:afterAutospacing="1" w:line="360" w:lineRule="auto"/>
        <w:rPr>
          <w:rFonts w:ascii="Times New Roman" w:eastAsia="Times New Roman" w:hAnsi="Times New Roman" w:cs="Times New Roman"/>
          <w:color w:val="000000"/>
          <w:sz w:val="24"/>
          <w:szCs w:val="24"/>
        </w:rPr>
      </w:pPr>
      <w:r w:rsidRPr="006F1511">
        <w:rPr>
          <w:rFonts w:ascii="Times New Roman" w:eastAsia="Times New Roman" w:hAnsi="Times New Roman" w:cs="Times New Roman"/>
          <w:b/>
          <w:bCs/>
          <w:color w:val="000000"/>
          <w:sz w:val="24"/>
          <w:szCs w:val="24"/>
        </w:rPr>
        <w:t>Human Ethics and Consent</w:t>
      </w:r>
      <w:r>
        <w:rPr>
          <w:rFonts w:ascii="Times New Roman" w:eastAsia="Times New Roman" w:hAnsi="Times New Roman" w:cs="Times New Roman"/>
          <w:color w:val="000000"/>
          <w:sz w:val="24"/>
          <w:szCs w:val="24"/>
        </w:rPr>
        <w:t xml:space="preserve"> This study </w:t>
      </w:r>
      <w:proofErr w:type="gramStart"/>
      <w:r>
        <w:rPr>
          <w:rFonts w:ascii="Times New Roman" w:eastAsia="Times New Roman" w:hAnsi="Times New Roman" w:cs="Times New Roman"/>
          <w:color w:val="000000"/>
          <w:sz w:val="24"/>
          <w:szCs w:val="24"/>
        </w:rPr>
        <w:t>is</w:t>
      </w:r>
      <w:proofErr w:type="gramEnd"/>
      <w:r>
        <w:rPr>
          <w:rFonts w:ascii="Times New Roman" w:eastAsia="Times New Roman" w:hAnsi="Times New Roman" w:cs="Times New Roman"/>
          <w:color w:val="000000"/>
          <w:sz w:val="24"/>
          <w:szCs w:val="24"/>
        </w:rPr>
        <w:t xml:space="preserve"> a meta-analysis of studies from ClinicalTrials.gov. All appropriate institutional guidelines were followed as required by ClincalTrails.gov.</w:t>
      </w:r>
    </w:p>
    <w:p w:rsidR="00701289" w:rsidRDefault="00701289">
      <w:r>
        <w:br w:type="page"/>
      </w:r>
    </w:p>
    <w:p w:rsidR="00701289" w:rsidRDefault="00701289" w:rsidP="00701289">
      <w:pPr>
        <w:jc w:val="center"/>
      </w:pPr>
      <w:r>
        <w:rPr>
          <w:rFonts w:ascii="Times New Roman" w:hAnsi="Times New Roman"/>
          <w:b/>
          <w:sz w:val="24"/>
        </w:rPr>
        <w:lastRenderedPageBreak/>
        <w:t>Table 1. Statistical Analysis of Sex Representation Equity by Disease Category</w:t>
      </w:r>
    </w:p>
    <w:tbl>
      <w:tblPr>
        <w:tblStyle w:val="TableGrid"/>
        <w:tblW w:w="0" w:type="auto"/>
        <w:jc w:val="center"/>
        <w:tblLook w:val="04A0" w:firstRow="1" w:lastRow="0" w:firstColumn="1" w:lastColumn="0" w:noHBand="0" w:noVBand="1"/>
      </w:tblPr>
      <w:tblGrid>
        <w:gridCol w:w="1669"/>
        <w:gridCol w:w="1103"/>
        <w:gridCol w:w="1776"/>
        <w:gridCol w:w="1257"/>
        <w:gridCol w:w="1141"/>
        <w:gridCol w:w="1073"/>
        <w:gridCol w:w="1331"/>
      </w:tblGrid>
      <w:tr w:rsidR="00701289" w:rsidTr="00DF2F81">
        <w:trPr>
          <w:jc w:val="center"/>
        </w:trPr>
        <w:tc>
          <w:tcPr>
            <w:tcW w:w="1337" w:type="dxa"/>
            <w:vAlign w:val="center"/>
          </w:tcPr>
          <w:p w:rsidR="00701289" w:rsidRDefault="00701289" w:rsidP="00DF2F81">
            <w:pPr>
              <w:jc w:val="center"/>
            </w:pPr>
            <w:r>
              <w:rPr>
                <w:rFonts w:ascii="Times New Roman" w:hAnsi="Times New Roman"/>
                <w:b/>
                <w:sz w:val="24"/>
              </w:rPr>
              <w:t>Disease Category</w:t>
            </w:r>
          </w:p>
        </w:tc>
        <w:tc>
          <w:tcPr>
            <w:tcW w:w="1337" w:type="dxa"/>
            <w:vAlign w:val="center"/>
          </w:tcPr>
          <w:p w:rsidR="00701289" w:rsidRDefault="00701289" w:rsidP="00DF2F81">
            <w:pPr>
              <w:jc w:val="center"/>
            </w:pPr>
            <w:r>
              <w:rPr>
                <w:rFonts w:ascii="Times New Roman" w:hAnsi="Times New Roman"/>
                <w:b/>
                <w:sz w:val="24"/>
              </w:rPr>
              <w:t>Total Trials</w:t>
            </w:r>
          </w:p>
        </w:tc>
        <w:tc>
          <w:tcPr>
            <w:tcW w:w="1337" w:type="dxa"/>
            <w:vAlign w:val="center"/>
          </w:tcPr>
          <w:p w:rsidR="00701289" w:rsidRDefault="00701289" w:rsidP="00DF2F81">
            <w:pPr>
              <w:jc w:val="center"/>
            </w:pPr>
            <w:r>
              <w:rPr>
                <w:rFonts w:ascii="Times New Roman" w:hAnsi="Times New Roman"/>
                <w:b/>
                <w:sz w:val="24"/>
              </w:rPr>
              <w:t>Female Representation (%)</w:t>
            </w:r>
          </w:p>
        </w:tc>
        <w:tc>
          <w:tcPr>
            <w:tcW w:w="1337" w:type="dxa"/>
            <w:vAlign w:val="center"/>
          </w:tcPr>
          <w:p w:rsidR="00701289" w:rsidRDefault="00701289" w:rsidP="00DF2F81">
            <w:pPr>
              <w:jc w:val="center"/>
            </w:pPr>
            <w:r>
              <w:rPr>
                <w:rFonts w:ascii="Times New Roman" w:hAnsi="Times New Roman"/>
                <w:b/>
                <w:sz w:val="24"/>
              </w:rPr>
              <w:t>Expected Female (%)</w:t>
            </w:r>
          </w:p>
        </w:tc>
        <w:tc>
          <w:tcPr>
            <w:tcW w:w="1337" w:type="dxa"/>
            <w:vAlign w:val="center"/>
          </w:tcPr>
          <w:p w:rsidR="00701289" w:rsidRDefault="00701289" w:rsidP="00DF2F81">
            <w:pPr>
              <w:jc w:val="center"/>
            </w:pPr>
            <w:r>
              <w:rPr>
                <w:rFonts w:ascii="Times New Roman" w:hAnsi="Times New Roman"/>
                <w:b/>
                <w:sz w:val="24"/>
              </w:rPr>
              <w:t>Chi-square</w:t>
            </w:r>
          </w:p>
        </w:tc>
        <w:tc>
          <w:tcPr>
            <w:tcW w:w="1337" w:type="dxa"/>
            <w:vAlign w:val="center"/>
          </w:tcPr>
          <w:p w:rsidR="00701289" w:rsidRDefault="00701289" w:rsidP="00DF2F81">
            <w:pPr>
              <w:jc w:val="center"/>
            </w:pPr>
            <w:r>
              <w:rPr>
                <w:rFonts w:ascii="Times New Roman" w:hAnsi="Times New Roman"/>
                <w:b/>
                <w:sz w:val="24"/>
              </w:rPr>
              <w:t>P-value</w:t>
            </w:r>
          </w:p>
        </w:tc>
        <w:tc>
          <w:tcPr>
            <w:tcW w:w="1337" w:type="dxa"/>
            <w:vAlign w:val="center"/>
          </w:tcPr>
          <w:p w:rsidR="00701289" w:rsidRDefault="00701289" w:rsidP="00DF2F81">
            <w:pPr>
              <w:jc w:val="center"/>
            </w:pPr>
            <w:r>
              <w:rPr>
                <w:rFonts w:ascii="Times New Roman" w:hAnsi="Times New Roman"/>
                <w:b/>
                <w:sz w:val="24"/>
              </w:rPr>
              <w:t>Significant Deviation</w:t>
            </w:r>
          </w:p>
        </w:tc>
      </w:tr>
      <w:tr w:rsidR="00701289" w:rsidTr="00DF2F81">
        <w:trPr>
          <w:jc w:val="center"/>
        </w:trPr>
        <w:tc>
          <w:tcPr>
            <w:tcW w:w="1337" w:type="dxa"/>
            <w:vAlign w:val="center"/>
          </w:tcPr>
          <w:p w:rsidR="00701289" w:rsidRDefault="00701289" w:rsidP="00DF2F81">
            <w:r>
              <w:rPr>
                <w:rFonts w:ascii="Times New Roman" w:hAnsi="Times New Roman"/>
                <w:sz w:val="24"/>
              </w:rPr>
              <w:t>COVID-19</w:t>
            </w:r>
          </w:p>
        </w:tc>
        <w:tc>
          <w:tcPr>
            <w:tcW w:w="1337" w:type="dxa"/>
            <w:vAlign w:val="center"/>
          </w:tcPr>
          <w:p w:rsidR="00701289" w:rsidRDefault="00701289" w:rsidP="00DF2F81">
            <w:pPr>
              <w:jc w:val="right"/>
            </w:pPr>
            <w:r>
              <w:rPr>
                <w:rFonts w:ascii="Times New Roman" w:hAnsi="Times New Roman"/>
                <w:sz w:val="24"/>
              </w:rPr>
              <w:t>310</w:t>
            </w:r>
          </w:p>
        </w:tc>
        <w:tc>
          <w:tcPr>
            <w:tcW w:w="1337" w:type="dxa"/>
            <w:vAlign w:val="center"/>
          </w:tcPr>
          <w:p w:rsidR="00701289" w:rsidRDefault="00701289" w:rsidP="00DF2F81">
            <w:pPr>
              <w:jc w:val="right"/>
            </w:pPr>
            <w:r>
              <w:rPr>
                <w:rFonts w:ascii="Times New Roman" w:hAnsi="Times New Roman"/>
                <w:sz w:val="24"/>
              </w:rPr>
              <w:t>50.1</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0.04</w:t>
            </w:r>
          </w:p>
        </w:tc>
        <w:tc>
          <w:tcPr>
            <w:tcW w:w="1337" w:type="dxa"/>
            <w:vAlign w:val="center"/>
          </w:tcPr>
          <w:p w:rsidR="00701289" w:rsidRDefault="00701289" w:rsidP="00DF2F81">
            <w:pPr>
              <w:jc w:val="right"/>
            </w:pPr>
            <w:r>
              <w:rPr>
                <w:rFonts w:ascii="Times New Roman" w:hAnsi="Times New Roman"/>
                <w:sz w:val="24"/>
              </w:rPr>
              <w:t>0.844</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HIV/AIDS</w:t>
            </w:r>
          </w:p>
        </w:tc>
        <w:tc>
          <w:tcPr>
            <w:tcW w:w="1337" w:type="dxa"/>
            <w:vAlign w:val="center"/>
          </w:tcPr>
          <w:p w:rsidR="00701289" w:rsidRDefault="00701289" w:rsidP="00DF2F81">
            <w:pPr>
              <w:jc w:val="right"/>
            </w:pPr>
            <w:r>
              <w:rPr>
                <w:rFonts w:ascii="Times New Roman" w:hAnsi="Times New Roman"/>
                <w:sz w:val="24"/>
              </w:rPr>
              <w:t>653</w:t>
            </w:r>
          </w:p>
        </w:tc>
        <w:tc>
          <w:tcPr>
            <w:tcW w:w="1337" w:type="dxa"/>
            <w:vAlign w:val="center"/>
          </w:tcPr>
          <w:p w:rsidR="00701289" w:rsidRDefault="00701289" w:rsidP="00DF2F81">
            <w:pPr>
              <w:jc w:val="right"/>
            </w:pPr>
            <w:r>
              <w:rPr>
                <w:rFonts w:ascii="Times New Roman" w:hAnsi="Times New Roman"/>
                <w:sz w:val="24"/>
              </w:rPr>
              <w:t>48.8</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0.85</w:t>
            </w:r>
          </w:p>
        </w:tc>
        <w:tc>
          <w:tcPr>
            <w:tcW w:w="1337" w:type="dxa"/>
            <w:vAlign w:val="center"/>
          </w:tcPr>
          <w:p w:rsidR="00701289" w:rsidRDefault="00701289" w:rsidP="00DF2F81">
            <w:pPr>
              <w:jc w:val="right"/>
            </w:pPr>
            <w:r>
              <w:rPr>
                <w:rFonts w:ascii="Times New Roman" w:hAnsi="Times New Roman"/>
                <w:sz w:val="24"/>
              </w:rPr>
              <w:t>0.357</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Cancer</w:t>
            </w:r>
          </w:p>
        </w:tc>
        <w:tc>
          <w:tcPr>
            <w:tcW w:w="1337" w:type="dxa"/>
            <w:vAlign w:val="center"/>
          </w:tcPr>
          <w:p w:rsidR="00701289" w:rsidRDefault="00701289" w:rsidP="00DF2F81">
            <w:pPr>
              <w:jc w:val="right"/>
            </w:pPr>
            <w:r>
              <w:rPr>
                <w:rFonts w:ascii="Times New Roman" w:hAnsi="Times New Roman"/>
                <w:sz w:val="24"/>
              </w:rPr>
              <w:t>59</w:t>
            </w:r>
          </w:p>
        </w:tc>
        <w:tc>
          <w:tcPr>
            <w:tcW w:w="1337" w:type="dxa"/>
            <w:vAlign w:val="center"/>
          </w:tcPr>
          <w:p w:rsidR="00701289" w:rsidRDefault="00701289" w:rsidP="00DF2F81">
            <w:pPr>
              <w:jc w:val="right"/>
            </w:pPr>
            <w:r>
              <w:rPr>
                <w:rFonts w:ascii="Times New Roman" w:hAnsi="Times New Roman"/>
                <w:sz w:val="24"/>
              </w:rPr>
              <w:t>50.0</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0.00</w:t>
            </w:r>
          </w:p>
        </w:tc>
        <w:tc>
          <w:tcPr>
            <w:tcW w:w="1337" w:type="dxa"/>
            <w:vAlign w:val="center"/>
          </w:tcPr>
          <w:p w:rsidR="00701289" w:rsidRDefault="00701289" w:rsidP="00DF2F81">
            <w:pPr>
              <w:jc w:val="right"/>
            </w:pPr>
            <w:r>
              <w:rPr>
                <w:rFonts w:ascii="Times New Roman" w:hAnsi="Times New Roman"/>
                <w:sz w:val="24"/>
              </w:rPr>
              <w:t>1.000</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Cardiovascular</w:t>
            </w:r>
          </w:p>
        </w:tc>
        <w:tc>
          <w:tcPr>
            <w:tcW w:w="1337" w:type="dxa"/>
            <w:vAlign w:val="center"/>
          </w:tcPr>
          <w:p w:rsidR="00701289" w:rsidRDefault="00701289" w:rsidP="00DF2F81">
            <w:pPr>
              <w:jc w:val="right"/>
            </w:pPr>
            <w:r>
              <w:rPr>
                <w:rFonts w:ascii="Times New Roman" w:hAnsi="Times New Roman"/>
                <w:sz w:val="24"/>
              </w:rPr>
              <w:t>13</w:t>
            </w:r>
          </w:p>
        </w:tc>
        <w:tc>
          <w:tcPr>
            <w:tcW w:w="1337" w:type="dxa"/>
            <w:vAlign w:val="center"/>
          </w:tcPr>
          <w:p w:rsidR="00701289" w:rsidRDefault="00701289" w:rsidP="00DF2F81">
            <w:pPr>
              <w:jc w:val="right"/>
            </w:pPr>
            <w:r>
              <w:rPr>
                <w:rFonts w:ascii="Times New Roman" w:hAnsi="Times New Roman"/>
                <w:sz w:val="24"/>
              </w:rPr>
              <w:t>50.0</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0.00</w:t>
            </w:r>
          </w:p>
        </w:tc>
        <w:tc>
          <w:tcPr>
            <w:tcW w:w="1337" w:type="dxa"/>
            <w:vAlign w:val="center"/>
          </w:tcPr>
          <w:p w:rsidR="00701289" w:rsidRDefault="00701289" w:rsidP="00DF2F81">
            <w:pPr>
              <w:jc w:val="right"/>
            </w:pPr>
            <w:r>
              <w:rPr>
                <w:rFonts w:ascii="Times New Roman" w:hAnsi="Times New Roman"/>
                <w:sz w:val="24"/>
              </w:rPr>
              <w:t>1.000</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Infectious Disease</w:t>
            </w:r>
          </w:p>
        </w:tc>
        <w:tc>
          <w:tcPr>
            <w:tcW w:w="1337" w:type="dxa"/>
            <w:vAlign w:val="center"/>
          </w:tcPr>
          <w:p w:rsidR="00701289" w:rsidRDefault="00701289" w:rsidP="00DF2F81">
            <w:pPr>
              <w:jc w:val="right"/>
            </w:pPr>
            <w:r>
              <w:rPr>
                <w:rFonts w:ascii="Times New Roman" w:hAnsi="Times New Roman"/>
                <w:sz w:val="24"/>
              </w:rPr>
              <w:t>102</w:t>
            </w:r>
          </w:p>
        </w:tc>
        <w:tc>
          <w:tcPr>
            <w:tcW w:w="1337" w:type="dxa"/>
            <w:vAlign w:val="center"/>
          </w:tcPr>
          <w:p w:rsidR="00701289" w:rsidRDefault="00701289" w:rsidP="00DF2F81">
            <w:pPr>
              <w:jc w:val="right"/>
            </w:pPr>
            <w:r>
              <w:rPr>
                <w:rFonts w:ascii="Times New Roman" w:hAnsi="Times New Roman"/>
                <w:sz w:val="24"/>
              </w:rPr>
              <w:t>50.7</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0.00</w:t>
            </w:r>
          </w:p>
        </w:tc>
        <w:tc>
          <w:tcPr>
            <w:tcW w:w="1337" w:type="dxa"/>
            <w:vAlign w:val="center"/>
          </w:tcPr>
          <w:p w:rsidR="00701289" w:rsidRDefault="00701289" w:rsidP="00DF2F81">
            <w:pPr>
              <w:jc w:val="right"/>
            </w:pPr>
            <w:r>
              <w:rPr>
                <w:rFonts w:ascii="Times New Roman" w:hAnsi="Times New Roman"/>
                <w:sz w:val="24"/>
              </w:rPr>
              <w:t>1.000</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Respiratory</w:t>
            </w:r>
          </w:p>
        </w:tc>
        <w:tc>
          <w:tcPr>
            <w:tcW w:w="1337" w:type="dxa"/>
            <w:vAlign w:val="center"/>
          </w:tcPr>
          <w:p w:rsidR="00701289" w:rsidRDefault="00701289" w:rsidP="00DF2F81">
            <w:pPr>
              <w:jc w:val="right"/>
            </w:pPr>
            <w:r>
              <w:rPr>
                <w:rFonts w:ascii="Times New Roman" w:hAnsi="Times New Roman"/>
                <w:sz w:val="24"/>
              </w:rPr>
              <w:t>29</w:t>
            </w:r>
          </w:p>
        </w:tc>
        <w:tc>
          <w:tcPr>
            <w:tcW w:w="1337" w:type="dxa"/>
            <w:vAlign w:val="center"/>
          </w:tcPr>
          <w:p w:rsidR="00701289" w:rsidRDefault="00701289" w:rsidP="00DF2F81">
            <w:pPr>
              <w:jc w:val="right"/>
            </w:pPr>
            <w:r>
              <w:rPr>
                <w:rFonts w:ascii="Times New Roman" w:hAnsi="Times New Roman"/>
                <w:sz w:val="24"/>
              </w:rPr>
              <w:t>50.0</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0.00</w:t>
            </w:r>
          </w:p>
        </w:tc>
        <w:tc>
          <w:tcPr>
            <w:tcW w:w="1337" w:type="dxa"/>
            <w:vAlign w:val="center"/>
          </w:tcPr>
          <w:p w:rsidR="00701289" w:rsidRDefault="00701289" w:rsidP="00DF2F81">
            <w:pPr>
              <w:jc w:val="right"/>
            </w:pPr>
            <w:r>
              <w:rPr>
                <w:rFonts w:ascii="Times New Roman" w:hAnsi="Times New Roman"/>
                <w:sz w:val="24"/>
              </w:rPr>
              <w:t>1.000</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Mental Health</w:t>
            </w:r>
          </w:p>
        </w:tc>
        <w:tc>
          <w:tcPr>
            <w:tcW w:w="1337" w:type="dxa"/>
            <w:vAlign w:val="center"/>
          </w:tcPr>
          <w:p w:rsidR="00701289" w:rsidRDefault="00701289" w:rsidP="00DF2F81">
            <w:pPr>
              <w:jc w:val="right"/>
            </w:pPr>
            <w:r>
              <w:rPr>
                <w:rFonts w:ascii="Times New Roman" w:hAnsi="Times New Roman"/>
                <w:sz w:val="24"/>
              </w:rPr>
              <w:t>3</w:t>
            </w:r>
          </w:p>
        </w:tc>
        <w:tc>
          <w:tcPr>
            <w:tcW w:w="1337" w:type="dxa"/>
            <w:vAlign w:val="center"/>
          </w:tcPr>
          <w:p w:rsidR="00701289" w:rsidRDefault="00701289" w:rsidP="00DF2F81">
            <w:pPr>
              <w:jc w:val="right"/>
            </w:pPr>
            <w:r>
              <w:rPr>
                <w:rFonts w:ascii="Times New Roman" w:hAnsi="Times New Roman"/>
                <w:sz w:val="24"/>
              </w:rPr>
              <w:t>50.0</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0.00</w:t>
            </w:r>
          </w:p>
        </w:tc>
        <w:tc>
          <w:tcPr>
            <w:tcW w:w="1337" w:type="dxa"/>
            <w:vAlign w:val="center"/>
          </w:tcPr>
          <w:p w:rsidR="00701289" w:rsidRDefault="00701289" w:rsidP="00DF2F81">
            <w:pPr>
              <w:jc w:val="right"/>
            </w:pPr>
            <w:r>
              <w:rPr>
                <w:rFonts w:ascii="Times New Roman" w:hAnsi="Times New Roman"/>
                <w:sz w:val="24"/>
              </w:rPr>
              <w:t>1.000</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Diabetes</w:t>
            </w:r>
          </w:p>
        </w:tc>
        <w:tc>
          <w:tcPr>
            <w:tcW w:w="1337" w:type="dxa"/>
            <w:vAlign w:val="center"/>
          </w:tcPr>
          <w:p w:rsidR="00701289" w:rsidRDefault="00701289" w:rsidP="00DF2F81">
            <w:pPr>
              <w:jc w:val="right"/>
            </w:pPr>
            <w:r>
              <w:rPr>
                <w:rFonts w:ascii="Times New Roman" w:hAnsi="Times New Roman"/>
                <w:sz w:val="24"/>
              </w:rPr>
              <w:t>1</w:t>
            </w:r>
          </w:p>
        </w:tc>
        <w:tc>
          <w:tcPr>
            <w:tcW w:w="1337" w:type="dxa"/>
            <w:vAlign w:val="center"/>
          </w:tcPr>
          <w:p w:rsidR="00701289" w:rsidRDefault="00701289" w:rsidP="00DF2F81">
            <w:pPr>
              <w:jc w:val="right"/>
            </w:pPr>
            <w:r>
              <w:rPr>
                <w:rFonts w:ascii="Times New Roman" w:hAnsi="Times New Roman"/>
                <w:sz w:val="24"/>
              </w:rPr>
              <w:t>50.0</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0.00</w:t>
            </w:r>
          </w:p>
        </w:tc>
        <w:tc>
          <w:tcPr>
            <w:tcW w:w="1337" w:type="dxa"/>
            <w:vAlign w:val="center"/>
          </w:tcPr>
          <w:p w:rsidR="00701289" w:rsidRDefault="00701289" w:rsidP="00DF2F81">
            <w:pPr>
              <w:jc w:val="right"/>
            </w:pPr>
            <w:r>
              <w:rPr>
                <w:rFonts w:ascii="Times New Roman" w:hAnsi="Times New Roman"/>
                <w:sz w:val="24"/>
              </w:rPr>
              <w:t>1.000</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Other</w:t>
            </w:r>
          </w:p>
        </w:tc>
        <w:tc>
          <w:tcPr>
            <w:tcW w:w="1337" w:type="dxa"/>
            <w:vAlign w:val="center"/>
          </w:tcPr>
          <w:p w:rsidR="00701289" w:rsidRDefault="00701289" w:rsidP="00DF2F81">
            <w:pPr>
              <w:jc w:val="right"/>
            </w:pPr>
            <w:r>
              <w:rPr>
                <w:rFonts w:ascii="Times New Roman" w:hAnsi="Times New Roman"/>
                <w:sz w:val="24"/>
              </w:rPr>
              <w:t>655</w:t>
            </w:r>
          </w:p>
        </w:tc>
        <w:tc>
          <w:tcPr>
            <w:tcW w:w="1337" w:type="dxa"/>
            <w:vAlign w:val="center"/>
          </w:tcPr>
          <w:p w:rsidR="00701289" w:rsidRDefault="00701289" w:rsidP="00DF2F81">
            <w:pPr>
              <w:jc w:val="right"/>
            </w:pPr>
            <w:r>
              <w:rPr>
                <w:rFonts w:ascii="Times New Roman" w:hAnsi="Times New Roman"/>
                <w:sz w:val="24"/>
              </w:rPr>
              <w:t>50.5</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0.01</w:t>
            </w:r>
          </w:p>
        </w:tc>
        <w:tc>
          <w:tcPr>
            <w:tcW w:w="1337" w:type="dxa"/>
            <w:vAlign w:val="center"/>
          </w:tcPr>
          <w:p w:rsidR="00701289" w:rsidRDefault="00701289" w:rsidP="00DF2F81">
            <w:pPr>
              <w:jc w:val="right"/>
            </w:pPr>
            <w:r>
              <w:rPr>
                <w:rFonts w:ascii="Times New Roman" w:hAnsi="Times New Roman"/>
                <w:sz w:val="24"/>
              </w:rPr>
              <w:t>0.914</w:t>
            </w:r>
          </w:p>
        </w:tc>
        <w:tc>
          <w:tcPr>
            <w:tcW w:w="1337" w:type="dxa"/>
            <w:vAlign w:val="center"/>
          </w:tcPr>
          <w:p w:rsidR="00701289" w:rsidRDefault="00701289" w:rsidP="00DF2F81">
            <w:pPr>
              <w:jc w:val="center"/>
            </w:pPr>
            <w:r>
              <w:rPr>
                <w:rFonts w:ascii="Times New Roman" w:hAnsi="Times New Roman"/>
                <w:sz w:val="24"/>
              </w:rPr>
              <w:t>No</w:t>
            </w:r>
          </w:p>
        </w:tc>
      </w:tr>
      <w:tr w:rsidR="00701289" w:rsidTr="00DF2F81">
        <w:trPr>
          <w:jc w:val="center"/>
        </w:trPr>
        <w:tc>
          <w:tcPr>
            <w:tcW w:w="1337" w:type="dxa"/>
            <w:vAlign w:val="center"/>
          </w:tcPr>
          <w:p w:rsidR="00701289" w:rsidRDefault="00701289" w:rsidP="00DF2F81">
            <w:r>
              <w:rPr>
                <w:rFonts w:ascii="Times New Roman" w:hAnsi="Times New Roman"/>
                <w:sz w:val="24"/>
              </w:rPr>
              <w:t>Overall</w:t>
            </w:r>
          </w:p>
        </w:tc>
        <w:tc>
          <w:tcPr>
            <w:tcW w:w="1337" w:type="dxa"/>
            <w:vAlign w:val="center"/>
          </w:tcPr>
          <w:p w:rsidR="00701289" w:rsidRDefault="00701289" w:rsidP="00DF2F81">
            <w:pPr>
              <w:jc w:val="center"/>
            </w:pPr>
            <w:r>
              <w:rPr>
                <w:rFonts w:ascii="Times New Roman" w:hAnsi="Times New Roman"/>
                <w:sz w:val="24"/>
              </w:rPr>
              <w:t>1,825</w:t>
            </w:r>
          </w:p>
        </w:tc>
        <w:tc>
          <w:tcPr>
            <w:tcW w:w="1337" w:type="dxa"/>
            <w:vAlign w:val="center"/>
          </w:tcPr>
          <w:p w:rsidR="00701289" w:rsidRDefault="00701289" w:rsidP="00DF2F81">
            <w:pPr>
              <w:jc w:val="right"/>
            </w:pPr>
            <w:r>
              <w:rPr>
                <w:rFonts w:ascii="Times New Roman" w:hAnsi="Times New Roman"/>
                <w:sz w:val="24"/>
              </w:rPr>
              <w:t>50.1</w:t>
            </w:r>
          </w:p>
        </w:tc>
        <w:tc>
          <w:tcPr>
            <w:tcW w:w="1337" w:type="dxa"/>
            <w:vAlign w:val="center"/>
          </w:tcPr>
          <w:p w:rsidR="00701289" w:rsidRDefault="00701289" w:rsidP="00DF2F81">
            <w:pPr>
              <w:jc w:val="right"/>
            </w:pPr>
            <w:r>
              <w:rPr>
                <w:rFonts w:ascii="Times New Roman" w:hAnsi="Times New Roman"/>
                <w:sz w:val="24"/>
              </w:rPr>
              <w:t>50.8</w:t>
            </w:r>
          </w:p>
        </w:tc>
        <w:tc>
          <w:tcPr>
            <w:tcW w:w="1337" w:type="dxa"/>
            <w:vAlign w:val="center"/>
          </w:tcPr>
          <w:p w:rsidR="00701289" w:rsidRDefault="00701289" w:rsidP="00DF2F81">
            <w:pPr>
              <w:jc w:val="right"/>
            </w:pPr>
            <w:r>
              <w:rPr>
                <w:rFonts w:ascii="Times New Roman" w:hAnsi="Times New Roman"/>
                <w:sz w:val="24"/>
              </w:rPr>
              <w:t>0.04</w:t>
            </w:r>
          </w:p>
        </w:tc>
        <w:tc>
          <w:tcPr>
            <w:tcW w:w="1337" w:type="dxa"/>
            <w:vAlign w:val="center"/>
          </w:tcPr>
          <w:p w:rsidR="00701289" w:rsidRDefault="00701289" w:rsidP="00DF2F81">
            <w:pPr>
              <w:jc w:val="right"/>
            </w:pPr>
            <w:r>
              <w:rPr>
                <w:rFonts w:ascii="Times New Roman" w:hAnsi="Times New Roman"/>
                <w:sz w:val="24"/>
              </w:rPr>
              <w:t>0.844</w:t>
            </w:r>
          </w:p>
        </w:tc>
        <w:tc>
          <w:tcPr>
            <w:tcW w:w="1337" w:type="dxa"/>
            <w:vAlign w:val="center"/>
          </w:tcPr>
          <w:p w:rsidR="00701289" w:rsidRDefault="00701289" w:rsidP="00DF2F81">
            <w:pPr>
              <w:jc w:val="center"/>
            </w:pPr>
            <w:r>
              <w:rPr>
                <w:rFonts w:ascii="Times New Roman" w:hAnsi="Times New Roman"/>
                <w:sz w:val="24"/>
              </w:rPr>
              <w:t>No</w:t>
            </w:r>
          </w:p>
        </w:tc>
      </w:tr>
    </w:tbl>
    <w:p w:rsidR="00701289" w:rsidRDefault="00701289" w:rsidP="00701289">
      <w:r>
        <w:rPr>
          <w:rFonts w:ascii="Times New Roman" w:hAnsi="Times New Roman"/>
          <w:i/>
          <w:sz w:val="20"/>
        </w:rPr>
        <w:t>Note: Expected female representation (50.8%) based on 2025 US population estimates. Chi-square tests compare observed versus expected sex distributions. P-values &gt; 0.05 indicate no significant deviation from expected representation.</w:t>
      </w:r>
    </w:p>
    <w:p w:rsidR="00701289" w:rsidRDefault="00701289">
      <w:pPr>
        <w:rPr>
          <w:b/>
          <w:bCs/>
        </w:rPr>
      </w:pPr>
      <w:r>
        <w:rPr>
          <w:b/>
          <w:bCs/>
        </w:rPr>
        <w:br w:type="page"/>
      </w:r>
    </w:p>
    <w:p w:rsidR="00701289" w:rsidRDefault="00701289" w:rsidP="00701289">
      <w:pPr>
        <w:jc w:val="center"/>
      </w:pPr>
      <w:r>
        <w:rPr>
          <w:rFonts w:ascii="Times New Roman" w:hAnsi="Times New Roman"/>
          <w:b/>
          <w:sz w:val="24"/>
        </w:rPr>
        <w:lastRenderedPageBreak/>
        <w:t>Table 2. Distribution of Trial Designs by Disease Category and Sex Inclusion Criteria</w:t>
      </w:r>
    </w:p>
    <w:tbl>
      <w:tblPr>
        <w:tblStyle w:val="TableGrid"/>
        <w:tblW w:w="0" w:type="auto"/>
        <w:jc w:val="center"/>
        <w:tblLook w:val="04A0" w:firstRow="1" w:lastRow="0" w:firstColumn="1" w:lastColumn="0" w:noHBand="0" w:noVBand="1"/>
      </w:tblPr>
      <w:tblGrid>
        <w:gridCol w:w="1871"/>
        <w:gridCol w:w="1870"/>
        <w:gridCol w:w="1870"/>
        <w:gridCol w:w="1870"/>
        <w:gridCol w:w="1869"/>
      </w:tblGrid>
      <w:tr w:rsidR="00701289" w:rsidTr="00DF2F81">
        <w:trPr>
          <w:jc w:val="center"/>
        </w:trPr>
        <w:tc>
          <w:tcPr>
            <w:tcW w:w="1872" w:type="dxa"/>
            <w:vAlign w:val="center"/>
          </w:tcPr>
          <w:p w:rsidR="00701289" w:rsidRDefault="00701289" w:rsidP="00DF2F81">
            <w:pPr>
              <w:jc w:val="center"/>
            </w:pPr>
            <w:r>
              <w:rPr>
                <w:rFonts w:ascii="Times New Roman" w:hAnsi="Times New Roman"/>
                <w:b/>
                <w:sz w:val="24"/>
              </w:rPr>
              <w:t>Disease Category</w:t>
            </w:r>
          </w:p>
        </w:tc>
        <w:tc>
          <w:tcPr>
            <w:tcW w:w="1872" w:type="dxa"/>
            <w:vAlign w:val="center"/>
          </w:tcPr>
          <w:p w:rsidR="00701289" w:rsidRDefault="00701289" w:rsidP="00DF2F81">
            <w:pPr>
              <w:jc w:val="center"/>
            </w:pPr>
            <w:r>
              <w:rPr>
                <w:rFonts w:ascii="Times New Roman" w:hAnsi="Times New Roman"/>
                <w:b/>
                <w:sz w:val="24"/>
              </w:rPr>
              <w:t>Total Trials</w:t>
            </w:r>
          </w:p>
        </w:tc>
        <w:tc>
          <w:tcPr>
            <w:tcW w:w="1872" w:type="dxa"/>
            <w:vAlign w:val="center"/>
          </w:tcPr>
          <w:p w:rsidR="00701289" w:rsidRDefault="00701289" w:rsidP="00DF2F81">
            <w:pPr>
              <w:jc w:val="center"/>
            </w:pPr>
            <w:r>
              <w:rPr>
                <w:rFonts w:ascii="Times New Roman" w:hAnsi="Times New Roman"/>
                <w:b/>
                <w:sz w:val="24"/>
              </w:rPr>
              <w:t>Both Sexes n (%)</w:t>
            </w:r>
          </w:p>
        </w:tc>
        <w:tc>
          <w:tcPr>
            <w:tcW w:w="1872" w:type="dxa"/>
            <w:vAlign w:val="center"/>
          </w:tcPr>
          <w:p w:rsidR="00701289" w:rsidRDefault="00701289" w:rsidP="00DF2F81">
            <w:pPr>
              <w:jc w:val="center"/>
            </w:pPr>
            <w:r>
              <w:rPr>
                <w:rFonts w:ascii="Times New Roman" w:hAnsi="Times New Roman"/>
                <w:b/>
                <w:sz w:val="24"/>
              </w:rPr>
              <w:t>Female Only n (%)</w:t>
            </w:r>
          </w:p>
        </w:tc>
        <w:tc>
          <w:tcPr>
            <w:tcW w:w="1872" w:type="dxa"/>
            <w:vAlign w:val="center"/>
          </w:tcPr>
          <w:p w:rsidR="00701289" w:rsidRDefault="00701289" w:rsidP="00DF2F81">
            <w:pPr>
              <w:jc w:val="center"/>
            </w:pPr>
            <w:r>
              <w:rPr>
                <w:rFonts w:ascii="Times New Roman" w:hAnsi="Times New Roman"/>
                <w:b/>
                <w:sz w:val="24"/>
              </w:rPr>
              <w:t>Male Only n (%)</w:t>
            </w:r>
          </w:p>
        </w:tc>
      </w:tr>
      <w:tr w:rsidR="00701289" w:rsidTr="00DF2F81">
        <w:trPr>
          <w:jc w:val="center"/>
        </w:trPr>
        <w:tc>
          <w:tcPr>
            <w:tcW w:w="1872" w:type="dxa"/>
            <w:vAlign w:val="center"/>
          </w:tcPr>
          <w:p w:rsidR="00701289" w:rsidRDefault="00701289" w:rsidP="00DF2F81">
            <w:r>
              <w:rPr>
                <w:rFonts w:ascii="Times New Roman" w:hAnsi="Times New Roman"/>
                <w:sz w:val="24"/>
              </w:rPr>
              <w:t>COVID-19</w:t>
            </w:r>
          </w:p>
        </w:tc>
        <w:tc>
          <w:tcPr>
            <w:tcW w:w="1872" w:type="dxa"/>
            <w:vAlign w:val="center"/>
          </w:tcPr>
          <w:p w:rsidR="00701289" w:rsidRDefault="00701289" w:rsidP="00DF2F81">
            <w:pPr>
              <w:jc w:val="right"/>
            </w:pPr>
            <w:r>
              <w:rPr>
                <w:rFonts w:ascii="Times New Roman" w:hAnsi="Times New Roman"/>
                <w:sz w:val="24"/>
              </w:rPr>
              <w:t>310</w:t>
            </w:r>
          </w:p>
        </w:tc>
        <w:tc>
          <w:tcPr>
            <w:tcW w:w="1872" w:type="dxa"/>
            <w:vAlign w:val="center"/>
          </w:tcPr>
          <w:p w:rsidR="00701289" w:rsidRDefault="00701289" w:rsidP="00DF2F81">
            <w:pPr>
              <w:jc w:val="center"/>
            </w:pPr>
            <w:r>
              <w:rPr>
                <w:rFonts w:ascii="Times New Roman" w:hAnsi="Times New Roman"/>
                <w:sz w:val="24"/>
              </w:rPr>
              <w:t>309 (99.7)</w:t>
            </w:r>
          </w:p>
        </w:tc>
        <w:tc>
          <w:tcPr>
            <w:tcW w:w="1872" w:type="dxa"/>
            <w:vAlign w:val="center"/>
          </w:tcPr>
          <w:p w:rsidR="00701289" w:rsidRDefault="00701289" w:rsidP="00DF2F81">
            <w:pPr>
              <w:jc w:val="center"/>
            </w:pPr>
            <w:r>
              <w:rPr>
                <w:rFonts w:ascii="Times New Roman" w:hAnsi="Times New Roman"/>
                <w:sz w:val="24"/>
              </w:rPr>
              <w:t>1 (0.3)</w:t>
            </w:r>
          </w:p>
        </w:tc>
        <w:tc>
          <w:tcPr>
            <w:tcW w:w="1872" w:type="dxa"/>
            <w:vAlign w:val="center"/>
          </w:tcPr>
          <w:p w:rsidR="00701289" w:rsidRDefault="00701289" w:rsidP="00DF2F81">
            <w:pPr>
              <w:jc w:val="center"/>
            </w:pPr>
            <w:r>
              <w:rPr>
                <w:rFonts w:ascii="Times New Roman" w:hAnsi="Times New Roman"/>
                <w:sz w:val="24"/>
              </w:rPr>
              <w:t>0 (0.0)</w:t>
            </w:r>
          </w:p>
        </w:tc>
      </w:tr>
      <w:tr w:rsidR="00701289" w:rsidTr="00DF2F81">
        <w:trPr>
          <w:jc w:val="center"/>
        </w:trPr>
        <w:tc>
          <w:tcPr>
            <w:tcW w:w="1872" w:type="dxa"/>
            <w:vAlign w:val="center"/>
          </w:tcPr>
          <w:p w:rsidR="00701289" w:rsidRDefault="00701289" w:rsidP="00DF2F81">
            <w:r>
              <w:rPr>
                <w:rFonts w:ascii="Times New Roman" w:hAnsi="Times New Roman"/>
                <w:sz w:val="24"/>
              </w:rPr>
              <w:t>HIV/AIDS</w:t>
            </w:r>
          </w:p>
        </w:tc>
        <w:tc>
          <w:tcPr>
            <w:tcW w:w="1872" w:type="dxa"/>
            <w:vAlign w:val="center"/>
          </w:tcPr>
          <w:p w:rsidR="00701289" w:rsidRDefault="00701289" w:rsidP="00DF2F81">
            <w:pPr>
              <w:jc w:val="right"/>
            </w:pPr>
            <w:r>
              <w:rPr>
                <w:rFonts w:ascii="Times New Roman" w:hAnsi="Times New Roman"/>
                <w:sz w:val="24"/>
              </w:rPr>
              <w:t>653</w:t>
            </w:r>
          </w:p>
        </w:tc>
        <w:tc>
          <w:tcPr>
            <w:tcW w:w="1872" w:type="dxa"/>
            <w:vAlign w:val="center"/>
          </w:tcPr>
          <w:p w:rsidR="00701289" w:rsidRDefault="00701289" w:rsidP="00DF2F81">
            <w:pPr>
              <w:jc w:val="center"/>
            </w:pPr>
            <w:r>
              <w:rPr>
                <w:rFonts w:ascii="Times New Roman" w:hAnsi="Times New Roman"/>
                <w:sz w:val="24"/>
              </w:rPr>
              <w:t>559 (85.6)</w:t>
            </w:r>
          </w:p>
        </w:tc>
        <w:tc>
          <w:tcPr>
            <w:tcW w:w="1872" w:type="dxa"/>
            <w:vAlign w:val="center"/>
          </w:tcPr>
          <w:p w:rsidR="00701289" w:rsidRDefault="00701289" w:rsidP="00DF2F81">
            <w:pPr>
              <w:jc w:val="center"/>
            </w:pPr>
            <w:r>
              <w:rPr>
                <w:rFonts w:ascii="Times New Roman" w:hAnsi="Times New Roman"/>
                <w:sz w:val="24"/>
              </w:rPr>
              <w:t>33 (5.1)</w:t>
            </w:r>
          </w:p>
        </w:tc>
        <w:tc>
          <w:tcPr>
            <w:tcW w:w="1872" w:type="dxa"/>
            <w:vAlign w:val="center"/>
          </w:tcPr>
          <w:p w:rsidR="00701289" w:rsidRDefault="00701289" w:rsidP="00DF2F81">
            <w:pPr>
              <w:jc w:val="center"/>
            </w:pPr>
            <w:r>
              <w:rPr>
                <w:rFonts w:ascii="Times New Roman" w:hAnsi="Times New Roman"/>
                <w:sz w:val="24"/>
              </w:rPr>
              <w:t>61 (9.3)</w:t>
            </w:r>
          </w:p>
        </w:tc>
      </w:tr>
      <w:tr w:rsidR="00701289" w:rsidTr="00DF2F81">
        <w:trPr>
          <w:jc w:val="center"/>
        </w:trPr>
        <w:tc>
          <w:tcPr>
            <w:tcW w:w="1872" w:type="dxa"/>
            <w:vAlign w:val="center"/>
          </w:tcPr>
          <w:p w:rsidR="00701289" w:rsidRDefault="00701289" w:rsidP="00DF2F81">
            <w:r>
              <w:rPr>
                <w:rFonts w:ascii="Times New Roman" w:hAnsi="Times New Roman"/>
                <w:sz w:val="24"/>
              </w:rPr>
              <w:t>Cancer</w:t>
            </w:r>
          </w:p>
        </w:tc>
        <w:tc>
          <w:tcPr>
            <w:tcW w:w="1872" w:type="dxa"/>
            <w:vAlign w:val="center"/>
          </w:tcPr>
          <w:p w:rsidR="00701289" w:rsidRDefault="00701289" w:rsidP="00DF2F81">
            <w:pPr>
              <w:jc w:val="right"/>
            </w:pPr>
            <w:r>
              <w:rPr>
                <w:rFonts w:ascii="Times New Roman" w:hAnsi="Times New Roman"/>
                <w:sz w:val="24"/>
              </w:rPr>
              <w:t>59</w:t>
            </w:r>
          </w:p>
        </w:tc>
        <w:tc>
          <w:tcPr>
            <w:tcW w:w="1872" w:type="dxa"/>
            <w:vAlign w:val="center"/>
          </w:tcPr>
          <w:p w:rsidR="00701289" w:rsidRDefault="00701289" w:rsidP="00DF2F81">
            <w:pPr>
              <w:jc w:val="center"/>
            </w:pPr>
            <w:r>
              <w:rPr>
                <w:rFonts w:ascii="Times New Roman" w:hAnsi="Times New Roman"/>
                <w:sz w:val="24"/>
              </w:rPr>
              <w:t>55 (93.2)</w:t>
            </w:r>
          </w:p>
        </w:tc>
        <w:tc>
          <w:tcPr>
            <w:tcW w:w="1872" w:type="dxa"/>
            <w:vAlign w:val="center"/>
          </w:tcPr>
          <w:p w:rsidR="00701289" w:rsidRDefault="00701289" w:rsidP="00DF2F81">
            <w:pPr>
              <w:jc w:val="center"/>
            </w:pPr>
            <w:r>
              <w:rPr>
                <w:rFonts w:ascii="Times New Roman" w:hAnsi="Times New Roman"/>
                <w:sz w:val="24"/>
              </w:rPr>
              <w:t>2 (3.4)</w:t>
            </w:r>
          </w:p>
        </w:tc>
        <w:tc>
          <w:tcPr>
            <w:tcW w:w="1872" w:type="dxa"/>
            <w:vAlign w:val="center"/>
          </w:tcPr>
          <w:p w:rsidR="00701289" w:rsidRDefault="00701289" w:rsidP="00DF2F81">
            <w:pPr>
              <w:jc w:val="center"/>
            </w:pPr>
            <w:r>
              <w:rPr>
                <w:rFonts w:ascii="Times New Roman" w:hAnsi="Times New Roman"/>
                <w:sz w:val="24"/>
              </w:rPr>
              <w:t>2 (3.4)</w:t>
            </w:r>
          </w:p>
        </w:tc>
      </w:tr>
      <w:tr w:rsidR="00701289" w:rsidTr="00DF2F81">
        <w:trPr>
          <w:jc w:val="center"/>
        </w:trPr>
        <w:tc>
          <w:tcPr>
            <w:tcW w:w="1872" w:type="dxa"/>
            <w:vAlign w:val="center"/>
          </w:tcPr>
          <w:p w:rsidR="00701289" w:rsidRDefault="00701289" w:rsidP="00DF2F81">
            <w:r>
              <w:rPr>
                <w:rFonts w:ascii="Times New Roman" w:hAnsi="Times New Roman"/>
                <w:sz w:val="24"/>
              </w:rPr>
              <w:t>Cardiovascular</w:t>
            </w:r>
          </w:p>
        </w:tc>
        <w:tc>
          <w:tcPr>
            <w:tcW w:w="1872" w:type="dxa"/>
            <w:vAlign w:val="center"/>
          </w:tcPr>
          <w:p w:rsidR="00701289" w:rsidRDefault="00701289" w:rsidP="00DF2F81">
            <w:pPr>
              <w:jc w:val="right"/>
            </w:pPr>
            <w:r>
              <w:rPr>
                <w:rFonts w:ascii="Times New Roman" w:hAnsi="Times New Roman"/>
                <w:sz w:val="24"/>
              </w:rPr>
              <w:t>13</w:t>
            </w:r>
          </w:p>
        </w:tc>
        <w:tc>
          <w:tcPr>
            <w:tcW w:w="1872" w:type="dxa"/>
            <w:vAlign w:val="center"/>
          </w:tcPr>
          <w:p w:rsidR="00701289" w:rsidRDefault="00701289" w:rsidP="00DF2F81">
            <w:pPr>
              <w:jc w:val="center"/>
            </w:pPr>
            <w:r>
              <w:rPr>
                <w:rFonts w:ascii="Times New Roman" w:hAnsi="Times New Roman"/>
                <w:sz w:val="24"/>
              </w:rPr>
              <w:t>13 (100.0)</w:t>
            </w:r>
          </w:p>
        </w:tc>
        <w:tc>
          <w:tcPr>
            <w:tcW w:w="1872" w:type="dxa"/>
            <w:vAlign w:val="center"/>
          </w:tcPr>
          <w:p w:rsidR="00701289" w:rsidRDefault="00701289" w:rsidP="00DF2F81">
            <w:pPr>
              <w:jc w:val="center"/>
            </w:pPr>
            <w:r>
              <w:rPr>
                <w:rFonts w:ascii="Times New Roman" w:hAnsi="Times New Roman"/>
                <w:sz w:val="24"/>
              </w:rPr>
              <w:t>0 (0.0)</w:t>
            </w:r>
          </w:p>
        </w:tc>
        <w:tc>
          <w:tcPr>
            <w:tcW w:w="1872" w:type="dxa"/>
            <w:vAlign w:val="center"/>
          </w:tcPr>
          <w:p w:rsidR="00701289" w:rsidRDefault="00701289" w:rsidP="00DF2F81">
            <w:pPr>
              <w:jc w:val="center"/>
            </w:pPr>
            <w:r>
              <w:rPr>
                <w:rFonts w:ascii="Times New Roman" w:hAnsi="Times New Roman"/>
                <w:sz w:val="24"/>
              </w:rPr>
              <w:t>0 (0.0)</w:t>
            </w:r>
          </w:p>
        </w:tc>
      </w:tr>
      <w:tr w:rsidR="00701289" w:rsidTr="00DF2F81">
        <w:trPr>
          <w:jc w:val="center"/>
        </w:trPr>
        <w:tc>
          <w:tcPr>
            <w:tcW w:w="1872" w:type="dxa"/>
            <w:vAlign w:val="center"/>
          </w:tcPr>
          <w:p w:rsidR="00701289" w:rsidRDefault="00701289" w:rsidP="00DF2F81">
            <w:r>
              <w:rPr>
                <w:rFonts w:ascii="Times New Roman" w:hAnsi="Times New Roman"/>
                <w:sz w:val="24"/>
              </w:rPr>
              <w:t>Infectious Disease</w:t>
            </w:r>
          </w:p>
        </w:tc>
        <w:tc>
          <w:tcPr>
            <w:tcW w:w="1872" w:type="dxa"/>
            <w:vAlign w:val="center"/>
          </w:tcPr>
          <w:p w:rsidR="00701289" w:rsidRDefault="00701289" w:rsidP="00DF2F81">
            <w:pPr>
              <w:jc w:val="right"/>
            </w:pPr>
            <w:r>
              <w:rPr>
                <w:rFonts w:ascii="Times New Roman" w:hAnsi="Times New Roman"/>
                <w:sz w:val="24"/>
              </w:rPr>
              <w:t>102</w:t>
            </w:r>
          </w:p>
        </w:tc>
        <w:tc>
          <w:tcPr>
            <w:tcW w:w="1872" w:type="dxa"/>
            <w:vAlign w:val="center"/>
          </w:tcPr>
          <w:p w:rsidR="00701289" w:rsidRDefault="00701289" w:rsidP="00DF2F81">
            <w:pPr>
              <w:jc w:val="center"/>
            </w:pPr>
            <w:r>
              <w:rPr>
                <w:rFonts w:ascii="Times New Roman" w:hAnsi="Times New Roman"/>
                <w:sz w:val="24"/>
              </w:rPr>
              <w:t>99 (97.1)</w:t>
            </w:r>
          </w:p>
        </w:tc>
        <w:tc>
          <w:tcPr>
            <w:tcW w:w="1872" w:type="dxa"/>
            <w:vAlign w:val="center"/>
          </w:tcPr>
          <w:p w:rsidR="00701289" w:rsidRDefault="00701289" w:rsidP="00DF2F81">
            <w:pPr>
              <w:jc w:val="center"/>
            </w:pPr>
            <w:r>
              <w:rPr>
                <w:rFonts w:ascii="Times New Roman" w:hAnsi="Times New Roman"/>
                <w:sz w:val="24"/>
              </w:rPr>
              <w:t>3 (2.9)</w:t>
            </w:r>
          </w:p>
        </w:tc>
        <w:tc>
          <w:tcPr>
            <w:tcW w:w="1872" w:type="dxa"/>
            <w:vAlign w:val="center"/>
          </w:tcPr>
          <w:p w:rsidR="00701289" w:rsidRDefault="00701289" w:rsidP="00DF2F81">
            <w:pPr>
              <w:jc w:val="center"/>
            </w:pPr>
            <w:r>
              <w:rPr>
                <w:rFonts w:ascii="Times New Roman" w:hAnsi="Times New Roman"/>
                <w:sz w:val="24"/>
              </w:rPr>
              <w:t>0 (0.0)</w:t>
            </w:r>
          </w:p>
        </w:tc>
      </w:tr>
      <w:tr w:rsidR="00701289" w:rsidTr="00DF2F81">
        <w:trPr>
          <w:jc w:val="center"/>
        </w:trPr>
        <w:tc>
          <w:tcPr>
            <w:tcW w:w="1872" w:type="dxa"/>
            <w:vAlign w:val="center"/>
          </w:tcPr>
          <w:p w:rsidR="00701289" w:rsidRDefault="00701289" w:rsidP="00DF2F81">
            <w:r>
              <w:rPr>
                <w:rFonts w:ascii="Times New Roman" w:hAnsi="Times New Roman"/>
                <w:sz w:val="24"/>
              </w:rPr>
              <w:t>Respiratory</w:t>
            </w:r>
          </w:p>
        </w:tc>
        <w:tc>
          <w:tcPr>
            <w:tcW w:w="1872" w:type="dxa"/>
            <w:vAlign w:val="center"/>
          </w:tcPr>
          <w:p w:rsidR="00701289" w:rsidRDefault="00701289" w:rsidP="00DF2F81">
            <w:pPr>
              <w:jc w:val="right"/>
            </w:pPr>
            <w:r>
              <w:rPr>
                <w:rFonts w:ascii="Times New Roman" w:hAnsi="Times New Roman"/>
                <w:sz w:val="24"/>
              </w:rPr>
              <w:t>29</w:t>
            </w:r>
          </w:p>
        </w:tc>
        <w:tc>
          <w:tcPr>
            <w:tcW w:w="1872" w:type="dxa"/>
            <w:vAlign w:val="center"/>
          </w:tcPr>
          <w:p w:rsidR="00701289" w:rsidRDefault="00701289" w:rsidP="00DF2F81">
            <w:pPr>
              <w:jc w:val="center"/>
            </w:pPr>
            <w:r>
              <w:rPr>
                <w:rFonts w:ascii="Times New Roman" w:hAnsi="Times New Roman"/>
                <w:sz w:val="24"/>
              </w:rPr>
              <w:t>29 (100.0)</w:t>
            </w:r>
          </w:p>
        </w:tc>
        <w:tc>
          <w:tcPr>
            <w:tcW w:w="1872" w:type="dxa"/>
            <w:vAlign w:val="center"/>
          </w:tcPr>
          <w:p w:rsidR="00701289" w:rsidRDefault="00701289" w:rsidP="00DF2F81">
            <w:pPr>
              <w:jc w:val="center"/>
            </w:pPr>
            <w:r>
              <w:rPr>
                <w:rFonts w:ascii="Times New Roman" w:hAnsi="Times New Roman"/>
                <w:sz w:val="24"/>
              </w:rPr>
              <w:t>0 (0.0)</w:t>
            </w:r>
          </w:p>
        </w:tc>
        <w:tc>
          <w:tcPr>
            <w:tcW w:w="1872" w:type="dxa"/>
            <w:vAlign w:val="center"/>
          </w:tcPr>
          <w:p w:rsidR="00701289" w:rsidRDefault="00701289" w:rsidP="00DF2F81">
            <w:pPr>
              <w:jc w:val="center"/>
            </w:pPr>
            <w:r>
              <w:rPr>
                <w:rFonts w:ascii="Times New Roman" w:hAnsi="Times New Roman"/>
                <w:sz w:val="24"/>
              </w:rPr>
              <w:t>0 (0.0)</w:t>
            </w:r>
          </w:p>
        </w:tc>
      </w:tr>
      <w:tr w:rsidR="00701289" w:rsidTr="00DF2F81">
        <w:trPr>
          <w:jc w:val="center"/>
        </w:trPr>
        <w:tc>
          <w:tcPr>
            <w:tcW w:w="1872" w:type="dxa"/>
            <w:vAlign w:val="center"/>
          </w:tcPr>
          <w:p w:rsidR="00701289" w:rsidRDefault="00701289" w:rsidP="00DF2F81">
            <w:r>
              <w:rPr>
                <w:rFonts w:ascii="Times New Roman" w:hAnsi="Times New Roman"/>
                <w:sz w:val="24"/>
              </w:rPr>
              <w:t>Mental Health</w:t>
            </w:r>
          </w:p>
        </w:tc>
        <w:tc>
          <w:tcPr>
            <w:tcW w:w="1872" w:type="dxa"/>
            <w:vAlign w:val="center"/>
          </w:tcPr>
          <w:p w:rsidR="00701289" w:rsidRDefault="00701289" w:rsidP="00DF2F81">
            <w:pPr>
              <w:jc w:val="right"/>
            </w:pPr>
            <w:r>
              <w:rPr>
                <w:rFonts w:ascii="Times New Roman" w:hAnsi="Times New Roman"/>
                <w:sz w:val="24"/>
              </w:rPr>
              <w:t>3</w:t>
            </w:r>
          </w:p>
        </w:tc>
        <w:tc>
          <w:tcPr>
            <w:tcW w:w="1872" w:type="dxa"/>
            <w:vAlign w:val="center"/>
          </w:tcPr>
          <w:p w:rsidR="00701289" w:rsidRDefault="00701289" w:rsidP="00DF2F81">
            <w:pPr>
              <w:jc w:val="center"/>
            </w:pPr>
            <w:r>
              <w:rPr>
                <w:rFonts w:ascii="Times New Roman" w:hAnsi="Times New Roman"/>
                <w:sz w:val="24"/>
              </w:rPr>
              <w:t>3 (100.0)</w:t>
            </w:r>
          </w:p>
        </w:tc>
        <w:tc>
          <w:tcPr>
            <w:tcW w:w="1872" w:type="dxa"/>
            <w:vAlign w:val="center"/>
          </w:tcPr>
          <w:p w:rsidR="00701289" w:rsidRDefault="00701289" w:rsidP="00DF2F81">
            <w:pPr>
              <w:jc w:val="center"/>
            </w:pPr>
            <w:r>
              <w:rPr>
                <w:rFonts w:ascii="Times New Roman" w:hAnsi="Times New Roman"/>
                <w:sz w:val="24"/>
              </w:rPr>
              <w:t>0 (0.0)</w:t>
            </w:r>
          </w:p>
        </w:tc>
        <w:tc>
          <w:tcPr>
            <w:tcW w:w="1872" w:type="dxa"/>
            <w:vAlign w:val="center"/>
          </w:tcPr>
          <w:p w:rsidR="00701289" w:rsidRDefault="00701289" w:rsidP="00DF2F81">
            <w:pPr>
              <w:jc w:val="center"/>
            </w:pPr>
            <w:r>
              <w:rPr>
                <w:rFonts w:ascii="Times New Roman" w:hAnsi="Times New Roman"/>
                <w:sz w:val="24"/>
              </w:rPr>
              <w:t>0 (0.0)</w:t>
            </w:r>
          </w:p>
        </w:tc>
      </w:tr>
      <w:tr w:rsidR="00701289" w:rsidTr="00DF2F81">
        <w:trPr>
          <w:jc w:val="center"/>
        </w:trPr>
        <w:tc>
          <w:tcPr>
            <w:tcW w:w="1872" w:type="dxa"/>
            <w:vAlign w:val="center"/>
          </w:tcPr>
          <w:p w:rsidR="00701289" w:rsidRDefault="00701289" w:rsidP="00DF2F81">
            <w:r>
              <w:rPr>
                <w:rFonts w:ascii="Times New Roman" w:hAnsi="Times New Roman"/>
                <w:sz w:val="24"/>
              </w:rPr>
              <w:t>Diabetes</w:t>
            </w:r>
          </w:p>
        </w:tc>
        <w:tc>
          <w:tcPr>
            <w:tcW w:w="1872" w:type="dxa"/>
            <w:vAlign w:val="center"/>
          </w:tcPr>
          <w:p w:rsidR="00701289" w:rsidRDefault="00701289" w:rsidP="00DF2F81">
            <w:pPr>
              <w:jc w:val="right"/>
            </w:pPr>
            <w:r>
              <w:rPr>
                <w:rFonts w:ascii="Times New Roman" w:hAnsi="Times New Roman"/>
                <w:sz w:val="24"/>
              </w:rPr>
              <w:t>1</w:t>
            </w:r>
          </w:p>
        </w:tc>
        <w:tc>
          <w:tcPr>
            <w:tcW w:w="1872" w:type="dxa"/>
            <w:vAlign w:val="center"/>
          </w:tcPr>
          <w:p w:rsidR="00701289" w:rsidRDefault="00701289" w:rsidP="00DF2F81">
            <w:pPr>
              <w:jc w:val="center"/>
            </w:pPr>
            <w:r>
              <w:rPr>
                <w:rFonts w:ascii="Times New Roman" w:hAnsi="Times New Roman"/>
                <w:sz w:val="24"/>
              </w:rPr>
              <w:t>1 (100.0)</w:t>
            </w:r>
          </w:p>
        </w:tc>
        <w:tc>
          <w:tcPr>
            <w:tcW w:w="1872" w:type="dxa"/>
            <w:vAlign w:val="center"/>
          </w:tcPr>
          <w:p w:rsidR="00701289" w:rsidRDefault="00701289" w:rsidP="00DF2F81">
            <w:pPr>
              <w:jc w:val="center"/>
            </w:pPr>
            <w:r>
              <w:rPr>
                <w:rFonts w:ascii="Times New Roman" w:hAnsi="Times New Roman"/>
                <w:sz w:val="24"/>
              </w:rPr>
              <w:t>0 (0.0)</w:t>
            </w:r>
          </w:p>
        </w:tc>
        <w:tc>
          <w:tcPr>
            <w:tcW w:w="1872" w:type="dxa"/>
            <w:vAlign w:val="center"/>
          </w:tcPr>
          <w:p w:rsidR="00701289" w:rsidRDefault="00701289" w:rsidP="00DF2F81">
            <w:pPr>
              <w:jc w:val="center"/>
            </w:pPr>
            <w:r>
              <w:rPr>
                <w:rFonts w:ascii="Times New Roman" w:hAnsi="Times New Roman"/>
                <w:sz w:val="24"/>
              </w:rPr>
              <w:t>0 (0.0)</w:t>
            </w:r>
          </w:p>
        </w:tc>
      </w:tr>
      <w:tr w:rsidR="00701289" w:rsidTr="00DF2F81">
        <w:trPr>
          <w:jc w:val="center"/>
        </w:trPr>
        <w:tc>
          <w:tcPr>
            <w:tcW w:w="1872" w:type="dxa"/>
            <w:vAlign w:val="center"/>
          </w:tcPr>
          <w:p w:rsidR="00701289" w:rsidRDefault="00701289" w:rsidP="00DF2F81">
            <w:r>
              <w:rPr>
                <w:rFonts w:ascii="Times New Roman" w:hAnsi="Times New Roman"/>
                <w:sz w:val="24"/>
              </w:rPr>
              <w:t>Other</w:t>
            </w:r>
          </w:p>
        </w:tc>
        <w:tc>
          <w:tcPr>
            <w:tcW w:w="1872" w:type="dxa"/>
            <w:vAlign w:val="center"/>
          </w:tcPr>
          <w:p w:rsidR="00701289" w:rsidRDefault="00701289" w:rsidP="00DF2F81">
            <w:pPr>
              <w:jc w:val="right"/>
            </w:pPr>
            <w:r>
              <w:rPr>
                <w:rFonts w:ascii="Times New Roman" w:hAnsi="Times New Roman"/>
                <w:sz w:val="24"/>
              </w:rPr>
              <w:t>655</w:t>
            </w:r>
          </w:p>
        </w:tc>
        <w:tc>
          <w:tcPr>
            <w:tcW w:w="1872" w:type="dxa"/>
            <w:vAlign w:val="center"/>
          </w:tcPr>
          <w:p w:rsidR="00701289" w:rsidRDefault="00701289" w:rsidP="00DF2F81">
            <w:pPr>
              <w:jc w:val="center"/>
            </w:pPr>
            <w:r>
              <w:rPr>
                <w:rFonts w:ascii="Times New Roman" w:hAnsi="Times New Roman"/>
                <w:sz w:val="24"/>
              </w:rPr>
              <w:t>623 (95.1)</w:t>
            </w:r>
          </w:p>
        </w:tc>
        <w:tc>
          <w:tcPr>
            <w:tcW w:w="1872" w:type="dxa"/>
            <w:vAlign w:val="center"/>
          </w:tcPr>
          <w:p w:rsidR="00701289" w:rsidRDefault="00701289" w:rsidP="00DF2F81">
            <w:pPr>
              <w:jc w:val="center"/>
            </w:pPr>
            <w:r>
              <w:rPr>
                <w:rFonts w:ascii="Times New Roman" w:hAnsi="Times New Roman"/>
                <w:sz w:val="24"/>
              </w:rPr>
              <w:t>22 (3.4)</w:t>
            </w:r>
          </w:p>
        </w:tc>
        <w:tc>
          <w:tcPr>
            <w:tcW w:w="1872" w:type="dxa"/>
            <w:vAlign w:val="center"/>
          </w:tcPr>
          <w:p w:rsidR="00701289" w:rsidRDefault="00701289" w:rsidP="00DF2F81">
            <w:pPr>
              <w:jc w:val="center"/>
            </w:pPr>
            <w:r>
              <w:rPr>
                <w:rFonts w:ascii="Times New Roman" w:hAnsi="Times New Roman"/>
                <w:sz w:val="24"/>
              </w:rPr>
              <w:t>9 (1.4)</w:t>
            </w:r>
          </w:p>
        </w:tc>
      </w:tr>
      <w:tr w:rsidR="00701289" w:rsidTr="00DF2F81">
        <w:trPr>
          <w:jc w:val="center"/>
        </w:trPr>
        <w:tc>
          <w:tcPr>
            <w:tcW w:w="1872" w:type="dxa"/>
            <w:vAlign w:val="center"/>
          </w:tcPr>
          <w:p w:rsidR="00701289" w:rsidRDefault="00701289" w:rsidP="00DF2F81">
            <w:r>
              <w:rPr>
                <w:rFonts w:ascii="Times New Roman" w:hAnsi="Times New Roman"/>
                <w:sz w:val="24"/>
              </w:rPr>
              <w:t>Total</w:t>
            </w:r>
          </w:p>
        </w:tc>
        <w:tc>
          <w:tcPr>
            <w:tcW w:w="1872" w:type="dxa"/>
            <w:vAlign w:val="center"/>
          </w:tcPr>
          <w:p w:rsidR="00701289" w:rsidRDefault="00701289" w:rsidP="00DF2F81">
            <w:pPr>
              <w:jc w:val="center"/>
            </w:pPr>
            <w:r>
              <w:rPr>
                <w:rFonts w:ascii="Times New Roman" w:hAnsi="Times New Roman"/>
                <w:sz w:val="24"/>
              </w:rPr>
              <w:t>1,825</w:t>
            </w:r>
          </w:p>
        </w:tc>
        <w:tc>
          <w:tcPr>
            <w:tcW w:w="1872" w:type="dxa"/>
            <w:vAlign w:val="center"/>
          </w:tcPr>
          <w:p w:rsidR="00701289" w:rsidRDefault="00701289" w:rsidP="00DF2F81">
            <w:pPr>
              <w:jc w:val="center"/>
            </w:pPr>
            <w:r>
              <w:rPr>
                <w:rFonts w:ascii="Times New Roman" w:hAnsi="Times New Roman"/>
                <w:sz w:val="24"/>
              </w:rPr>
              <w:t>1,691 (92.7)</w:t>
            </w:r>
          </w:p>
        </w:tc>
        <w:tc>
          <w:tcPr>
            <w:tcW w:w="1872" w:type="dxa"/>
            <w:vAlign w:val="center"/>
          </w:tcPr>
          <w:p w:rsidR="00701289" w:rsidRDefault="00701289" w:rsidP="00DF2F81">
            <w:pPr>
              <w:jc w:val="center"/>
            </w:pPr>
            <w:r>
              <w:rPr>
                <w:rFonts w:ascii="Times New Roman" w:hAnsi="Times New Roman"/>
                <w:sz w:val="24"/>
              </w:rPr>
              <w:t>61 (3.3)</w:t>
            </w:r>
          </w:p>
        </w:tc>
        <w:tc>
          <w:tcPr>
            <w:tcW w:w="1872" w:type="dxa"/>
            <w:vAlign w:val="center"/>
          </w:tcPr>
          <w:p w:rsidR="00701289" w:rsidRDefault="00701289" w:rsidP="00DF2F81">
            <w:pPr>
              <w:jc w:val="center"/>
            </w:pPr>
            <w:r>
              <w:rPr>
                <w:rFonts w:ascii="Times New Roman" w:hAnsi="Times New Roman"/>
                <w:sz w:val="24"/>
              </w:rPr>
              <w:t>72 (3.9)</w:t>
            </w:r>
          </w:p>
        </w:tc>
      </w:tr>
    </w:tbl>
    <w:p w:rsidR="00701289" w:rsidRDefault="00701289" w:rsidP="00701289">
      <w:r>
        <w:rPr>
          <w:rFonts w:ascii="Times New Roman" w:hAnsi="Times New Roman"/>
          <w:i/>
          <w:sz w:val="20"/>
        </w:rPr>
        <w:t>Note: Percentages may not sum to 100% due to rounding. This table shows the distribution of trial designs, demonstrating how different approaches to sex inclusion combine to achieve overall statistical equity in representation.</w:t>
      </w:r>
    </w:p>
    <w:p w:rsidR="00701289" w:rsidRDefault="00701289">
      <w:pPr>
        <w:rPr>
          <w:b/>
          <w:bCs/>
        </w:rPr>
      </w:pPr>
      <w:r>
        <w:rPr>
          <w:b/>
          <w:bCs/>
        </w:rPr>
        <w:br w:type="page"/>
      </w:r>
    </w:p>
    <w:p w:rsidR="00701289" w:rsidRDefault="00701289" w:rsidP="00701289">
      <w:pPr>
        <w:rPr>
          <w:b/>
          <w:bCs/>
        </w:rPr>
      </w:pPr>
    </w:p>
    <w:p w:rsidR="00701289" w:rsidRPr="00701289" w:rsidRDefault="00701289" w:rsidP="00701289">
      <w:pPr>
        <w:rPr>
          <w:b/>
          <w:bCs/>
        </w:rPr>
      </w:pPr>
      <w:r w:rsidRPr="00701289">
        <w:rPr>
          <w:b/>
          <w:bCs/>
        </w:rPr>
        <w:t>Figure 1.</w:t>
      </w:r>
    </w:p>
    <w:p w:rsidR="00701289" w:rsidRPr="00701289" w:rsidRDefault="00701289" w:rsidP="00701289">
      <w:r w:rsidRPr="00701289">
        <w:rPr>
          <w:b/>
          <w:bCs/>
        </w:rPr>
        <w:t>Temporal trends in sex inclusion across U.S. clinical trials, 2000–2024.</w:t>
      </w:r>
    </w:p>
    <w:p w:rsidR="00701289" w:rsidRPr="00701289" w:rsidRDefault="00701289" w:rsidP="00701289">
      <w:r w:rsidRPr="00701289">
        <w:t>The proportion of clinical trials including female participants increased steadily across three time periods: 2000–2009, 2010–2018, and 2019–2024. Female representation approached near-parity with the U.S. population benchmark of 50.8% by the most recent period. This trend reflects growing policy enforcement and cultural shifts promoting sex equity in trial design.</w:t>
      </w:r>
    </w:p>
    <w:p w:rsidR="00701289" w:rsidRPr="00701289" w:rsidRDefault="001D7300" w:rsidP="00701289">
      <w:r>
        <w:rPr>
          <w:noProof/>
        </w:rPr>
        <w:pict>
          <v:rect id="_x0000_i1027" alt="" style="width:468pt;height:.05pt;mso-width-percent:0;mso-height-percent:0;mso-width-percent:0;mso-height-percent:0" o:hralign="center" o:hrstd="t" o:hr="t" fillcolor="#a0a0a0" stroked="f"/>
        </w:pict>
      </w:r>
    </w:p>
    <w:p w:rsidR="00701289" w:rsidRPr="00701289" w:rsidRDefault="00701289" w:rsidP="00701289">
      <w:pPr>
        <w:rPr>
          <w:b/>
          <w:bCs/>
        </w:rPr>
      </w:pPr>
      <w:r w:rsidRPr="00701289">
        <w:rPr>
          <w:b/>
          <w:bCs/>
        </w:rPr>
        <w:t>Figure 2.</w:t>
      </w:r>
    </w:p>
    <w:p w:rsidR="00701289" w:rsidRPr="00701289" w:rsidRDefault="00701289" w:rsidP="00701289">
      <w:r w:rsidRPr="00701289">
        <w:rPr>
          <w:b/>
          <w:bCs/>
        </w:rPr>
        <w:t>Trial design by sex representation category.</w:t>
      </w:r>
    </w:p>
    <w:p w:rsidR="00701289" w:rsidRPr="00701289" w:rsidRDefault="00701289" w:rsidP="00701289">
      <w:r w:rsidRPr="00701289">
        <w:t>Bar chart showing the distribution of 1,825 clinical trials by sex inclusion: Female Only (3.3%), Male Only (3.9%), and Both Sexes (92.7%). The predominance of both-sex trials suggests widespread adherence to sex inclusion guidelines across the dataset.</w:t>
      </w:r>
    </w:p>
    <w:p w:rsidR="00701289" w:rsidRPr="00701289" w:rsidRDefault="001D7300" w:rsidP="00701289">
      <w:r>
        <w:rPr>
          <w:noProof/>
        </w:rPr>
        <w:pict>
          <v:rect id="_x0000_i1026" alt="" style="width:468pt;height:.05pt;mso-width-percent:0;mso-height-percent:0;mso-width-percent:0;mso-height-percent:0" o:hralign="center" o:hrstd="t" o:hr="t" fillcolor="#a0a0a0" stroked="f"/>
        </w:pict>
      </w:r>
    </w:p>
    <w:p w:rsidR="00701289" w:rsidRPr="00701289" w:rsidRDefault="00701289" w:rsidP="00701289">
      <w:pPr>
        <w:rPr>
          <w:b/>
          <w:bCs/>
        </w:rPr>
      </w:pPr>
      <w:r w:rsidRPr="00701289">
        <w:rPr>
          <w:b/>
          <w:bCs/>
        </w:rPr>
        <w:t>Figure 3.</w:t>
      </w:r>
    </w:p>
    <w:p w:rsidR="00701289" w:rsidRPr="00701289" w:rsidRDefault="00701289" w:rsidP="00701289">
      <w:r w:rsidRPr="00701289">
        <w:rPr>
          <w:b/>
          <w:bCs/>
        </w:rPr>
        <w:t>Female representation across disease categories compared to U.S. population benchmarks.</w:t>
      </w:r>
    </w:p>
    <w:p w:rsidR="00701289" w:rsidRPr="00701289" w:rsidRDefault="00701289" w:rsidP="00701289">
      <w:r w:rsidRPr="00701289">
        <w:t>Horizontal bar plot of female representation (combined Female Only + Both Sexes trials) by disease category. Dashed vertical line marks the U.S. adult female population proportion (50.8%). No disease category deviates significantly from this benchmark, with HIV/AIDS showing the lowest inclusion at 48.8%.</w:t>
      </w:r>
    </w:p>
    <w:p w:rsidR="00701289" w:rsidRPr="00701289" w:rsidRDefault="001D7300" w:rsidP="00701289">
      <w:r>
        <w:rPr>
          <w:noProof/>
        </w:rPr>
        <w:pict>
          <v:rect id="_x0000_i1025" alt="" style="width:468pt;height:.05pt;mso-width-percent:0;mso-height-percent:0;mso-width-percent:0;mso-height-percent:0" o:hralign="center" o:hrstd="t" o:hr="t" fillcolor="#a0a0a0" stroked="f"/>
        </w:pict>
      </w:r>
    </w:p>
    <w:p w:rsidR="00701289" w:rsidRPr="00701289" w:rsidRDefault="00701289" w:rsidP="00701289">
      <w:pPr>
        <w:rPr>
          <w:b/>
          <w:bCs/>
        </w:rPr>
      </w:pPr>
      <w:r w:rsidRPr="00701289">
        <w:rPr>
          <w:b/>
          <w:bCs/>
        </w:rPr>
        <w:t>Figure 4.</w:t>
      </w:r>
    </w:p>
    <w:p w:rsidR="00701289" w:rsidRPr="00701289" w:rsidRDefault="00701289" w:rsidP="00701289">
      <w:r w:rsidRPr="00701289">
        <w:rPr>
          <w:b/>
          <w:bCs/>
        </w:rPr>
        <w:t>Sex-specific trial design strategies across disease categories.</w:t>
      </w:r>
    </w:p>
    <w:p w:rsidR="00701289" w:rsidRPr="00701289" w:rsidRDefault="00701289" w:rsidP="00701289">
      <w:r w:rsidRPr="00701289">
        <w:t>Stacked bar chart showing the proportion of Female Only, Male Only, and Both Sexes trials within each disease category. HIV/AIDS had the highest share of male-only trials (9.3%), while most other disease areas (e.g., Cardiovascular, Respiratory) relied exclusively on both-sex trial designs.</w:t>
      </w:r>
    </w:p>
    <w:p w:rsidR="00264236" w:rsidRDefault="00264236">
      <w:r>
        <w:br w:type="page"/>
      </w:r>
    </w:p>
    <w:p w:rsidR="00264236" w:rsidRPr="00264236" w:rsidRDefault="00264236" w:rsidP="00264236">
      <w:r w:rsidRPr="00264236">
        <w:rPr>
          <w:b/>
          <w:bCs/>
        </w:rPr>
        <w:lastRenderedPageBreak/>
        <w:t>Figure 1.</w:t>
      </w:r>
    </w:p>
    <w:p w:rsidR="006A576B" w:rsidRDefault="00264236" w:rsidP="008B4CC4">
      <w:r>
        <w:rPr>
          <w:noProof/>
        </w:rPr>
        <w:drawing>
          <wp:inline distT="0" distB="0" distL="0" distR="0">
            <wp:extent cx="5943600" cy="2943860"/>
            <wp:effectExtent l="0" t="0" r="0" b="2540"/>
            <wp:docPr id="26849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98183" name="Picture 268498183"/>
                    <pic:cNvPicPr/>
                  </pic:nvPicPr>
                  <pic:blipFill>
                    <a:blip r:embed="rId10"/>
                    <a:stretch>
                      <a:fillRect/>
                    </a:stretch>
                  </pic:blipFill>
                  <pic:spPr>
                    <a:xfrm>
                      <a:off x="0" y="0"/>
                      <a:ext cx="5943600" cy="2943860"/>
                    </a:xfrm>
                    <a:prstGeom prst="rect">
                      <a:avLst/>
                    </a:prstGeom>
                  </pic:spPr>
                </pic:pic>
              </a:graphicData>
            </a:graphic>
          </wp:inline>
        </w:drawing>
      </w:r>
    </w:p>
    <w:p w:rsidR="00264236" w:rsidRDefault="00264236">
      <w:r>
        <w:br w:type="page"/>
      </w:r>
    </w:p>
    <w:p w:rsidR="00264236" w:rsidRDefault="00264236">
      <w:r>
        <w:lastRenderedPageBreak/>
        <w:t xml:space="preserve">Figure 2. </w:t>
      </w:r>
    </w:p>
    <w:p w:rsidR="00264236" w:rsidRDefault="00264236" w:rsidP="008B4CC4">
      <w:r>
        <w:rPr>
          <w:noProof/>
        </w:rPr>
        <w:drawing>
          <wp:inline distT="0" distB="0" distL="0" distR="0">
            <wp:extent cx="5943600" cy="3566160"/>
            <wp:effectExtent l="0" t="0" r="0" b="2540"/>
            <wp:docPr id="1974844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4620" name="Picture 1974844620"/>
                    <pic:cNvPicPr/>
                  </pic:nvPicPr>
                  <pic:blipFill>
                    <a:blip r:embed="rId11"/>
                    <a:stretch>
                      <a:fillRect/>
                    </a:stretch>
                  </pic:blipFill>
                  <pic:spPr>
                    <a:xfrm>
                      <a:off x="0" y="0"/>
                      <a:ext cx="5943600" cy="3566160"/>
                    </a:xfrm>
                    <a:prstGeom prst="rect">
                      <a:avLst/>
                    </a:prstGeom>
                  </pic:spPr>
                </pic:pic>
              </a:graphicData>
            </a:graphic>
          </wp:inline>
        </w:drawing>
      </w:r>
    </w:p>
    <w:p w:rsidR="00264236" w:rsidRDefault="00264236">
      <w:r>
        <w:br w:type="page"/>
      </w:r>
    </w:p>
    <w:p w:rsidR="00264236" w:rsidRDefault="00264236" w:rsidP="008B4CC4">
      <w:r>
        <w:lastRenderedPageBreak/>
        <w:t xml:space="preserve">Figure 3. </w:t>
      </w:r>
    </w:p>
    <w:p w:rsidR="00264236" w:rsidRDefault="00264236" w:rsidP="008B4CC4">
      <w:r>
        <w:rPr>
          <w:noProof/>
        </w:rPr>
        <w:drawing>
          <wp:inline distT="0" distB="0" distL="0" distR="0">
            <wp:extent cx="5943600" cy="2971800"/>
            <wp:effectExtent l="0" t="0" r="0" b="0"/>
            <wp:docPr id="1213230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0431" name="Picture 1213230431"/>
                    <pic:cNvPicPr/>
                  </pic:nvPicPr>
                  <pic:blipFill>
                    <a:blip r:embed="rId12"/>
                    <a:stretch>
                      <a:fillRect/>
                    </a:stretch>
                  </pic:blipFill>
                  <pic:spPr>
                    <a:xfrm>
                      <a:off x="0" y="0"/>
                      <a:ext cx="5943600" cy="2971800"/>
                    </a:xfrm>
                    <a:prstGeom prst="rect">
                      <a:avLst/>
                    </a:prstGeom>
                  </pic:spPr>
                </pic:pic>
              </a:graphicData>
            </a:graphic>
          </wp:inline>
        </w:drawing>
      </w:r>
    </w:p>
    <w:p w:rsidR="00264236" w:rsidRDefault="00264236">
      <w:r>
        <w:br w:type="page"/>
      </w:r>
    </w:p>
    <w:p w:rsidR="00264236" w:rsidRDefault="00264236" w:rsidP="008B4CC4">
      <w:r>
        <w:lastRenderedPageBreak/>
        <w:t xml:space="preserve">Figure 4. </w:t>
      </w:r>
    </w:p>
    <w:p w:rsidR="00264236" w:rsidRPr="008B4CC4" w:rsidRDefault="00264236" w:rsidP="008B4CC4">
      <w:r>
        <w:rPr>
          <w:noProof/>
        </w:rPr>
        <w:drawing>
          <wp:inline distT="0" distB="0" distL="0" distR="0">
            <wp:extent cx="5943600" cy="4086225"/>
            <wp:effectExtent l="0" t="0" r="0" b="3175"/>
            <wp:docPr id="2056951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51860" name="Picture 2056951860"/>
                    <pic:cNvPicPr/>
                  </pic:nvPicPr>
                  <pic:blipFill>
                    <a:blip r:embed="rId13"/>
                    <a:stretch>
                      <a:fillRect/>
                    </a:stretch>
                  </pic:blipFill>
                  <pic:spPr>
                    <a:xfrm>
                      <a:off x="0" y="0"/>
                      <a:ext cx="5943600" cy="4086225"/>
                    </a:xfrm>
                    <a:prstGeom prst="rect">
                      <a:avLst/>
                    </a:prstGeom>
                  </pic:spPr>
                </pic:pic>
              </a:graphicData>
            </a:graphic>
          </wp:inline>
        </w:drawing>
      </w:r>
    </w:p>
    <w:sectPr w:rsidR="00264236" w:rsidRPr="008B4CC4" w:rsidSect="003369D7">
      <w:head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D7300" w:rsidRDefault="001D7300">
      <w:pPr>
        <w:spacing w:after="0" w:line="240" w:lineRule="auto"/>
      </w:pPr>
      <w:r>
        <w:separator/>
      </w:r>
    </w:p>
  </w:endnote>
  <w:endnote w:type="continuationSeparator" w:id="0">
    <w:p w:rsidR="001D7300" w:rsidRDefault="001D7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ourier">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D7300" w:rsidRDefault="001D7300">
      <w:pPr>
        <w:spacing w:after="0" w:line="240" w:lineRule="auto"/>
      </w:pPr>
      <w:r>
        <w:separator/>
      </w:r>
    </w:p>
  </w:footnote>
  <w:footnote w:type="continuationSeparator" w:id="0">
    <w:p w:rsidR="001D7300" w:rsidRDefault="001D7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E1CAC" w:rsidRDefault="00000000">
    <w:pPr>
      <w:pStyle w:val="Header"/>
      <w:jc w:val="right"/>
    </w:pPr>
    <w:r>
      <w:rPr>
        <w:rFonts w:ascii="Times New Roman" w:hAnsi="Times New Roman"/>
        <w:sz w:val="24"/>
      </w:rPr>
      <w:fldChar w:fldCharType="begin"/>
    </w:r>
    <w:r>
      <w:rPr>
        <w:rFonts w:ascii="Times New Roman" w:hAnsi="Times New Roman"/>
        <w:sz w:val="24"/>
      </w:rPr>
      <w:instrText>PAGE</w:instrText>
    </w:r>
    <w:r>
      <w:rPr>
        <w:rFonts w:ascii="Times New Roman" w:hAnsi="Times New Roman"/>
        <w:sz w:val="24"/>
      </w:rPr>
      <w:fldChar w:fldCharType="separate"/>
    </w:r>
    <w:r w:rsidR="009712B0">
      <w:rPr>
        <w:rFonts w:ascii="Times New Roman" w:hAnsi="Times New Roman"/>
        <w:noProof/>
        <w:sz w:val="24"/>
      </w:rPr>
      <w:t>1</w:t>
    </w:r>
    <w:r>
      <w:rPr>
        <w:rFonts w:ascii="Times New Roman" w:hAnsi="Times New Roman"/>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E8E182F"/>
    <w:multiLevelType w:val="multilevel"/>
    <w:tmpl w:val="CF1C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31225"/>
    <w:multiLevelType w:val="multilevel"/>
    <w:tmpl w:val="A75C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7F3963"/>
    <w:multiLevelType w:val="multilevel"/>
    <w:tmpl w:val="95B4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835952"/>
    <w:multiLevelType w:val="multilevel"/>
    <w:tmpl w:val="E548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70536"/>
    <w:multiLevelType w:val="multilevel"/>
    <w:tmpl w:val="341C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47BEA"/>
    <w:multiLevelType w:val="multilevel"/>
    <w:tmpl w:val="188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E90DA8"/>
    <w:multiLevelType w:val="multilevel"/>
    <w:tmpl w:val="31D87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A1BF5"/>
    <w:multiLevelType w:val="multilevel"/>
    <w:tmpl w:val="8D04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E32866"/>
    <w:multiLevelType w:val="multilevel"/>
    <w:tmpl w:val="25C4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73077F"/>
    <w:multiLevelType w:val="multilevel"/>
    <w:tmpl w:val="AAC8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540DE8"/>
    <w:multiLevelType w:val="multilevel"/>
    <w:tmpl w:val="4734F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867E76"/>
    <w:multiLevelType w:val="multilevel"/>
    <w:tmpl w:val="7B04B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DD33FB"/>
    <w:multiLevelType w:val="multilevel"/>
    <w:tmpl w:val="D1F0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22EE3"/>
    <w:multiLevelType w:val="multilevel"/>
    <w:tmpl w:val="055C0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DB2F04"/>
    <w:multiLevelType w:val="multilevel"/>
    <w:tmpl w:val="EB36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54186C"/>
    <w:multiLevelType w:val="multilevel"/>
    <w:tmpl w:val="5E08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84071"/>
    <w:multiLevelType w:val="multilevel"/>
    <w:tmpl w:val="D21E5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4C200C"/>
    <w:multiLevelType w:val="multilevel"/>
    <w:tmpl w:val="3920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0F3AE5"/>
    <w:multiLevelType w:val="multilevel"/>
    <w:tmpl w:val="5480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7B69ED"/>
    <w:multiLevelType w:val="multilevel"/>
    <w:tmpl w:val="D24C4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4A7CD8"/>
    <w:multiLevelType w:val="multilevel"/>
    <w:tmpl w:val="A134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0150231">
    <w:abstractNumId w:val="8"/>
  </w:num>
  <w:num w:numId="2" w16cid:durableId="848639823">
    <w:abstractNumId w:val="6"/>
  </w:num>
  <w:num w:numId="3" w16cid:durableId="1136333493">
    <w:abstractNumId w:val="5"/>
  </w:num>
  <w:num w:numId="4" w16cid:durableId="520094100">
    <w:abstractNumId w:val="4"/>
  </w:num>
  <w:num w:numId="5" w16cid:durableId="323171575">
    <w:abstractNumId w:val="7"/>
  </w:num>
  <w:num w:numId="6" w16cid:durableId="1964649874">
    <w:abstractNumId w:val="3"/>
  </w:num>
  <w:num w:numId="7" w16cid:durableId="146871743">
    <w:abstractNumId w:val="2"/>
  </w:num>
  <w:num w:numId="8" w16cid:durableId="425151931">
    <w:abstractNumId w:val="1"/>
  </w:num>
  <w:num w:numId="9" w16cid:durableId="327712247">
    <w:abstractNumId w:val="0"/>
  </w:num>
  <w:num w:numId="10" w16cid:durableId="545416134">
    <w:abstractNumId w:val="9"/>
  </w:num>
  <w:num w:numId="11" w16cid:durableId="1867475755">
    <w:abstractNumId w:val="24"/>
  </w:num>
  <w:num w:numId="12" w16cid:durableId="1103768977">
    <w:abstractNumId w:val="12"/>
  </w:num>
  <w:num w:numId="13" w16cid:durableId="2070884462">
    <w:abstractNumId w:val="19"/>
  </w:num>
  <w:num w:numId="14" w16cid:durableId="1655139660">
    <w:abstractNumId w:val="27"/>
  </w:num>
  <w:num w:numId="15" w16cid:durableId="1959406136">
    <w:abstractNumId w:val="11"/>
  </w:num>
  <w:num w:numId="16" w16cid:durableId="296955849">
    <w:abstractNumId w:val="18"/>
  </w:num>
  <w:num w:numId="17" w16cid:durableId="1022129439">
    <w:abstractNumId w:val="26"/>
  </w:num>
  <w:num w:numId="18" w16cid:durableId="1188449556">
    <w:abstractNumId w:val="25"/>
  </w:num>
  <w:num w:numId="19" w16cid:durableId="998731012">
    <w:abstractNumId w:val="17"/>
  </w:num>
  <w:num w:numId="20" w16cid:durableId="888568654">
    <w:abstractNumId w:val="28"/>
  </w:num>
  <w:num w:numId="21" w16cid:durableId="1231887218">
    <w:abstractNumId w:val="23"/>
  </w:num>
  <w:num w:numId="22" w16cid:durableId="1251622472">
    <w:abstractNumId w:val="13"/>
  </w:num>
  <w:num w:numId="23" w16cid:durableId="2087263310">
    <w:abstractNumId w:val="10"/>
  </w:num>
  <w:num w:numId="24" w16cid:durableId="76825340">
    <w:abstractNumId w:val="14"/>
  </w:num>
  <w:num w:numId="25" w16cid:durableId="1352075261">
    <w:abstractNumId w:val="20"/>
  </w:num>
  <w:num w:numId="26" w16cid:durableId="1502892954">
    <w:abstractNumId w:val="16"/>
  </w:num>
  <w:num w:numId="27" w16cid:durableId="1074742989">
    <w:abstractNumId w:val="21"/>
  </w:num>
  <w:num w:numId="28" w16cid:durableId="1102728103">
    <w:abstractNumId w:val="22"/>
  </w:num>
  <w:num w:numId="29" w16cid:durableId="379398340">
    <w:abstractNumId w:val="29"/>
  </w:num>
  <w:num w:numId="30" w16cid:durableId="20073960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10D3"/>
    <w:rsid w:val="0006063C"/>
    <w:rsid w:val="00073BE9"/>
    <w:rsid w:val="0015074B"/>
    <w:rsid w:val="001562EB"/>
    <w:rsid w:val="001D7300"/>
    <w:rsid w:val="00264236"/>
    <w:rsid w:val="00290A6E"/>
    <w:rsid w:val="0029639D"/>
    <w:rsid w:val="003208AB"/>
    <w:rsid w:val="00326F90"/>
    <w:rsid w:val="003369D7"/>
    <w:rsid w:val="00382B9E"/>
    <w:rsid w:val="0039748F"/>
    <w:rsid w:val="0049692F"/>
    <w:rsid w:val="004B4365"/>
    <w:rsid w:val="005E189D"/>
    <w:rsid w:val="005E1CAC"/>
    <w:rsid w:val="00653C40"/>
    <w:rsid w:val="006A3724"/>
    <w:rsid w:val="006A576B"/>
    <w:rsid w:val="006F1511"/>
    <w:rsid w:val="00701289"/>
    <w:rsid w:val="007F590A"/>
    <w:rsid w:val="008A44F8"/>
    <w:rsid w:val="008B4CC4"/>
    <w:rsid w:val="009712B0"/>
    <w:rsid w:val="009A3DA4"/>
    <w:rsid w:val="009D3C9B"/>
    <w:rsid w:val="00A967F9"/>
    <w:rsid w:val="00AA1D8D"/>
    <w:rsid w:val="00AB0DA5"/>
    <w:rsid w:val="00AF0FE6"/>
    <w:rsid w:val="00B47730"/>
    <w:rsid w:val="00B63557"/>
    <w:rsid w:val="00BD3CF1"/>
    <w:rsid w:val="00C37694"/>
    <w:rsid w:val="00C949CD"/>
    <w:rsid w:val="00CB0664"/>
    <w:rsid w:val="00CC36A6"/>
    <w:rsid w:val="00D043F7"/>
    <w:rsid w:val="00D25693"/>
    <w:rsid w:val="00D546EB"/>
    <w:rsid w:val="00D70F56"/>
    <w:rsid w:val="00DF2360"/>
    <w:rsid w:val="00EA5DE5"/>
    <w:rsid w:val="00F11CDF"/>
    <w:rsid w:val="00FC693F"/>
    <w:rsid w:val="00FF55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ACA6EF"/>
  <w14:defaultImageDpi w14:val="300"/>
  <w15:docId w15:val="{AA81BBDB-9197-B241-8C84-7EA988829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F0FE6"/>
    <w:rPr>
      <w:color w:val="0000FF" w:themeColor="hyperlink"/>
      <w:u w:val="single"/>
    </w:rPr>
  </w:style>
  <w:style w:type="character" w:styleId="UnresolvedMention">
    <w:name w:val="Unresolved Mention"/>
    <w:basedOn w:val="DefaultParagraphFont"/>
    <w:uiPriority w:val="99"/>
    <w:semiHidden/>
    <w:unhideWhenUsed/>
    <w:rsid w:val="00AF0FE6"/>
    <w:rPr>
      <w:color w:val="605E5C"/>
      <w:shd w:val="clear" w:color="auto" w:fill="E1DFDD"/>
    </w:rPr>
  </w:style>
  <w:style w:type="character" w:customStyle="1" w:styleId="s1">
    <w:name w:val="s1"/>
    <w:basedOn w:val="DefaultParagraphFont"/>
    <w:rsid w:val="005E189D"/>
  </w:style>
  <w:style w:type="paragraph" w:customStyle="1" w:styleId="p1">
    <w:name w:val="p1"/>
    <w:basedOn w:val="Normal"/>
    <w:rsid w:val="00F11CDF"/>
    <w:pPr>
      <w:spacing w:before="100" w:beforeAutospacing="1" w:after="100" w:afterAutospacing="1" w:line="240" w:lineRule="auto"/>
    </w:pPr>
    <w:rPr>
      <w:rFonts w:ascii="Times New Roman" w:eastAsia="Times New Roman" w:hAnsi="Times New Roman" w:cs="Times New Roman"/>
      <w:sz w:val="24"/>
      <w:szCs w:val="24"/>
    </w:rPr>
  </w:style>
  <w:style w:type="character" w:styleId="LineNumber">
    <w:name w:val="line number"/>
    <w:basedOn w:val="DefaultParagraphFont"/>
    <w:uiPriority w:val="99"/>
    <w:semiHidden/>
    <w:unhideWhenUsed/>
    <w:rsid w:val="003369D7"/>
  </w:style>
  <w:style w:type="paragraph" w:styleId="NormalWeb">
    <w:name w:val="Normal (Web)"/>
    <w:basedOn w:val="Normal"/>
    <w:uiPriority w:val="99"/>
    <w:semiHidden/>
    <w:unhideWhenUsed/>
    <w:rsid w:val="00CC36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36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232858">
      <w:bodyDiv w:val="1"/>
      <w:marLeft w:val="0"/>
      <w:marRight w:val="0"/>
      <w:marTop w:val="0"/>
      <w:marBottom w:val="0"/>
      <w:divBdr>
        <w:top w:val="none" w:sz="0" w:space="0" w:color="auto"/>
        <w:left w:val="none" w:sz="0" w:space="0" w:color="auto"/>
        <w:bottom w:val="none" w:sz="0" w:space="0" w:color="auto"/>
        <w:right w:val="none" w:sz="0" w:space="0" w:color="auto"/>
      </w:divBdr>
      <w:divsChild>
        <w:div w:id="188543548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8429623">
      <w:bodyDiv w:val="1"/>
      <w:marLeft w:val="0"/>
      <w:marRight w:val="0"/>
      <w:marTop w:val="0"/>
      <w:marBottom w:val="0"/>
      <w:divBdr>
        <w:top w:val="none" w:sz="0" w:space="0" w:color="auto"/>
        <w:left w:val="none" w:sz="0" w:space="0" w:color="auto"/>
        <w:bottom w:val="none" w:sz="0" w:space="0" w:color="auto"/>
        <w:right w:val="none" w:sz="0" w:space="0" w:color="auto"/>
      </w:divBdr>
      <w:divsChild>
        <w:div w:id="7362636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5071653">
      <w:bodyDiv w:val="1"/>
      <w:marLeft w:val="0"/>
      <w:marRight w:val="0"/>
      <w:marTop w:val="0"/>
      <w:marBottom w:val="0"/>
      <w:divBdr>
        <w:top w:val="none" w:sz="0" w:space="0" w:color="auto"/>
        <w:left w:val="none" w:sz="0" w:space="0" w:color="auto"/>
        <w:bottom w:val="none" w:sz="0" w:space="0" w:color="auto"/>
        <w:right w:val="none" w:sz="0" w:space="0" w:color="auto"/>
      </w:divBdr>
    </w:div>
    <w:div w:id="272372730">
      <w:bodyDiv w:val="1"/>
      <w:marLeft w:val="0"/>
      <w:marRight w:val="0"/>
      <w:marTop w:val="0"/>
      <w:marBottom w:val="0"/>
      <w:divBdr>
        <w:top w:val="none" w:sz="0" w:space="0" w:color="auto"/>
        <w:left w:val="none" w:sz="0" w:space="0" w:color="auto"/>
        <w:bottom w:val="none" w:sz="0" w:space="0" w:color="auto"/>
        <w:right w:val="none" w:sz="0" w:space="0" w:color="auto"/>
      </w:divBdr>
    </w:div>
    <w:div w:id="341519342">
      <w:bodyDiv w:val="1"/>
      <w:marLeft w:val="0"/>
      <w:marRight w:val="0"/>
      <w:marTop w:val="0"/>
      <w:marBottom w:val="0"/>
      <w:divBdr>
        <w:top w:val="none" w:sz="0" w:space="0" w:color="auto"/>
        <w:left w:val="none" w:sz="0" w:space="0" w:color="auto"/>
        <w:bottom w:val="none" w:sz="0" w:space="0" w:color="auto"/>
        <w:right w:val="none" w:sz="0" w:space="0" w:color="auto"/>
      </w:divBdr>
      <w:divsChild>
        <w:div w:id="189728097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355741656">
      <w:bodyDiv w:val="1"/>
      <w:marLeft w:val="0"/>
      <w:marRight w:val="0"/>
      <w:marTop w:val="0"/>
      <w:marBottom w:val="0"/>
      <w:divBdr>
        <w:top w:val="none" w:sz="0" w:space="0" w:color="auto"/>
        <w:left w:val="none" w:sz="0" w:space="0" w:color="auto"/>
        <w:bottom w:val="none" w:sz="0" w:space="0" w:color="auto"/>
        <w:right w:val="none" w:sz="0" w:space="0" w:color="auto"/>
      </w:divBdr>
    </w:div>
    <w:div w:id="439758430">
      <w:bodyDiv w:val="1"/>
      <w:marLeft w:val="0"/>
      <w:marRight w:val="0"/>
      <w:marTop w:val="0"/>
      <w:marBottom w:val="0"/>
      <w:divBdr>
        <w:top w:val="none" w:sz="0" w:space="0" w:color="auto"/>
        <w:left w:val="none" w:sz="0" w:space="0" w:color="auto"/>
        <w:bottom w:val="none" w:sz="0" w:space="0" w:color="auto"/>
        <w:right w:val="none" w:sz="0" w:space="0" w:color="auto"/>
      </w:divBdr>
    </w:div>
    <w:div w:id="443352305">
      <w:bodyDiv w:val="1"/>
      <w:marLeft w:val="0"/>
      <w:marRight w:val="0"/>
      <w:marTop w:val="0"/>
      <w:marBottom w:val="0"/>
      <w:divBdr>
        <w:top w:val="none" w:sz="0" w:space="0" w:color="auto"/>
        <w:left w:val="none" w:sz="0" w:space="0" w:color="auto"/>
        <w:bottom w:val="none" w:sz="0" w:space="0" w:color="auto"/>
        <w:right w:val="none" w:sz="0" w:space="0" w:color="auto"/>
      </w:divBdr>
      <w:divsChild>
        <w:div w:id="179235926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57711632">
      <w:bodyDiv w:val="1"/>
      <w:marLeft w:val="0"/>
      <w:marRight w:val="0"/>
      <w:marTop w:val="0"/>
      <w:marBottom w:val="0"/>
      <w:divBdr>
        <w:top w:val="none" w:sz="0" w:space="0" w:color="auto"/>
        <w:left w:val="none" w:sz="0" w:space="0" w:color="auto"/>
        <w:bottom w:val="none" w:sz="0" w:space="0" w:color="auto"/>
        <w:right w:val="none" w:sz="0" w:space="0" w:color="auto"/>
      </w:divBdr>
    </w:div>
    <w:div w:id="581450350">
      <w:bodyDiv w:val="1"/>
      <w:marLeft w:val="0"/>
      <w:marRight w:val="0"/>
      <w:marTop w:val="0"/>
      <w:marBottom w:val="0"/>
      <w:divBdr>
        <w:top w:val="none" w:sz="0" w:space="0" w:color="auto"/>
        <w:left w:val="none" w:sz="0" w:space="0" w:color="auto"/>
        <w:bottom w:val="none" w:sz="0" w:space="0" w:color="auto"/>
        <w:right w:val="none" w:sz="0" w:space="0" w:color="auto"/>
      </w:divBdr>
      <w:divsChild>
        <w:div w:id="126669638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35409431">
      <w:bodyDiv w:val="1"/>
      <w:marLeft w:val="0"/>
      <w:marRight w:val="0"/>
      <w:marTop w:val="0"/>
      <w:marBottom w:val="0"/>
      <w:divBdr>
        <w:top w:val="none" w:sz="0" w:space="0" w:color="auto"/>
        <w:left w:val="none" w:sz="0" w:space="0" w:color="auto"/>
        <w:bottom w:val="none" w:sz="0" w:space="0" w:color="auto"/>
        <w:right w:val="none" w:sz="0" w:space="0" w:color="auto"/>
      </w:divBdr>
    </w:div>
    <w:div w:id="948393912">
      <w:bodyDiv w:val="1"/>
      <w:marLeft w:val="0"/>
      <w:marRight w:val="0"/>
      <w:marTop w:val="0"/>
      <w:marBottom w:val="0"/>
      <w:divBdr>
        <w:top w:val="none" w:sz="0" w:space="0" w:color="auto"/>
        <w:left w:val="none" w:sz="0" w:space="0" w:color="auto"/>
        <w:bottom w:val="none" w:sz="0" w:space="0" w:color="auto"/>
        <w:right w:val="none" w:sz="0" w:space="0" w:color="auto"/>
      </w:divBdr>
      <w:divsChild>
        <w:div w:id="127297268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78266026">
      <w:bodyDiv w:val="1"/>
      <w:marLeft w:val="0"/>
      <w:marRight w:val="0"/>
      <w:marTop w:val="0"/>
      <w:marBottom w:val="0"/>
      <w:divBdr>
        <w:top w:val="none" w:sz="0" w:space="0" w:color="auto"/>
        <w:left w:val="none" w:sz="0" w:space="0" w:color="auto"/>
        <w:bottom w:val="none" w:sz="0" w:space="0" w:color="auto"/>
        <w:right w:val="none" w:sz="0" w:space="0" w:color="auto"/>
      </w:divBdr>
    </w:div>
    <w:div w:id="1097679740">
      <w:bodyDiv w:val="1"/>
      <w:marLeft w:val="0"/>
      <w:marRight w:val="0"/>
      <w:marTop w:val="0"/>
      <w:marBottom w:val="0"/>
      <w:divBdr>
        <w:top w:val="none" w:sz="0" w:space="0" w:color="auto"/>
        <w:left w:val="none" w:sz="0" w:space="0" w:color="auto"/>
        <w:bottom w:val="none" w:sz="0" w:space="0" w:color="auto"/>
        <w:right w:val="none" w:sz="0" w:space="0" w:color="auto"/>
      </w:divBdr>
      <w:divsChild>
        <w:div w:id="1335185396">
          <w:marLeft w:val="0"/>
          <w:marRight w:val="0"/>
          <w:marTop w:val="0"/>
          <w:marBottom w:val="0"/>
          <w:divBdr>
            <w:top w:val="none" w:sz="0" w:space="0" w:color="auto"/>
            <w:left w:val="none" w:sz="0" w:space="0" w:color="auto"/>
            <w:bottom w:val="none" w:sz="0" w:space="0" w:color="auto"/>
            <w:right w:val="none" w:sz="0" w:space="0" w:color="auto"/>
          </w:divBdr>
        </w:div>
        <w:div w:id="1810857188">
          <w:marLeft w:val="0"/>
          <w:marRight w:val="0"/>
          <w:marTop w:val="0"/>
          <w:marBottom w:val="0"/>
          <w:divBdr>
            <w:top w:val="none" w:sz="0" w:space="0" w:color="auto"/>
            <w:left w:val="none" w:sz="0" w:space="0" w:color="auto"/>
            <w:bottom w:val="none" w:sz="0" w:space="0" w:color="auto"/>
            <w:right w:val="none" w:sz="0" w:space="0" w:color="auto"/>
          </w:divBdr>
        </w:div>
        <w:div w:id="1607544075">
          <w:marLeft w:val="0"/>
          <w:marRight w:val="0"/>
          <w:marTop w:val="0"/>
          <w:marBottom w:val="0"/>
          <w:divBdr>
            <w:top w:val="none" w:sz="0" w:space="0" w:color="auto"/>
            <w:left w:val="none" w:sz="0" w:space="0" w:color="auto"/>
            <w:bottom w:val="none" w:sz="0" w:space="0" w:color="auto"/>
            <w:right w:val="none" w:sz="0" w:space="0" w:color="auto"/>
          </w:divBdr>
        </w:div>
        <w:div w:id="322659998">
          <w:marLeft w:val="0"/>
          <w:marRight w:val="0"/>
          <w:marTop w:val="0"/>
          <w:marBottom w:val="0"/>
          <w:divBdr>
            <w:top w:val="none" w:sz="0" w:space="0" w:color="auto"/>
            <w:left w:val="none" w:sz="0" w:space="0" w:color="auto"/>
            <w:bottom w:val="none" w:sz="0" w:space="0" w:color="auto"/>
            <w:right w:val="none" w:sz="0" w:space="0" w:color="auto"/>
          </w:divBdr>
        </w:div>
        <w:div w:id="742871432">
          <w:marLeft w:val="0"/>
          <w:marRight w:val="0"/>
          <w:marTop w:val="0"/>
          <w:marBottom w:val="0"/>
          <w:divBdr>
            <w:top w:val="none" w:sz="0" w:space="0" w:color="auto"/>
            <w:left w:val="none" w:sz="0" w:space="0" w:color="auto"/>
            <w:bottom w:val="none" w:sz="0" w:space="0" w:color="auto"/>
            <w:right w:val="none" w:sz="0" w:space="0" w:color="auto"/>
          </w:divBdr>
        </w:div>
        <w:div w:id="1776293136">
          <w:marLeft w:val="0"/>
          <w:marRight w:val="0"/>
          <w:marTop w:val="0"/>
          <w:marBottom w:val="0"/>
          <w:divBdr>
            <w:top w:val="none" w:sz="0" w:space="0" w:color="auto"/>
            <w:left w:val="none" w:sz="0" w:space="0" w:color="auto"/>
            <w:bottom w:val="none" w:sz="0" w:space="0" w:color="auto"/>
            <w:right w:val="none" w:sz="0" w:space="0" w:color="auto"/>
          </w:divBdr>
        </w:div>
        <w:div w:id="94061593">
          <w:marLeft w:val="0"/>
          <w:marRight w:val="0"/>
          <w:marTop w:val="0"/>
          <w:marBottom w:val="0"/>
          <w:divBdr>
            <w:top w:val="none" w:sz="0" w:space="0" w:color="auto"/>
            <w:left w:val="none" w:sz="0" w:space="0" w:color="auto"/>
            <w:bottom w:val="none" w:sz="0" w:space="0" w:color="auto"/>
            <w:right w:val="none" w:sz="0" w:space="0" w:color="auto"/>
          </w:divBdr>
        </w:div>
        <w:div w:id="113014921">
          <w:marLeft w:val="0"/>
          <w:marRight w:val="0"/>
          <w:marTop w:val="0"/>
          <w:marBottom w:val="0"/>
          <w:divBdr>
            <w:top w:val="none" w:sz="0" w:space="0" w:color="auto"/>
            <w:left w:val="none" w:sz="0" w:space="0" w:color="auto"/>
            <w:bottom w:val="none" w:sz="0" w:space="0" w:color="auto"/>
            <w:right w:val="none" w:sz="0" w:space="0" w:color="auto"/>
          </w:divBdr>
        </w:div>
      </w:divsChild>
    </w:div>
    <w:div w:id="1117524753">
      <w:bodyDiv w:val="1"/>
      <w:marLeft w:val="0"/>
      <w:marRight w:val="0"/>
      <w:marTop w:val="0"/>
      <w:marBottom w:val="0"/>
      <w:divBdr>
        <w:top w:val="none" w:sz="0" w:space="0" w:color="auto"/>
        <w:left w:val="none" w:sz="0" w:space="0" w:color="auto"/>
        <w:bottom w:val="none" w:sz="0" w:space="0" w:color="auto"/>
        <w:right w:val="none" w:sz="0" w:space="0" w:color="auto"/>
      </w:divBdr>
      <w:divsChild>
        <w:div w:id="147718516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25529217">
      <w:bodyDiv w:val="1"/>
      <w:marLeft w:val="0"/>
      <w:marRight w:val="0"/>
      <w:marTop w:val="0"/>
      <w:marBottom w:val="0"/>
      <w:divBdr>
        <w:top w:val="none" w:sz="0" w:space="0" w:color="auto"/>
        <w:left w:val="none" w:sz="0" w:space="0" w:color="auto"/>
        <w:bottom w:val="none" w:sz="0" w:space="0" w:color="auto"/>
        <w:right w:val="none" w:sz="0" w:space="0" w:color="auto"/>
      </w:divBdr>
    </w:div>
    <w:div w:id="1274172581">
      <w:bodyDiv w:val="1"/>
      <w:marLeft w:val="0"/>
      <w:marRight w:val="0"/>
      <w:marTop w:val="0"/>
      <w:marBottom w:val="0"/>
      <w:divBdr>
        <w:top w:val="none" w:sz="0" w:space="0" w:color="auto"/>
        <w:left w:val="none" w:sz="0" w:space="0" w:color="auto"/>
        <w:bottom w:val="none" w:sz="0" w:space="0" w:color="auto"/>
        <w:right w:val="none" w:sz="0" w:space="0" w:color="auto"/>
      </w:divBdr>
      <w:divsChild>
        <w:div w:id="1115639652">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301961582">
      <w:bodyDiv w:val="1"/>
      <w:marLeft w:val="0"/>
      <w:marRight w:val="0"/>
      <w:marTop w:val="0"/>
      <w:marBottom w:val="0"/>
      <w:divBdr>
        <w:top w:val="none" w:sz="0" w:space="0" w:color="auto"/>
        <w:left w:val="none" w:sz="0" w:space="0" w:color="auto"/>
        <w:bottom w:val="none" w:sz="0" w:space="0" w:color="auto"/>
        <w:right w:val="none" w:sz="0" w:space="0" w:color="auto"/>
      </w:divBdr>
      <w:divsChild>
        <w:div w:id="1396129534">
          <w:marLeft w:val="0"/>
          <w:marRight w:val="0"/>
          <w:marTop w:val="0"/>
          <w:marBottom w:val="0"/>
          <w:divBdr>
            <w:top w:val="none" w:sz="0" w:space="0" w:color="auto"/>
            <w:left w:val="none" w:sz="0" w:space="0" w:color="auto"/>
            <w:bottom w:val="none" w:sz="0" w:space="0" w:color="auto"/>
            <w:right w:val="none" w:sz="0" w:space="0" w:color="auto"/>
          </w:divBdr>
        </w:div>
        <w:div w:id="819200423">
          <w:marLeft w:val="0"/>
          <w:marRight w:val="0"/>
          <w:marTop w:val="0"/>
          <w:marBottom w:val="0"/>
          <w:divBdr>
            <w:top w:val="none" w:sz="0" w:space="0" w:color="auto"/>
            <w:left w:val="none" w:sz="0" w:space="0" w:color="auto"/>
            <w:bottom w:val="none" w:sz="0" w:space="0" w:color="auto"/>
            <w:right w:val="none" w:sz="0" w:space="0" w:color="auto"/>
          </w:divBdr>
        </w:div>
        <w:div w:id="1777367775">
          <w:marLeft w:val="0"/>
          <w:marRight w:val="0"/>
          <w:marTop w:val="0"/>
          <w:marBottom w:val="0"/>
          <w:divBdr>
            <w:top w:val="none" w:sz="0" w:space="0" w:color="auto"/>
            <w:left w:val="none" w:sz="0" w:space="0" w:color="auto"/>
            <w:bottom w:val="none" w:sz="0" w:space="0" w:color="auto"/>
            <w:right w:val="none" w:sz="0" w:space="0" w:color="auto"/>
          </w:divBdr>
        </w:div>
        <w:div w:id="644624494">
          <w:marLeft w:val="0"/>
          <w:marRight w:val="0"/>
          <w:marTop w:val="0"/>
          <w:marBottom w:val="0"/>
          <w:divBdr>
            <w:top w:val="none" w:sz="0" w:space="0" w:color="auto"/>
            <w:left w:val="none" w:sz="0" w:space="0" w:color="auto"/>
            <w:bottom w:val="none" w:sz="0" w:space="0" w:color="auto"/>
            <w:right w:val="none" w:sz="0" w:space="0" w:color="auto"/>
          </w:divBdr>
        </w:div>
        <w:div w:id="118958257">
          <w:marLeft w:val="0"/>
          <w:marRight w:val="0"/>
          <w:marTop w:val="0"/>
          <w:marBottom w:val="0"/>
          <w:divBdr>
            <w:top w:val="none" w:sz="0" w:space="0" w:color="auto"/>
            <w:left w:val="none" w:sz="0" w:space="0" w:color="auto"/>
            <w:bottom w:val="none" w:sz="0" w:space="0" w:color="auto"/>
            <w:right w:val="none" w:sz="0" w:space="0" w:color="auto"/>
          </w:divBdr>
        </w:div>
        <w:div w:id="667293875">
          <w:marLeft w:val="0"/>
          <w:marRight w:val="0"/>
          <w:marTop w:val="0"/>
          <w:marBottom w:val="0"/>
          <w:divBdr>
            <w:top w:val="none" w:sz="0" w:space="0" w:color="auto"/>
            <w:left w:val="none" w:sz="0" w:space="0" w:color="auto"/>
            <w:bottom w:val="none" w:sz="0" w:space="0" w:color="auto"/>
            <w:right w:val="none" w:sz="0" w:space="0" w:color="auto"/>
          </w:divBdr>
        </w:div>
        <w:div w:id="508833880">
          <w:marLeft w:val="0"/>
          <w:marRight w:val="0"/>
          <w:marTop w:val="0"/>
          <w:marBottom w:val="0"/>
          <w:divBdr>
            <w:top w:val="none" w:sz="0" w:space="0" w:color="auto"/>
            <w:left w:val="none" w:sz="0" w:space="0" w:color="auto"/>
            <w:bottom w:val="none" w:sz="0" w:space="0" w:color="auto"/>
            <w:right w:val="none" w:sz="0" w:space="0" w:color="auto"/>
          </w:divBdr>
        </w:div>
        <w:div w:id="438567004">
          <w:marLeft w:val="0"/>
          <w:marRight w:val="0"/>
          <w:marTop w:val="0"/>
          <w:marBottom w:val="0"/>
          <w:divBdr>
            <w:top w:val="none" w:sz="0" w:space="0" w:color="auto"/>
            <w:left w:val="none" w:sz="0" w:space="0" w:color="auto"/>
            <w:bottom w:val="none" w:sz="0" w:space="0" w:color="auto"/>
            <w:right w:val="none" w:sz="0" w:space="0" w:color="auto"/>
          </w:divBdr>
        </w:div>
      </w:divsChild>
    </w:div>
    <w:div w:id="1455521432">
      <w:bodyDiv w:val="1"/>
      <w:marLeft w:val="0"/>
      <w:marRight w:val="0"/>
      <w:marTop w:val="0"/>
      <w:marBottom w:val="0"/>
      <w:divBdr>
        <w:top w:val="none" w:sz="0" w:space="0" w:color="auto"/>
        <w:left w:val="none" w:sz="0" w:space="0" w:color="auto"/>
        <w:bottom w:val="none" w:sz="0" w:space="0" w:color="auto"/>
        <w:right w:val="none" w:sz="0" w:space="0" w:color="auto"/>
      </w:divBdr>
      <w:divsChild>
        <w:div w:id="14296236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63962331">
      <w:bodyDiv w:val="1"/>
      <w:marLeft w:val="0"/>
      <w:marRight w:val="0"/>
      <w:marTop w:val="0"/>
      <w:marBottom w:val="0"/>
      <w:divBdr>
        <w:top w:val="none" w:sz="0" w:space="0" w:color="auto"/>
        <w:left w:val="none" w:sz="0" w:space="0" w:color="auto"/>
        <w:bottom w:val="none" w:sz="0" w:space="0" w:color="auto"/>
        <w:right w:val="none" w:sz="0" w:space="0" w:color="auto"/>
      </w:divBdr>
      <w:divsChild>
        <w:div w:id="16725800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75650165">
      <w:bodyDiv w:val="1"/>
      <w:marLeft w:val="0"/>
      <w:marRight w:val="0"/>
      <w:marTop w:val="0"/>
      <w:marBottom w:val="0"/>
      <w:divBdr>
        <w:top w:val="none" w:sz="0" w:space="0" w:color="auto"/>
        <w:left w:val="none" w:sz="0" w:space="0" w:color="auto"/>
        <w:bottom w:val="none" w:sz="0" w:space="0" w:color="auto"/>
        <w:right w:val="none" w:sz="0" w:space="0" w:color="auto"/>
      </w:divBdr>
      <w:divsChild>
        <w:div w:id="192803197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98308480">
      <w:bodyDiv w:val="1"/>
      <w:marLeft w:val="0"/>
      <w:marRight w:val="0"/>
      <w:marTop w:val="0"/>
      <w:marBottom w:val="0"/>
      <w:divBdr>
        <w:top w:val="none" w:sz="0" w:space="0" w:color="auto"/>
        <w:left w:val="none" w:sz="0" w:space="0" w:color="auto"/>
        <w:bottom w:val="none" w:sz="0" w:space="0" w:color="auto"/>
        <w:right w:val="none" w:sz="0" w:space="0" w:color="auto"/>
      </w:divBdr>
    </w:div>
    <w:div w:id="1739013315">
      <w:bodyDiv w:val="1"/>
      <w:marLeft w:val="0"/>
      <w:marRight w:val="0"/>
      <w:marTop w:val="0"/>
      <w:marBottom w:val="0"/>
      <w:divBdr>
        <w:top w:val="none" w:sz="0" w:space="0" w:color="auto"/>
        <w:left w:val="none" w:sz="0" w:space="0" w:color="auto"/>
        <w:bottom w:val="none" w:sz="0" w:space="0" w:color="auto"/>
        <w:right w:val="none" w:sz="0" w:space="0" w:color="auto"/>
      </w:divBdr>
    </w:div>
    <w:div w:id="1756316860">
      <w:bodyDiv w:val="1"/>
      <w:marLeft w:val="0"/>
      <w:marRight w:val="0"/>
      <w:marTop w:val="0"/>
      <w:marBottom w:val="0"/>
      <w:divBdr>
        <w:top w:val="none" w:sz="0" w:space="0" w:color="auto"/>
        <w:left w:val="none" w:sz="0" w:space="0" w:color="auto"/>
        <w:bottom w:val="none" w:sz="0" w:space="0" w:color="auto"/>
        <w:right w:val="none" w:sz="0" w:space="0" w:color="auto"/>
      </w:divBdr>
      <w:divsChild>
        <w:div w:id="475338941">
          <w:marLeft w:val="0"/>
          <w:marRight w:val="0"/>
          <w:marTop w:val="0"/>
          <w:marBottom w:val="0"/>
          <w:divBdr>
            <w:top w:val="none" w:sz="0" w:space="0" w:color="auto"/>
            <w:left w:val="none" w:sz="0" w:space="0" w:color="auto"/>
            <w:bottom w:val="none" w:sz="0" w:space="0" w:color="auto"/>
            <w:right w:val="none" w:sz="0" w:space="0" w:color="auto"/>
          </w:divBdr>
        </w:div>
        <w:div w:id="430661534">
          <w:marLeft w:val="0"/>
          <w:marRight w:val="0"/>
          <w:marTop w:val="0"/>
          <w:marBottom w:val="0"/>
          <w:divBdr>
            <w:top w:val="none" w:sz="0" w:space="0" w:color="auto"/>
            <w:left w:val="none" w:sz="0" w:space="0" w:color="auto"/>
            <w:bottom w:val="none" w:sz="0" w:space="0" w:color="auto"/>
            <w:right w:val="none" w:sz="0" w:space="0" w:color="auto"/>
          </w:divBdr>
        </w:div>
        <w:div w:id="1208840558">
          <w:marLeft w:val="0"/>
          <w:marRight w:val="0"/>
          <w:marTop w:val="0"/>
          <w:marBottom w:val="0"/>
          <w:divBdr>
            <w:top w:val="none" w:sz="0" w:space="0" w:color="auto"/>
            <w:left w:val="none" w:sz="0" w:space="0" w:color="auto"/>
            <w:bottom w:val="none" w:sz="0" w:space="0" w:color="auto"/>
            <w:right w:val="none" w:sz="0" w:space="0" w:color="auto"/>
          </w:divBdr>
        </w:div>
        <w:div w:id="48502634">
          <w:marLeft w:val="0"/>
          <w:marRight w:val="0"/>
          <w:marTop w:val="0"/>
          <w:marBottom w:val="0"/>
          <w:divBdr>
            <w:top w:val="none" w:sz="0" w:space="0" w:color="auto"/>
            <w:left w:val="none" w:sz="0" w:space="0" w:color="auto"/>
            <w:bottom w:val="none" w:sz="0" w:space="0" w:color="auto"/>
            <w:right w:val="none" w:sz="0" w:space="0" w:color="auto"/>
          </w:divBdr>
        </w:div>
        <w:div w:id="728500699">
          <w:marLeft w:val="0"/>
          <w:marRight w:val="0"/>
          <w:marTop w:val="0"/>
          <w:marBottom w:val="0"/>
          <w:divBdr>
            <w:top w:val="none" w:sz="0" w:space="0" w:color="auto"/>
            <w:left w:val="none" w:sz="0" w:space="0" w:color="auto"/>
            <w:bottom w:val="none" w:sz="0" w:space="0" w:color="auto"/>
            <w:right w:val="none" w:sz="0" w:space="0" w:color="auto"/>
          </w:divBdr>
        </w:div>
        <w:div w:id="676464383">
          <w:marLeft w:val="0"/>
          <w:marRight w:val="0"/>
          <w:marTop w:val="0"/>
          <w:marBottom w:val="0"/>
          <w:divBdr>
            <w:top w:val="none" w:sz="0" w:space="0" w:color="auto"/>
            <w:left w:val="none" w:sz="0" w:space="0" w:color="auto"/>
            <w:bottom w:val="none" w:sz="0" w:space="0" w:color="auto"/>
            <w:right w:val="none" w:sz="0" w:space="0" w:color="auto"/>
          </w:divBdr>
        </w:div>
        <w:div w:id="1806267334">
          <w:marLeft w:val="0"/>
          <w:marRight w:val="0"/>
          <w:marTop w:val="0"/>
          <w:marBottom w:val="0"/>
          <w:divBdr>
            <w:top w:val="none" w:sz="0" w:space="0" w:color="auto"/>
            <w:left w:val="none" w:sz="0" w:space="0" w:color="auto"/>
            <w:bottom w:val="none" w:sz="0" w:space="0" w:color="auto"/>
            <w:right w:val="none" w:sz="0" w:space="0" w:color="auto"/>
          </w:divBdr>
        </w:div>
        <w:div w:id="1506245510">
          <w:marLeft w:val="0"/>
          <w:marRight w:val="0"/>
          <w:marTop w:val="0"/>
          <w:marBottom w:val="0"/>
          <w:divBdr>
            <w:top w:val="none" w:sz="0" w:space="0" w:color="auto"/>
            <w:left w:val="none" w:sz="0" w:space="0" w:color="auto"/>
            <w:bottom w:val="none" w:sz="0" w:space="0" w:color="auto"/>
            <w:right w:val="none" w:sz="0" w:space="0" w:color="auto"/>
          </w:divBdr>
        </w:div>
      </w:divsChild>
    </w:div>
    <w:div w:id="1783958746">
      <w:bodyDiv w:val="1"/>
      <w:marLeft w:val="0"/>
      <w:marRight w:val="0"/>
      <w:marTop w:val="0"/>
      <w:marBottom w:val="0"/>
      <w:divBdr>
        <w:top w:val="none" w:sz="0" w:space="0" w:color="auto"/>
        <w:left w:val="none" w:sz="0" w:space="0" w:color="auto"/>
        <w:bottom w:val="none" w:sz="0" w:space="0" w:color="auto"/>
        <w:right w:val="none" w:sz="0" w:space="0" w:color="auto"/>
      </w:divBdr>
      <w:divsChild>
        <w:div w:id="46145725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65896241">
      <w:bodyDiv w:val="1"/>
      <w:marLeft w:val="0"/>
      <w:marRight w:val="0"/>
      <w:marTop w:val="0"/>
      <w:marBottom w:val="0"/>
      <w:divBdr>
        <w:top w:val="none" w:sz="0" w:space="0" w:color="auto"/>
        <w:left w:val="none" w:sz="0" w:space="0" w:color="auto"/>
        <w:bottom w:val="none" w:sz="0" w:space="0" w:color="auto"/>
        <w:right w:val="none" w:sz="0" w:space="0" w:color="auto"/>
      </w:divBdr>
      <w:divsChild>
        <w:div w:id="21342107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868373825">
      <w:bodyDiv w:val="1"/>
      <w:marLeft w:val="0"/>
      <w:marRight w:val="0"/>
      <w:marTop w:val="0"/>
      <w:marBottom w:val="0"/>
      <w:divBdr>
        <w:top w:val="none" w:sz="0" w:space="0" w:color="auto"/>
        <w:left w:val="none" w:sz="0" w:space="0" w:color="auto"/>
        <w:bottom w:val="none" w:sz="0" w:space="0" w:color="auto"/>
        <w:right w:val="none" w:sz="0" w:space="0" w:color="auto"/>
      </w:divBdr>
    </w:div>
    <w:div w:id="1953128345">
      <w:bodyDiv w:val="1"/>
      <w:marLeft w:val="0"/>
      <w:marRight w:val="0"/>
      <w:marTop w:val="0"/>
      <w:marBottom w:val="0"/>
      <w:divBdr>
        <w:top w:val="none" w:sz="0" w:space="0" w:color="auto"/>
        <w:left w:val="none" w:sz="0" w:space="0" w:color="auto"/>
        <w:bottom w:val="none" w:sz="0" w:space="0" w:color="auto"/>
        <w:right w:val="none" w:sz="0" w:space="0" w:color="auto"/>
      </w:divBdr>
      <w:divsChild>
        <w:div w:id="66532543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970015266">
      <w:bodyDiv w:val="1"/>
      <w:marLeft w:val="0"/>
      <w:marRight w:val="0"/>
      <w:marTop w:val="0"/>
      <w:marBottom w:val="0"/>
      <w:divBdr>
        <w:top w:val="none" w:sz="0" w:space="0" w:color="auto"/>
        <w:left w:val="none" w:sz="0" w:space="0" w:color="auto"/>
        <w:bottom w:val="none" w:sz="0" w:space="0" w:color="auto"/>
        <w:right w:val="none" w:sz="0" w:space="0" w:color="auto"/>
      </w:divBdr>
    </w:div>
    <w:div w:id="2103136104">
      <w:bodyDiv w:val="1"/>
      <w:marLeft w:val="0"/>
      <w:marRight w:val="0"/>
      <w:marTop w:val="0"/>
      <w:marBottom w:val="0"/>
      <w:divBdr>
        <w:top w:val="none" w:sz="0" w:space="0" w:color="auto"/>
        <w:left w:val="none" w:sz="0" w:space="0" w:color="auto"/>
        <w:bottom w:val="none" w:sz="0" w:space="0" w:color="auto"/>
        <w:right w:val="none" w:sz="0" w:space="0" w:color="auto"/>
      </w:divBdr>
      <w:divsChild>
        <w:div w:id="10449126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raig.stillwell@gmail.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rstil2/sex-equity-clinical-trials"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13</Pages>
  <Words>1458</Words>
  <Characters>8316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9755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Craig Stillwell</cp:lastModifiedBy>
  <cp:revision>8</cp:revision>
  <dcterms:created xsi:type="dcterms:W3CDTF">2025-05-16T19:29:00Z</dcterms:created>
  <dcterms:modified xsi:type="dcterms:W3CDTF">2025-05-20T10:05:00Z</dcterms:modified>
  <cp:category/>
</cp:coreProperties>
</file>