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Requirements Document</w:t>
      </w:r>
    </w:p>
    <w:p>
      <w:pPr>
        <w:pStyle w:val="Heading2"/>
        <w:spacing w:after="60"/>
      </w:pPr>
      <w:r>
        <w:t xml:space="preserve">Defender Risk &amp; Control Roadmap Tool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Status: v1.0 - all open questions resolved  |  Owner: Singe  |  Date: 27 July 2026</w:t>
      </w: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20"/>
      </w:pPr>
      <w:r>
        <w:t xml:space="preserve">This document captures the requirements for repurposing an existing proof-of-concept application (originally built as a military attack/defend simulation for a power station) into a generic, reusable internal tool for security teams. The new tool assesses organisational cyber risk against the MITRE ATT&amp;CK lifecycle and produces a prioritised, cost-justified roadmap of controls to reduce that risk.</w:t>
      </w:r>
    </w:p>
    <w:p>
      <w:pPr>
        <w:pStyle w:val="Heading1"/>
        <w:spacing w:after="120" w:before="240"/>
      </w:pPr>
      <w:r>
        <w:t xml:space="preserve">2. Background</w:t>
      </w:r>
    </w:p>
    <w:p>
      <w:pPr>
        <w:spacing w:after="120"/>
      </w:pPr>
      <w:r>
        <w:t xml:space="preserve">The original application was a proof-of-concept enabling military users to simulate attacking and defending a power station, identifying vulnerabilities across OT, IT, and physical security domains. This project repurposes the working codebase into a new application with a different purpose, audience, and user experience. Existing pages will remain functional while new pages are built alongside them; old pages will be decommissioned once replacements are validated.</w:t>
      </w:r>
    </w:p>
    <w:p>
      <w:pPr>
        <w:pStyle w:val="Heading1"/>
        <w:spacing w:after="120" w:before="240"/>
      </w:pPr>
      <w:r>
        <w:t xml:space="preserve">3. Objective</w:t>
      </w:r>
    </w:p>
    <w:p>
      <w:pPr>
        <w:spacing w:after="120"/>
      </w:pPr>
      <w:r>
        <w:t xml:space="preserve">Convert the application into a defender-oriented risk assessment tool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Assesses organisational risk from cyber attack, aligned to the MITRE ATT&amp;CK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 gaps in control coverage against ATT&amp;CK tactics and techniques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Produces a prioritised roadmap of controls to reduce residual risk, ranked using FAIR-based cost/benefit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a repeatable, top-down risk assessment process aligned to the organisation's business capability model (Capability → Asset → Risk)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scoped generically — reusable for any organisation or asset, not just a power station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Focuses on IT environment first (Phase 1), with physical security (Phase 2) and OT/ICS (Phase 3) incorporated in later phases — data model designed to support all three from the outset</w:t>
      </w:r>
    </w:p>
    <w:p>
      <w:pPr>
        <w:pStyle w:val="Heading1"/>
        <w:spacing w:after="120" w:before="240"/>
      </w:pPr>
      <w:r>
        <w:t xml:space="preserve">4. Users</w:t>
      </w:r>
    </w:p>
    <w:p>
      <w:pPr>
        <w:spacing w:after="120"/>
      </w:pPr>
      <w:r>
        <w:t xml:space="preserve">Primary user: the internal security team (e.g. GRC analysts, security architects, risk owners) — not external clients, and not a self-service tool for non-security staff at this stage.</w:t>
      </w:r>
    </w:p>
    <w:p>
      <w:pPr>
        <w:pStyle w:val="Heading1"/>
        <w:spacing w:after="120" w:before="240"/>
      </w:pPr>
      <w:r>
        <w:t xml:space="preserve">5. Scope</w:t>
      </w:r>
    </w:p>
    <w:p>
      <w:pPr>
        <w:pStyle w:val="Heading2"/>
        <w:spacing w:after="120" w:before="240"/>
      </w:pPr>
      <w:r>
        <w:t xml:space="preserve">5.1 In Scope (Phase 1 —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and control inventory (manual entry)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of identified vulnerabilities/gaps to MITRE ATT&amp;CK techniques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coverage assessment against ATT&amp;CK tactics (what's covered, what's not)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Quantitative, FAIR-style risk scoring (loss event frequency x magnitude, expressed numerically)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roadmap generation, prioritised by full FAIR-based ROI / cost-benefit (implementation cost/effort vs. risk reduction)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 designed to support future import from vulnerability scanners, CMDB, etc. (not built in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capability model (TOGAF-aligned, bulk-loaded from an existing Word document with Levels 1-4 and reference numbering) as the top layer of a repeatable, top-down risk assessment process: Capability → Asset → Risk, with FAIR-based aggregation rolling asset-level risk up to a capability-level score</w:t>
      </w:r>
    </w:p>
    <w:p>
      <w:pPr>
        <w:pStyle w:val="Heading2"/>
        <w:spacing w:after="120" w:before="240"/>
      </w:pPr>
      <w:r>
        <w:t xml:space="preserve">5.2 In Scope (Phase 2 — Physical)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Extension of the same data model and scoring approach to physical security controls and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 and page structure designed in Phase 1 to anticipate this — but physical assessment pages are not built until Phase 2</w:t>
      </w:r>
    </w:p>
    <w:p>
      <w:pPr>
        <w:pStyle w:val="Heading2"/>
        <w:spacing w:after="120" w:before="240"/>
      </w:pPr>
      <w:r>
        <w:t xml:space="preserve">5.3 In Scope (Phase 3 — OT/ICS)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OT/ICS security assessment, using the MITRE ATT&amp;CK for ICS matrix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 designed from Phase 1 to accommodate this — pages/UI not built until Phase 3</w:t>
      </w:r>
    </w:p>
    <w:p>
      <w:pPr>
        <w:pStyle w:val="Heading2"/>
        <w:spacing w:after="120" w:before="240"/>
      </w:pPr>
      <w:r>
        <w:t xml:space="preserve">5.4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data import/integration with scanning tools (Phase 1 is manual entry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External/client-facing access or multi-tenant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Multi-organisation data model (single organisation/instance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Attack simulation functionality from the original PoC</w:t>
      </w:r>
    </w:p>
    <w:p>
      <w:pPr>
        <w:pStyle w:val="Heading1"/>
        <w:spacing w:after="120" w:before="240"/>
      </w:pPr>
      <w:r>
        <w:t xml:space="preserve">6. Functional Requirements (Draft — to be refined per page)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580"/>
        <w:gridCol w:w="2000"/>
      </w:tblGrid>
      <w:t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Register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can manually create, edit, and delete IT assets, each with owner, criticality, and description.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Register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can record existing controls, mapped to the assets/ATT&amp;CK techniques they mitigate.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ATT&amp;CK Mapping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Vulnerabilities/gaps can be mapped to specific MITRE ATT&amp;CK tactics and techniques (Enterprise + ICS matrices, to support IT now and OT in Phase 3).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View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heatmap/matrix showing control coverage across the ATT&amp;CK lifecycle, highlighting gaps.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identified risk is scored using FAIR-style quantitative inputs (frequency, magnitude), entered via expert judgement, to produce a numeric/annualised loss figure. Benchmark data sourcing deferred beyond Phase 1.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 Engine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controls are ranked by risk reduction vs. cost/effort (FAIR-based ROI) to produce a prioritised roadmap.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 Output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 is viewable/exportable as a sequenced plan (e.g. quarters, phases) with rationale per item.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report of overall risk posture and roadmap, exportable (PDF/Word).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F9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model supports future addition of physical security assets/controls without rework.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can create, edit, and track risks as formal register entries: description, owner, linked asset(s)/ATT&amp;CK technique(s), inherent and residual FAIR score, treatment decision (mitigate/accept/transfer/avoid), status (open/in progress/closed), and review date.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is filterable/sortable by status, owner, residual risk score, and review date; overdue reviews are flagged.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Model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can bulk-load the capability hierarchy from the existing Word document via a one-time structured import, using Heading styles for level/hierarchy and the existing numbering (e.g. "1.2.3") as the reference code; manual add/edit/reorder supported thereafter for maintenance.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Linkage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asset can be linked to one or more business capabilities it supports, forming a Capability → Asset → Risk hierarchy.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Risk Rollup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scores for assets supporting a capability are aggregated using FAIR-based aggregation (combined loss frequency/magnitude) into a single capability-level residual risk figure.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 Wizard</w:t>
            </w:r>
          </w:p>
        </w:tc>
        <w:tc>
          <w:tcPr>
            <w:tcW w:type="dxa" w:w="45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Guided, repeatable workflow: select a capability, review/update the risk assessment for each supporting asset, tool recalculates the capability-level rollup on completion. Designed to be re-run periodically (e.g. quarterly) per capability.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7. Page-by-Page Breakdown (Phase 1 — draft, to be refined)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— overall risk posture summary, top gaps, roadmap status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Model — view/manage the business capability hierarchy, link capabilities to supporting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Register — list/add/edit IT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Register — list/add/edit existing controls, linked to assets and ATT&amp;CK techniques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ATT&amp;CK Coverage Matrix — visual heatmap of tactic/technique coverage, drill into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Assessment — score an individual risk using FAIR inputs, linked to assets/techniques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Register — manage the full lifecycle of tracked risks: status, owner, treatment decision, review date; feeds from Risk Assessment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Assessment Wizard — repeatable, guided top-down workflow: pick a capability, step through its supporting assets' risk assessments, tool rolls up to a capability-level risk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 — prioritised, ranked list of recommended controls with cost/benefit rationale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— exportable summary output</w:t>
      </w:r>
    </w:p>
    <w:p>
      <w:pPr>
        <w:pStyle w:val="Heading1"/>
        <w:spacing w:after="120" w:before="240"/>
      </w:pPr>
      <w:r>
        <w:t xml:space="preserve">8. Key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c>
          <w:tcPr>
            <w:tcW w:type="dxa" w:w="4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OT/ICS scope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Kept as an explicit Phase 3, not dropped. Data model built to accommodate it from Phase 1.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ATT&amp;CK matrix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+ ICS matrices combined, to future-proof for OT even though Phase 1 only builds IT pages.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Multi-org support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organisation/instance only — kept simple, no multi-org data model.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milestone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fixed target date. Build iteratively, page by page.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hierarchy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→ Asset → Risk, with capability-level risk as a rolled-up view (not a separate scoring exercise) — preserves drill-down to ATT&amp;CK technique and control level.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rollup method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FAIR-based aggregation — combine loss frequency/magnitude across a capability's supporting assets, rather than simple average/max.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model source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Word document exists (Levels 1-4), using both Heading styles and numbered text (e.g. "1.2.3") together — reliably parseable, both hierarchy and reference codes preserved on import.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Register vs Risk Assessment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as two separate pages — Risk Assessment scores a risk, Risk Register tracks its lifecycle (status, owner, treatment, review date).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ATT&amp;CK framework updates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Handled manually — team reviews and updates the tool's technique/tactic reference data when MITRE releases a new ATT&amp;CK version. No automated sync in Phase 1.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 benchmark data</w:t>
            </w:r>
          </w:p>
        </w:tc>
        <w:tc>
          <w:tcPr>
            <w:tcW w:type="dxa" w:w="5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Expert judgement only for Phase 1. Industry benchmark sourcing (e.g. DBIR, insurance data) deferred — not built or specified now.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9. Non-Functional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tool only — no external/client access requirement at this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pages remain live and functional throughout Phase 1 build; cutover happens only once new pages are validated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data model with import in mind (future phase), even though Phase 1 is manual entry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data model to support Physical (Phase 2) and OT/ICS (Phase 3) domains, even though only IT pages are built in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organisation/instance — no multi-tenant data isolation required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2026-07-27T22:57:17.053Z</dcterms:created>
  <dcterms:modified xsi:type="dcterms:W3CDTF">2026-07-27T22:57:17.054Z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