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80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jc w:val="center"/>
      </w:pPr>
      <w:r>
        <w:rPr>
          <w:rFonts w:ascii="Calibri" w:hAnsi="Calibri"/>
          <w:b/>
          <w:i w:val="0"/>
          <w:color w:val="003C54"/>
          <w:sz w:val="36"/>
        </w:rPr>
        <w:t>Relatório Financeiro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212B36"/>
          <w:sz w:val="26"/>
        </w:rPr>
        <w:t>Posição atual e projeção de 3 meses</w:t>
      </w:r>
    </w:p>
    <w:p>
      <w:pPr>
        <w:jc w:val="center"/>
      </w:pPr>
      <w:r>
        <w:rPr>
          <w:rFonts w:ascii="Calibri" w:hAnsi="Calibri"/>
          <w:b w:val="0"/>
          <w:i/>
          <w:color w:val="5E6A72"/>
          <w:sz w:val="21"/>
        </w:rPr>
        <w:t>Junho / 2026  ·  Uso interno  ·  MODELO (valores ilustrativos)</w:t>
      </w:r>
    </w:p>
    <w:p>
      <w:pPr>
        <w:spacing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FBEFD6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2"/>
              </w:rPr>
              <w:t xml:space="preserve">⚠️  Aviso importante:  </w:t>
            </w:r>
            <w:r>
              <w:rPr>
                <w:rFonts w:ascii="Calibri" w:hAnsi="Calibri"/>
                <w:b w:val="0"/>
                <w:i w:val="0"/>
                <w:color w:val="212B36"/>
                <w:sz w:val="22"/>
              </w:rPr>
              <w:t>este relatório é um MODELO. Nenhum sistema financeiro real foi consultado nesta geração — os valores monetários são ILUSTRATIVOS e servem de gabarito. Substitua-os pelos dados reais ao conectar os sistemas de contratos, comercial e financeiro (ver seções 3 e 6).</w:t>
            </w:r>
          </w:p>
        </w:tc>
      </w:tr>
    </w:tbl>
    <w:p>
      <w:r>
        <w:br w:type="page"/>
      </w:r>
    </w:p>
    <w:p>
      <w:pPr>
        <w:spacing w:before="300" w:after="120"/>
        <w:pBdr>
          <w:bottom w:val="single" w:sz="6" w:space="4" w:color="D2E2EC"/>
        </w:pBdr>
      </w:pPr>
      <w:r>
        <w:rPr>
          <w:rFonts w:ascii="Calibri" w:hAnsi="Calibri"/>
          <w:b/>
          <w:i w:val="0"/>
          <w:color w:val="1F97B4"/>
          <w:sz w:val="30"/>
        </w:rPr>
        <w:t xml:space="preserve">1  </w:t>
      </w:r>
      <w:r>
        <w:rPr>
          <w:rFonts w:ascii="Calibri" w:hAnsi="Calibri"/>
          <w:b/>
          <w:i w:val="0"/>
          <w:color w:val="003C54"/>
          <w:sz w:val="30"/>
        </w:rPr>
        <w:t>Posição financeira atual  (ilustrativa)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Fotografia do momento. Os valores abaixo são exemplos para validar o formato; ao conectar o sistema financeiro/ERP, esta tabela é preenchida automaticamente.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312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3312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 (R$ mil) — ILUSTRATIVO</w:t>
            </w:r>
          </w:p>
        </w:tc>
        <w:tc>
          <w:tcPr>
            <w:tcW w:type="dxa" w:w="2880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31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Caixa e equivalentes</w:t>
            </w:r>
          </w:p>
        </w:tc>
        <w:tc>
          <w:tcPr>
            <w:tcW w:type="dxa" w:w="331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480</w:t>
            </w:r>
          </w:p>
        </w:tc>
        <w:tc>
          <w:tcPr>
            <w:tcW w:type="dxa" w:w="2880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saldo disponível</w:t>
            </w:r>
          </w:p>
        </w:tc>
      </w:tr>
      <w:tr>
        <w:tc>
          <w:tcPr>
            <w:tcW w:type="dxa" w:w="331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Contas a receber</w:t>
            </w:r>
          </w:p>
        </w:tc>
        <w:tc>
          <w:tcPr>
            <w:tcW w:type="dxa" w:w="331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320</w:t>
            </w:r>
          </w:p>
        </w:tc>
        <w:tc>
          <w:tcPr>
            <w:tcW w:type="dxa" w:w="2880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carteira 30/60/90 dias</w:t>
            </w:r>
          </w:p>
        </w:tc>
      </w:tr>
      <w:tr>
        <w:tc>
          <w:tcPr>
            <w:tcW w:type="dxa" w:w="331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Contas a pagar</w:t>
            </w:r>
          </w:p>
        </w:tc>
        <w:tc>
          <w:tcPr>
            <w:tcW w:type="dxa" w:w="331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210</w:t>
            </w:r>
          </w:p>
        </w:tc>
        <w:tc>
          <w:tcPr>
            <w:tcW w:type="dxa" w:w="2880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obrigações do período</w:t>
            </w:r>
          </w:p>
        </w:tc>
      </w:tr>
      <w:tr>
        <w:tc>
          <w:tcPr>
            <w:tcW w:type="dxa" w:w="331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Capital de giro líquido</w:t>
            </w:r>
          </w:p>
        </w:tc>
        <w:tc>
          <w:tcPr>
            <w:tcW w:type="dxa" w:w="331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590</w:t>
            </w:r>
          </w:p>
        </w:tc>
        <w:tc>
          <w:tcPr>
            <w:tcW w:type="dxa" w:w="2880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receber + caixa − pagar</w:t>
            </w:r>
          </w:p>
        </w:tc>
      </w:tr>
      <w:tr>
        <w:tc>
          <w:tcPr>
            <w:tcW w:type="dxa" w:w="331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Receita recorrente (MRR)</w:t>
            </w:r>
          </w:p>
        </w:tc>
        <w:tc>
          <w:tcPr>
            <w:tcW w:type="dxa" w:w="331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260</w:t>
            </w:r>
          </w:p>
        </w:tc>
        <w:tc>
          <w:tcPr>
            <w:tcW w:type="dxa" w:w="2880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base de contratos ativos</w:t>
            </w:r>
          </w:p>
        </w:tc>
      </w:tr>
      <w:tr>
        <w:tc>
          <w:tcPr>
            <w:tcW w:type="dxa" w:w="331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Despesas operacionais / mês</w:t>
            </w:r>
          </w:p>
        </w:tc>
        <w:tc>
          <w:tcPr>
            <w:tcW w:type="dxa" w:w="331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205</w:t>
            </w:r>
          </w:p>
        </w:tc>
        <w:tc>
          <w:tcPr>
            <w:tcW w:type="dxa" w:w="2880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custo + despesa fixa/variável</w:t>
            </w:r>
          </w:p>
        </w:tc>
      </w:tr>
      <w:tr>
        <w:tc>
          <w:tcPr>
            <w:tcW w:type="dxa" w:w="3312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Resultado operacional / mês</w:t>
            </w:r>
          </w:p>
        </w:tc>
        <w:tc>
          <w:tcPr>
            <w:tcW w:type="dxa" w:w="3312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55</w:t>
            </w:r>
          </w:p>
        </w:tc>
        <w:tc>
          <w:tcPr>
            <w:tcW w:type="dxa" w:w="2880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MRR − despesas (ilustrativo)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E1F0F4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2"/>
              </w:rPr>
              <w:t xml:space="preserve">Como ler:  </w:t>
            </w:r>
            <w:r>
              <w:rPr>
                <w:rFonts w:ascii="Calibri" w:hAnsi="Calibri"/>
                <w:b w:val="0"/>
                <w:i w:val="0"/>
                <w:color w:val="212B36"/>
                <w:sz w:val="22"/>
              </w:rPr>
              <w:t>capital de giro positivo e resultado mensal positivo indicam folga de curto prazo — confirme com os números reais antes de qualquer decisão.</w:t>
            </w:r>
          </w:p>
        </w:tc>
      </w:tr>
    </w:tbl>
    <w:p>
      <w:pPr>
        <w:spacing w:before="300" w:after="120"/>
        <w:pBdr>
          <w:bottom w:val="single" w:sz="6" w:space="4" w:color="D2E2EC"/>
        </w:pBdr>
      </w:pPr>
      <w:r>
        <w:rPr>
          <w:rFonts w:ascii="Calibri" w:hAnsi="Calibri"/>
          <w:b/>
          <w:i w:val="0"/>
          <w:color w:val="1F97B4"/>
          <w:sz w:val="30"/>
        </w:rPr>
        <w:t xml:space="preserve">2  </w:t>
      </w:r>
      <w:r>
        <w:rPr>
          <w:rFonts w:ascii="Calibri" w:hAnsi="Calibri"/>
          <w:b/>
          <w:i w:val="0"/>
          <w:color w:val="003C54"/>
          <w:sz w:val="30"/>
        </w:rPr>
        <w:t>Projeção de 3 meses  (ilustrativa)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Cenário-base com crescimento moderado de receita (~3%/mês) e despesas (~1,5%/mês). Premissas explícitas para você ajustar: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Receita: </w:t>
      </w:r>
      <w:r>
        <w:rPr>
          <w:rFonts w:ascii="Calibri" w:hAnsi="Calibri"/>
          <w:b w:val="0"/>
          <w:i w:val="0"/>
          <w:color w:val="212B36"/>
          <w:sz w:val="22"/>
        </w:rPr>
        <w:t>crescimento de ~3%/mês sobre o MRR atual (novos contratos − churn).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Despesas: </w:t>
      </w:r>
      <w:r>
        <w:rPr>
          <w:rFonts w:ascii="Calibri" w:hAnsi="Calibri"/>
          <w:b w:val="0"/>
          <w:i w:val="0"/>
          <w:color w:val="212B36"/>
          <w:sz w:val="22"/>
        </w:rPr>
        <w:t>crescimento de ~1,5%/mês (inflação de custos + contratações).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Caixa acumulado: </w:t>
      </w:r>
      <w:r>
        <w:rPr>
          <w:rFonts w:ascii="Calibri" w:hAnsi="Calibri"/>
          <w:b w:val="0"/>
          <w:i w:val="0"/>
          <w:color w:val="212B36"/>
          <w:sz w:val="22"/>
        </w:rPr>
        <w:t>caixa inicial + soma dos resultados mensais.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29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_proje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E6A72"/>
          <w:sz w:val="18"/>
        </w:rPr>
        <w:t>Figura 1 — Projeção de receita, despesas e caixa acumulado (ilustrativa).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448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2016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Receita</w:t>
            </w:r>
          </w:p>
        </w:tc>
        <w:tc>
          <w:tcPr>
            <w:tcW w:type="dxa" w:w="2016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Despesas</w:t>
            </w:r>
          </w:p>
        </w:tc>
        <w:tc>
          <w:tcPr>
            <w:tcW w:type="dxa" w:w="2016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448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Caixa acumulado</w:t>
            </w:r>
          </w:p>
        </w:tc>
      </w:tr>
      <w:tr>
        <w:tc>
          <w:tcPr>
            <w:tcW w:type="dxa" w:w="2448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Mês +1</w:t>
            </w:r>
          </w:p>
        </w:tc>
        <w:tc>
          <w:tcPr>
            <w:tcW w:type="dxa" w:w="201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268</w:t>
            </w:r>
          </w:p>
        </w:tc>
        <w:tc>
          <w:tcPr>
            <w:tcW w:type="dxa" w:w="201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208</w:t>
            </w:r>
          </w:p>
        </w:tc>
        <w:tc>
          <w:tcPr>
            <w:tcW w:type="dxa" w:w="201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60</w:t>
            </w:r>
          </w:p>
        </w:tc>
        <w:tc>
          <w:tcPr>
            <w:tcW w:type="dxa" w:w="2448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540</w:t>
            </w:r>
          </w:p>
        </w:tc>
      </w:tr>
      <w:tr>
        <w:tc>
          <w:tcPr>
            <w:tcW w:type="dxa" w:w="2448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Mês +2</w:t>
            </w:r>
          </w:p>
        </w:tc>
        <w:tc>
          <w:tcPr>
            <w:tcW w:type="dxa" w:w="201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276</w:t>
            </w:r>
          </w:p>
        </w:tc>
        <w:tc>
          <w:tcPr>
            <w:tcW w:type="dxa" w:w="201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211</w:t>
            </w:r>
          </w:p>
        </w:tc>
        <w:tc>
          <w:tcPr>
            <w:tcW w:type="dxa" w:w="201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65</w:t>
            </w:r>
          </w:p>
        </w:tc>
        <w:tc>
          <w:tcPr>
            <w:tcW w:type="dxa" w:w="2448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605</w:t>
            </w:r>
          </w:p>
        </w:tc>
      </w:tr>
      <w:tr>
        <w:tc>
          <w:tcPr>
            <w:tcW w:type="dxa" w:w="2448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Mês +3</w:t>
            </w:r>
          </w:p>
        </w:tc>
        <w:tc>
          <w:tcPr>
            <w:tcW w:type="dxa" w:w="201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285</w:t>
            </w:r>
          </w:p>
        </w:tc>
        <w:tc>
          <w:tcPr>
            <w:tcW w:type="dxa" w:w="201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214</w:t>
            </w:r>
          </w:p>
        </w:tc>
        <w:tc>
          <w:tcPr>
            <w:tcW w:type="dxa" w:w="201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71</w:t>
            </w:r>
          </w:p>
        </w:tc>
        <w:tc>
          <w:tcPr>
            <w:tcW w:type="dxa" w:w="2448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676</w:t>
            </w:r>
          </w:p>
        </w:tc>
      </w:tr>
      <w:tr>
        <w:tc>
          <w:tcPr>
            <w:tcW w:type="dxa" w:w="2448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Total 3 meses</w:t>
            </w:r>
          </w:p>
        </w:tc>
        <w:tc>
          <w:tcPr>
            <w:tcW w:type="dxa" w:w="2016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829</w:t>
            </w:r>
          </w:p>
        </w:tc>
        <w:tc>
          <w:tcPr>
            <w:tcW w:type="dxa" w:w="2016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633</w:t>
            </w:r>
          </w:p>
        </w:tc>
        <w:tc>
          <w:tcPr>
            <w:tcW w:type="dxa" w:w="2016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196</w:t>
            </w:r>
          </w:p>
        </w:tc>
        <w:tc>
          <w:tcPr>
            <w:tcW w:type="dxa" w:w="2448"/>
            <w:shd w:val="clear" w:fill="E1F0F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676 (final)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color w:val="212B36"/>
          <w:sz w:val="22"/>
        </w:rPr>
        <w:t>Valores em R$ mil. ILUSTRATIVO — substituir por forecast do comercial (pipeline) e agenda de recebíveis (contratos).</w:t>
      </w:r>
    </w:p>
    <w:p>
      <w:r>
        <w:br w:type="page"/>
      </w:r>
    </w:p>
    <w:p>
      <w:pPr>
        <w:spacing w:before="300" w:after="120"/>
        <w:pBdr>
          <w:bottom w:val="single" w:sz="6" w:space="4" w:color="D2E2EC"/>
        </w:pBdr>
      </w:pPr>
      <w:r>
        <w:rPr>
          <w:rFonts w:ascii="Calibri" w:hAnsi="Calibri"/>
          <w:b/>
          <w:i w:val="0"/>
          <w:color w:val="1F97B4"/>
          <w:sz w:val="30"/>
        </w:rPr>
        <w:t xml:space="preserve">3  </w:t>
      </w:r>
      <w:r>
        <w:rPr>
          <w:rFonts w:ascii="Calibri" w:hAnsi="Calibri"/>
          <w:b/>
          <w:i w:val="0"/>
          <w:color w:val="003C54"/>
          <w:sz w:val="30"/>
        </w:rPr>
        <w:t>Dados e sistemas acessados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Transparência sobre as fontes. Status real nesta sessão: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456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Sistema</w:t>
            </w:r>
          </w:p>
        </w:tc>
        <w:tc>
          <w:tcPr>
            <w:tcW w:type="dxa" w:w="3456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592"/>
            <w:shd w:val="clear" w:fill="003C54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forneceria ao relatório</w:t>
            </w:r>
          </w:p>
        </w:tc>
      </w:tr>
      <w:tr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Repositório GitHub (rstoi/rstoi)</w:t>
            </w:r>
          </w:p>
        </w:tc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✅ acessado</w:t>
            </w:r>
          </w:p>
        </w:tc>
        <w:tc>
          <w:tcPr>
            <w:tcW w:type="dxa" w:w="259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código, scripts e este relatório</w:t>
            </w:r>
          </w:p>
        </w:tc>
      </w:tr>
      <w:tr>
        <w:tc>
          <w:tcPr>
            <w:tcW w:type="dxa" w:w="345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Google Workspace (Drive/Gmail/Calendar)</w:t>
            </w:r>
          </w:p>
        </w:tc>
        <w:tc>
          <w:tcPr>
            <w:tcW w:type="dxa" w:w="345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conectores disponíveis, NÃO consultados</w:t>
            </w:r>
          </w:p>
        </w:tc>
        <w:tc>
          <w:tcPr>
            <w:tcW w:type="dxa" w:w="259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planilhas/recebíveis, e-mails de cobrança, agenda</w:t>
            </w:r>
          </w:p>
        </w:tc>
      </w:tr>
      <w:tr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WhatsApp Business (MCP)</w:t>
            </w:r>
          </w:p>
        </w:tc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construído, NÃO operacional (rede bloqueada)</w:t>
            </w:r>
          </w:p>
        </w:tc>
        <w:tc>
          <w:tcPr>
            <w:tcW w:type="dxa" w:w="259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cobranças/leads via mensagens</w:t>
            </w:r>
          </w:p>
        </w:tc>
      </w:tr>
      <w:tr>
        <w:tc>
          <w:tcPr>
            <w:tcW w:type="dxa" w:w="345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computer-use (MCP)</w:t>
            </w:r>
          </w:p>
        </w:tc>
        <w:tc>
          <w:tcPr>
            <w:tcW w:type="dxa" w:w="345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✅ operacional no container</w:t>
            </w:r>
          </w:p>
        </w:tc>
        <w:tc>
          <w:tcPr>
            <w:tcW w:type="dxa" w:w="259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operar sistemas legados sem API</w:t>
            </w:r>
          </w:p>
        </w:tc>
      </w:tr>
      <w:tr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Sistema de Contratos (interno)</w:t>
            </w:r>
          </w:p>
        </w:tc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NÃO conectado</w:t>
            </w:r>
          </w:p>
        </w:tc>
        <w:tc>
          <w:tcPr>
            <w:tcW w:type="dxa" w:w="259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MRR, recebíveis, renovações</w:t>
            </w:r>
          </w:p>
        </w:tc>
      </w:tr>
      <w:tr>
        <w:tc>
          <w:tcPr>
            <w:tcW w:type="dxa" w:w="345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Sistema Comercial (interno)</w:t>
            </w:r>
          </w:p>
        </w:tc>
        <w:tc>
          <w:tcPr>
            <w:tcW w:type="dxa" w:w="3456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NÃO conectado</w:t>
            </w:r>
          </w:p>
        </w:tc>
        <w:tc>
          <w:tcPr>
            <w:tcW w:type="dxa" w:w="2592"/>
            <w:shd w:val="clear" w:fill="F1F4F6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pipeline → forecast de receita</w:t>
            </w:r>
          </w:p>
        </w:tc>
      </w:tr>
      <w:tr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0"/>
              </w:rPr>
              <w:t>ERP / Financeiro</w:t>
            </w:r>
          </w:p>
        </w:tc>
        <w:tc>
          <w:tcPr>
            <w:tcW w:type="dxa" w:w="3456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NÃO conectado</w:t>
            </w:r>
          </w:p>
        </w:tc>
        <w:tc>
          <w:tcPr>
            <w:tcW w:type="dxa" w:w="2592"/>
            <w:shd w:val="clear" w:fill="FFFFFF"/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0"/>
              </w:rPr>
              <w:t>caixa, contas a pagar/receber, DRE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FBEFD6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2"/>
              </w:rPr>
              <w:t xml:space="preserve">Conclusão honesta:  </w:t>
            </w:r>
            <w:r>
              <w:rPr>
                <w:rFonts w:ascii="Calibri" w:hAnsi="Calibri"/>
                <w:b w:val="0"/>
                <w:i w:val="0"/>
                <w:color w:val="212B36"/>
                <w:sz w:val="22"/>
              </w:rPr>
              <w:t>nenhuma fonte financeira real foi consultada nesta geração — por isso os números das seções 1 e 2 são ilustrativos. Conectados os sistemas acima, o relatório passa a refletir dados reais.</w:t>
            </w:r>
          </w:p>
        </w:tc>
      </w:tr>
    </w:tbl>
    <w:p>
      <w:pPr>
        <w:spacing w:before="300" w:after="120"/>
        <w:pBdr>
          <w:bottom w:val="single" w:sz="6" w:space="4" w:color="D2E2EC"/>
        </w:pBdr>
      </w:pPr>
      <w:r>
        <w:rPr>
          <w:rFonts w:ascii="Calibri" w:hAnsi="Calibri"/>
          <w:b/>
          <w:i w:val="0"/>
          <w:color w:val="1F97B4"/>
          <w:sz w:val="30"/>
        </w:rPr>
        <w:t xml:space="preserve">4  </w:t>
      </w:r>
      <w:r>
        <w:rPr>
          <w:rFonts w:ascii="Calibri" w:hAnsi="Calibri"/>
          <w:b/>
          <w:i w:val="0"/>
          <w:color w:val="003C54"/>
          <w:sz w:val="30"/>
        </w:rPr>
        <w:t>Estrutura criada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O que de fato foi construído e versionado no repositório (base para automatizar este relatório):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MCP WhatsApp Business — </w:t>
      </w:r>
      <w:r>
        <w:rPr>
          <w:rFonts w:ascii="Calibri" w:hAnsi="Calibri"/>
          <w:b w:val="0"/>
          <w:i w:val="0"/>
          <w:color w:val="212B36"/>
          <w:sz w:val="22"/>
        </w:rPr>
        <w:t>29 ferramentas (mensagens, grupos, contatos, mídia) + guardrail de grupos bloqueados.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Agente /setup — </w:t>
      </w:r>
      <w:r>
        <w:rPr>
          <w:rFonts w:ascii="Calibri" w:hAnsi="Calibri"/>
          <w:b w:val="0"/>
          <w:i w:val="0"/>
          <w:color w:val="212B36"/>
          <w:sz w:val="22"/>
        </w:rPr>
        <w:t>operações por mensagem, autorização por participação em grupo (deny por padrão).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MCP computer-use — </w:t>
      </w:r>
      <w:r>
        <w:rPr>
          <w:rFonts w:ascii="Calibri" w:hAnsi="Calibri"/>
          <w:b w:val="0"/>
          <w:i w:val="0"/>
          <w:color w:val="212B36"/>
          <w:sz w:val="22"/>
        </w:rPr>
        <w:t>16 ferramentas (tela, mouse, teclado, run_command) para operar sistemas sem API.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Conectores Google Workspace — </w:t>
      </w:r>
      <w:r>
        <w:rPr>
          <w:rFonts w:ascii="Calibri" w:hAnsi="Calibri"/>
          <w:b w:val="0"/>
          <w:i w:val="0"/>
          <w:color w:val="212B36"/>
          <w:sz w:val="22"/>
        </w:rPr>
        <w:t>Gmail, Calendar e Drive disponíveis via MCP.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Resiliência (SessionStart hook) — </w:t>
      </w:r>
      <w:r>
        <w:rPr>
          <w:rFonts w:ascii="Calibri" w:hAnsi="Calibri"/>
          <w:b w:val="0"/>
          <w:i w:val="0"/>
          <w:color w:val="212B36"/>
          <w:sz w:val="22"/>
        </w:rPr>
        <w:t>reconstrói o ambiente a cada sessão (npm/pip/Chromium).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Documentação executiva — </w:t>
      </w:r>
      <w:r>
        <w:rPr>
          <w:rFonts w:ascii="Calibri" w:hAnsi="Calibri"/>
          <w:b w:val="0"/>
          <w:i w:val="0"/>
          <w:color w:val="212B36"/>
          <w:sz w:val="22"/>
        </w:rPr>
        <w:t>documento, deck e PDFs com a identidade da marca + scripts reprodutíveis.</w:t>
      </w:r>
    </w:p>
    <w:p>
      <w:pPr>
        <w:spacing w:before="300" w:after="120"/>
        <w:pBdr>
          <w:bottom w:val="single" w:sz="6" w:space="4" w:color="D2E2EC"/>
        </w:pBdr>
      </w:pPr>
      <w:r>
        <w:rPr>
          <w:rFonts w:ascii="Calibri" w:hAnsi="Calibri"/>
          <w:b/>
          <w:i w:val="0"/>
          <w:color w:val="1F97B4"/>
          <w:sz w:val="30"/>
        </w:rPr>
        <w:t xml:space="preserve">5  </w:t>
      </w:r>
      <w:r>
        <w:rPr>
          <w:rFonts w:ascii="Calibri" w:hAnsi="Calibri"/>
          <w:b/>
          <w:i w:val="0"/>
          <w:color w:val="003C54"/>
          <w:sz w:val="30"/>
        </w:rPr>
        <w:t>Passos para a criação da estrutura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1 — Documento e identidade: </w:t>
      </w:r>
      <w:r>
        <w:rPr>
          <w:rFonts w:ascii="Calibri" w:hAnsi="Calibri"/>
          <w:b w:val="0"/>
          <w:i w:val="0"/>
          <w:color w:val="212B36"/>
          <w:sz w:val="22"/>
        </w:rPr>
        <w:t>relatório/deck executivos e extração da paleta + logo da marca.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2 — Resiliência: </w:t>
      </w:r>
      <w:r>
        <w:rPr>
          <w:rFonts w:ascii="Calibri" w:hAnsi="Calibri"/>
          <w:b w:val="0"/>
          <w:i w:val="0"/>
          <w:color w:val="212B36"/>
          <w:sz w:val="22"/>
        </w:rPr>
        <w:t>SessionStart hook para reinstalar dependências a cada reboot.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3 — Guardrail: </w:t>
      </w:r>
      <w:r>
        <w:rPr>
          <w:rFonts w:ascii="Calibri" w:hAnsi="Calibri"/>
          <w:b w:val="0"/>
          <w:i w:val="0"/>
          <w:color w:val="212B36"/>
          <w:sz w:val="22"/>
        </w:rPr>
        <w:t>WA_BLOCKED_GROUPS para nunca monitorar/interagir com o grupo financasfacil.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4 — Ativação do MCP: </w:t>
      </w:r>
      <w:r>
        <w:rPr>
          <w:rFonts w:ascii="Calibri" w:hAnsi="Calibri"/>
          <w:b w:val="0"/>
          <w:i w:val="0"/>
          <w:color w:val="212B36"/>
          <w:sz w:val="22"/>
        </w:rPr>
        <w:t>habilitar o servidor de WhatsApp + smoke test funcional (round-trip).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5 — Agente seguro: </w:t>
      </w:r>
      <w:r>
        <w:rPr>
          <w:rFonts w:ascii="Calibri" w:hAnsi="Calibri"/>
          <w:b w:val="0"/>
          <w:i w:val="0"/>
          <w:color w:val="212B36"/>
          <w:sz w:val="22"/>
        </w:rPr>
        <w:t>escopo de grupos (financeiro setup, projetos setup) + autorização por membro.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6 — Bootstrap de rede: </w:t>
      </w:r>
      <w:r>
        <w:rPr>
          <w:rFonts w:ascii="Calibri" w:hAnsi="Calibri"/>
          <w:b w:val="0"/>
          <w:i w:val="0"/>
          <w:color w:val="212B36"/>
          <w:sz w:val="22"/>
        </w:rPr>
        <w:t>script que valida o egresso e conduz connect/agent após liberação.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Passo 7 — Consolidação: </w:t>
      </w:r>
      <w:r>
        <w:rPr>
          <w:rFonts w:ascii="Calibri" w:hAnsi="Calibri"/>
          <w:b w:val="0"/>
          <w:i w:val="0"/>
          <w:color w:val="212B36"/>
          <w:sz w:val="22"/>
        </w:rPr>
        <w:t>merge do PR #1 no branch padrão; tudo testado (48/48).</w:t>
      </w:r>
    </w:p>
    <w:p>
      <w:pPr>
        <w:spacing w:before="300" w:after="120"/>
        <w:pBdr>
          <w:bottom w:val="single" w:sz="6" w:space="4" w:color="D2E2EC"/>
        </w:pBdr>
      </w:pPr>
      <w:r>
        <w:rPr>
          <w:rFonts w:ascii="Calibri" w:hAnsi="Calibri"/>
          <w:b/>
          <w:i w:val="0"/>
          <w:color w:val="1F97B4"/>
          <w:sz w:val="30"/>
        </w:rPr>
        <w:t xml:space="preserve">6  </w:t>
      </w:r>
      <w:r>
        <w:rPr>
          <w:rFonts w:ascii="Calibri" w:hAnsi="Calibri"/>
          <w:b/>
          <w:i w:val="0"/>
          <w:color w:val="003C54"/>
          <w:sz w:val="30"/>
        </w:rPr>
        <w:t>Complementos e próximos passos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Para transformar este modelo em relatório com dados reais: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Conectar fontes — </w:t>
      </w:r>
      <w:r>
        <w:rPr>
          <w:rFonts w:ascii="Calibri" w:hAnsi="Calibri"/>
          <w:b w:val="0"/>
          <w:i w:val="0"/>
          <w:color w:val="212B36"/>
          <w:sz w:val="22"/>
        </w:rPr>
        <w:t>ERP/financeiro (caixa, contas), Contratos (MRR/recebíveis), Comercial (pipeline→forecast).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Automatizar a coleta — </w:t>
      </w:r>
      <w:r>
        <w:rPr>
          <w:rFonts w:ascii="Calibri" w:hAnsi="Calibri"/>
          <w:b w:val="0"/>
          <w:i w:val="0"/>
          <w:color w:val="212B36"/>
          <w:sz w:val="22"/>
        </w:rPr>
        <w:t>agente lê as planilhas/relatórios no Drive ou via API e preenche as tabelas.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Atualização periódica — </w:t>
      </w:r>
      <w:r>
        <w:rPr>
          <w:rFonts w:ascii="Calibri" w:hAnsi="Calibri"/>
          <w:b w:val="0"/>
          <w:i w:val="0"/>
          <w:color w:val="212B36"/>
          <w:sz w:val="22"/>
        </w:rPr>
        <w:t>gerar o .docx semanalmente/mensalmente por script (como este).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Indicadores a acompanhar — </w:t>
      </w:r>
      <w:r>
        <w:rPr>
          <w:rFonts w:ascii="Calibri" w:hAnsi="Calibri"/>
          <w:b w:val="0"/>
          <w:i w:val="0"/>
          <w:color w:val="212B36"/>
          <w:sz w:val="22"/>
        </w:rPr>
        <w:t>MRR, churn, runway (meses de caixa), DSO (prazo médio de recebimento), margem.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03C54"/>
          <w:sz w:val="22"/>
        </w:rPr>
        <w:t xml:space="preserve">Controles — </w:t>
      </w:r>
      <w:r>
        <w:rPr>
          <w:rFonts w:ascii="Calibri" w:hAnsi="Calibri"/>
          <w:b w:val="0"/>
          <w:i w:val="0"/>
          <w:color w:val="212B36"/>
          <w:sz w:val="22"/>
        </w:rPr>
        <w:t>fonte e data de cada número no rodapé; aprovação humana antes de divulgar.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E4EEF4"/>
            <w:tcMar>
              <w:top w:w="130" w:type="dxa"/>
              <w:bottom w:w="130" w:type="dxa"/>
              <w:start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3C54"/>
                <w:sz w:val="22"/>
              </w:rPr>
              <w:t xml:space="preserve">Como gerar com dados reais:  </w:t>
            </w:r>
            <w:r>
              <w:rPr>
                <w:rFonts w:ascii="Calibri" w:hAnsi="Calibri"/>
                <w:b w:val="0"/>
                <w:i w:val="0"/>
                <w:color w:val="212B36"/>
                <w:sz w:val="22"/>
              </w:rPr>
              <w:t>substitua as listas de valores no topo de docs/build_relatorio_financeiro.py (ou aponte o script para a fonte de dados) e rode novamente — o layout e os gráficos se atualizam sozinhos.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470263" cy="1463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tup_logo@h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0263" cy="14630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 w:val="0"/>
        <w:i w:val="0"/>
        <w:color w:val="5E6A72"/>
        <w:sz w:val="16"/>
      </w:rPr>
      <w:t>setup.com.br · Relatório Financeiro (MODELO) · valores ilustrativos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