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DDI</w:t>
      </w:r>
      <w:r>
        <w:t xml:space="preserve"> </w:t>
      </w:r>
      <w:r>
        <w:t xml:space="preserve">precipitant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  <w:r>
        <w:t xml:space="preserve"> </w:t>
      </w:r>
      <w:r>
        <w:t xml:space="preserve">for</w:t>
      </w:r>
      <w:r>
        <w:t xml:space="preserve"> </w:t>
      </w:r>
      <w:r>
        <w:t xml:space="preserve">examplinib</w:t>
      </w:r>
      <w:r>
        <w:t xml:space="preserve"> </w:t>
      </w:r>
      <w:r>
        <w:t xml:space="preserve">and</w:t>
      </w:r>
      <w:r>
        <w:t xml:space="preserve"> </w:t>
      </w:r>
      <w:r>
        <w:t xml:space="preserve">M1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11-Nov-2024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drug-drug interaction (DDI) precipitant risks assessment report for</w:t>
      </w:r>
      <w:r>
        <w:t xml:space="preserve"> </w:t>
      </w:r>
      <w:r>
        <w:t xml:space="preserve">examplinib and M1 is based on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.</w:t>
      </w:r>
    </w:p>
    <w:p>
      <w:pPr>
        <w:pStyle w:val="BodyText"/>
      </w:pPr>
      <w:r>
        <w:t xml:space="preserve">All calculations were done using the</w:t>
      </w:r>
      <w:r>
        <w:t xml:space="preserve"> </w:t>
      </w:r>
      <w:hyperlink r:id="rId21">
        <w:r>
          <w:rPr>
            <w:rStyle w:val="VerbatimChar"/>
          </w:rPr>
          <w:t xml:space="preserve">ddir</w:t>
        </w:r>
      </w:hyperlink>
      <w:r>
        <w:t xml:space="preserve"> </w:t>
      </w:r>
      <w:r>
        <w:t xml:space="preserve">package, version 0.15.2.</w:t>
      </w:r>
    </w:p>
    <w:bookmarkEnd w:id="22"/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DDI precipitant potential for examplinib and M1 was</w:t>
      </w:r>
      <w:r>
        <w:t xml:space="preserve"> </w:t>
      </w:r>
      <w:r>
        <w:t xml:space="preserve">investigated for the clinical dose of 450 mg:</w:t>
      </w:r>
    </w:p>
    <w:p>
      <w:pPr>
        <w:pStyle w:val="Compact"/>
        <w:numPr>
          <w:ilvl w:val="0"/>
          <w:numId w:val="1001"/>
        </w:numPr>
      </w:pPr>
      <w:r>
        <w:t xml:space="preserve">using basic modeling, examplinib has a clinical risk for direct inhibition of CYP2C9 and CYP2C19</w:t>
      </w:r>
    </w:p>
    <w:p>
      <w:pPr>
        <w:pStyle w:val="Compact"/>
        <w:numPr>
          <w:ilvl w:val="0"/>
          <w:numId w:val="1001"/>
        </w:numPr>
      </w:pPr>
      <w:r>
        <w:t xml:space="preserve">examplinib has a clinical risk for time-dependent inhibition of CYP3A4</w:t>
      </w:r>
    </w:p>
    <w:p>
      <w:pPr>
        <w:pStyle w:val="Compact"/>
        <w:numPr>
          <w:ilvl w:val="0"/>
          <w:numId w:val="1001"/>
        </w:numPr>
      </w:pPr>
      <w:r>
        <w:t xml:space="preserve">examplinib has a clinical risk for induction of CYP3A4 (fold-change method)</w:t>
      </w:r>
    </w:p>
    <w:p>
      <w:pPr>
        <w:pStyle w:val="Compact"/>
        <w:numPr>
          <w:ilvl w:val="0"/>
          <w:numId w:val="1001"/>
        </w:numPr>
      </w:pPr>
      <w:r>
        <w:t xml:space="preserve">examplinib has a clinical risk for induction of CYP3A4 (basic kinetic method)</w:t>
      </w:r>
    </w:p>
    <w:p>
      <w:pPr>
        <w:pStyle w:val="Compact"/>
        <w:numPr>
          <w:ilvl w:val="0"/>
          <w:numId w:val="1001"/>
        </w:numPr>
      </w:pPr>
      <w:r>
        <w:t xml:space="preserve">M1 has a clinical risk for induction of CYP2B6 and CYP3A4 (fold-change method)</w:t>
      </w:r>
    </w:p>
    <w:p>
      <w:pPr>
        <w:pStyle w:val="Compact"/>
        <w:numPr>
          <w:ilvl w:val="0"/>
          <w:numId w:val="1001"/>
        </w:numPr>
      </w:pPr>
      <w:r>
        <w:t xml:space="preserve">M1 has a clinical risk for induction of CYP2B6 and CYP3A4 (basic kinetic method)</w:t>
      </w:r>
    </w:p>
    <w:p>
      <w:pPr>
        <w:pStyle w:val="Compact"/>
        <w:numPr>
          <w:ilvl w:val="0"/>
          <w:numId w:val="1001"/>
        </w:numPr>
      </w:pPr>
      <w:r>
        <w:t xml:space="preserve">based on mechanistic-static modeling (S-warfarin and omeprazole), examplinib has a clinical risk for inhibition of CYP2C9 and CYP2C19</w:t>
      </w:r>
    </w:p>
    <w:p>
      <w:pPr>
        <w:pStyle w:val="Compact"/>
        <w:numPr>
          <w:ilvl w:val="0"/>
          <w:numId w:val="1001"/>
        </w:numPr>
      </w:pPr>
      <w:r>
        <w:t xml:space="preserve">based on mechanistic-static modeling (midazolam), examplinib has a clinical risk for induction of CYP3A4</w:t>
      </w:r>
    </w:p>
    <w:p>
      <w:pPr>
        <w:pStyle w:val="Compact"/>
        <w:numPr>
          <w:ilvl w:val="0"/>
          <w:numId w:val="1001"/>
        </w:numPr>
      </w:pPr>
      <w:r>
        <w:t xml:space="preserve">examplinib has a clinical risk for inhibition of UGT1A1, UGT1A3, UGT1A4, UGT1A6, UGT1A9, UGT2B7, UGT2B15 and UGT2B17</w:t>
      </w:r>
    </w:p>
    <w:p>
      <w:pPr>
        <w:pStyle w:val="Compact"/>
        <w:numPr>
          <w:ilvl w:val="0"/>
          <w:numId w:val="1001"/>
        </w:numPr>
      </w:pPr>
      <w:r>
        <w:t xml:space="preserve">M1 has a clinical risk for inhibition of UGT1A1</w:t>
      </w:r>
    </w:p>
    <w:p>
      <w:pPr>
        <w:pStyle w:val="Compact"/>
        <w:numPr>
          <w:ilvl w:val="0"/>
          <w:numId w:val="1001"/>
        </w:numPr>
      </w:pPr>
      <w:r>
        <w:t xml:space="preserve">examplinib has a clinical risk for inhibition of P-gp (intestinal), P-gp (hepatic), BCRP (intestinal), BCRP (hepatic), MATE1 and MATE2k</w:t>
      </w:r>
    </w:p>
    <w:bookmarkEnd w:id="23"/>
    <w:bookmarkStart w:id="24" w:name="drug-properties"/>
    <w:p>
      <w:pPr>
        <w:pStyle w:val="Heading1"/>
      </w:pPr>
      <w:r>
        <w:t xml:space="preserve">Drug properties</w:t>
      </w:r>
    </w:p>
    <w:p>
      <w:pPr>
        <w:pStyle w:val="FirstParagraph"/>
      </w:pPr>
      <w:r>
        <w:t xml:space="preserve">The following physico-chemical, ADME and clinical exposure data were used for</w:t>
      </w:r>
      <w:r>
        <w:t xml:space="preserve"> </w:t>
      </w:r>
      <w:r>
        <w:t xml:space="preserve">the calculation of the relevant precipitant drug concentrations:</w:t>
      </w:r>
    </w:p>
    <w:p>
      <w:pPr>
        <w:pStyle w:val="TableCaption"/>
      </w:pPr>
      <w:r>
        <w:t xml:space="preserve">Compound parameters for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ound parameters for examplinib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W</m:t>
              </m:r>
            </m:oMath>
            <w:r>
              <w:t xml:space="preserve"> </w:t>
            </w:r>
            <w:r>
              <w:t xml:space="preserve">(g/mol)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492.6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  <m:r>
                <m:t>o</m:t>
              </m:r>
              <m:r>
                <m:t>s</m:t>
              </m:r>
              <m:r>
                <m:t>e</m:t>
              </m:r>
            </m:oMath>
            <w:r>
              <w:t xml:space="preserve"> </w:t>
            </w:r>
            <w:r>
              <w:t xml:space="preserve">(mg)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clinical dose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</m:oMath>
            <w:r>
              <w:t xml:space="preserve"> </w:t>
            </w:r>
            <w:r>
              <w:t xml:space="preserve">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(1/min)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  <m:r>
                <m:t>o</m:t>
              </m:r>
              <m:r>
                <m:t>l</m:t>
              </m:r>
              <m:r>
                <m:t>u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</m:oMath>
            <w:r>
              <w:t xml:space="preserve"> </w:t>
            </w:r>
            <w:r>
              <w:t xml:space="preserve">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</w:tbl>
    <w:p/>
    <w:p>
      <w:pPr>
        <w:pStyle w:val="TableCaption"/>
      </w:pPr>
      <w:r>
        <w:t xml:space="preserve">Compound parameters for M1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ound parameters for M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W</m:t>
              </m:r>
            </m:oMath>
            <w:r>
              <w:t xml:space="preserve"> </w:t>
            </w:r>
            <w:r>
              <w:t xml:space="preserve">(g/mol)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  <m:r>
                <m:t>o</m:t>
              </m:r>
              <m:r>
                <m:t>s</m:t>
              </m:r>
              <m:r>
                <m:t>e</m:t>
              </m:r>
            </m:oMath>
            <w:r>
              <w:t xml:space="preserve"> </w:t>
            </w:r>
            <w:r>
              <w:t xml:space="preserve">(mg)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</m:oMath>
            <w:r>
              <w:t xml:space="preserve"> </w:t>
            </w:r>
            <w:r>
              <w:t xml:space="preserve">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m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s</m:t>
              </m:r>
              <m:r>
                <m:t>o</m:t>
              </m:r>
              <m:r>
                <m:t>l</m:t>
              </m:r>
              <m:r>
                <m:t>u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</m:oMath>
            <w:r>
              <w:t xml:space="preserve"> </w:t>
            </w:r>
            <w:r>
              <w:t xml:space="preserve">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</w:tbl>
    <w:bookmarkEnd w:id="24"/>
    <w:bookmarkStart w:id="25" w:name="key-perpetrator-concentrations"/>
    <w:p>
      <w:pPr>
        <w:pStyle w:val="Heading1"/>
      </w:pPr>
      <w:r>
        <w:t xml:space="preserve">Key perpetrator concentrations</w:t>
      </w:r>
    </w:p>
    <w:p>
      <w:pPr>
        <w:pStyle w:val="FirstParagraph"/>
      </w:pPr>
      <w:r>
        <w:t xml:space="preserve">The following perpetrator concentrations were calculated as described in</w:t>
      </w:r>
      <w:r>
        <w:t xml:space="preserve"> </w:t>
      </w:r>
      <w:r>
        <w:t xml:space="preserve">Appendix 1:</w:t>
      </w:r>
    </w:p>
    <w:p>
      <w:pPr>
        <w:pStyle w:val="TableCaption"/>
      </w:pPr>
      <w:r>
        <w:t xml:space="preserve">Key perpetrator concentrations for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petrator concentrations for examplinib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(uM)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1800000.0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3654.080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3244.1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6.586</w:t>
            </w:r>
          </w:p>
        </w:tc>
      </w:tr>
    </w:tbl>
    <w:p/>
    <w:p>
      <w:pPr>
        <w:pStyle w:val="TableCaption"/>
      </w:pPr>
      <w:r>
        <w:t xml:space="preserve">Key perpetrator concentrations for M1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petrator concentrations for M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(ng/ml)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(uM)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0.0246</w:t>
            </w:r>
          </w:p>
        </w:tc>
      </w:tr>
    </w:tbl>
    <w:bookmarkEnd w:id="25"/>
    <w:bookmarkStart w:id="37" w:name="X52f3806eb25b6c3803898fae0a615b1ac7dced2"/>
    <w:p>
      <w:pPr>
        <w:pStyle w:val="Heading1"/>
      </w:pPr>
      <w:r>
        <w:t xml:space="preserve">DDI risk as inhibitor or inducer of drug-metabolizing enzymes</w:t>
      </w:r>
    </w:p>
    <w:bookmarkStart w:id="28" w:name="basic-modeling-of-cyp-inhibition"/>
    <w:p>
      <w:pPr>
        <w:pStyle w:val="Heading2"/>
      </w:pPr>
      <w:r>
        <w:t xml:space="preserve">Basic modeling of CYP inhibition</w:t>
      </w:r>
    </w:p>
    <w:bookmarkStart w:id="26" w:name="reversible-inhibition"/>
    <w:p>
      <w:pPr>
        <w:pStyle w:val="Heading3"/>
      </w:pPr>
      <w:r>
        <w:t xml:space="preserve">Reversible inhibition</w:t>
      </w:r>
    </w:p>
    <w:p>
      <w:pPr>
        <w:pStyle w:val="FirstParagraph"/>
      </w:pPr>
      <w:r>
        <w:t xml:space="preserve">Following the basic modeling approach (refer to Section 2.1.2.1 of the</w:t>
      </w:r>
      <w:r>
        <w:t xml:space="preserve"> </w:t>
      </w:r>
      <w:hyperlink r:id="rId20">
        <w:r>
          <w:rPr>
            <w:rStyle w:val="Hyperlink"/>
          </w:rPr>
          <w:t xml:space="preserve">ICH M12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</w:t>
        </w:r>
      </w:hyperlink>
      <w:r>
        <w:t xml:space="preserve">),</w:t>
      </w:r>
      <w:r>
        <w:t xml:space="preserve"> </w:t>
      </w:r>
      <w:r>
        <w:t xml:space="preserve">the relevant metric for the assessment of the direct CYP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with the inhibitor concentration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being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for hepatic CYP enzymes and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  <m:r>
              <m:t>u</m:t>
            </m:r>
            <m:r>
              <m:t>t</m:t>
            </m:r>
          </m:sub>
        </m:sSub>
      </m:oMath>
      <w:r>
        <w:t xml:space="preserve"> </w:t>
      </w:r>
      <w:r>
        <w:t xml:space="preserve">for intestinal CYP enzymes.</w:t>
      </w:r>
    </w:p>
    <w:p>
      <w:pPr>
        <w:pStyle w:val="BodyText"/>
      </w:pPr>
      <w:r>
        <w:t xml:space="preserve">R values of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0.02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10</m:t>
        </m:r>
      </m:oMath>
      <w:r>
        <w:t xml:space="preserve"> </w:t>
      </w:r>
      <w:r>
        <w:t xml:space="preserve">for hepatic and intestinal enzymes are</w:t>
      </w:r>
      <w:r>
        <w:t xml:space="preserve"> </w:t>
      </w:r>
      <w:r>
        <w:t xml:space="preserve">considered to indicate a potential clinical risk.</w:t>
      </w:r>
    </w:p>
    <w:p>
      <w:pPr>
        <w:pStyle w:val="TableCaption"/>
      </w:pPr>
      <w:r>
        <w:t xml:space="preserve">Risk for direct CYP inhibition by examplinib,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direct CYP inhibition by examplinib, basic model"/>
      </w:tblPr>
      <w:tblGrid>
        <w:gridCol w:w="666"/>
        <w:gridCol w:w="1500"/>
        <w:gridCol w:w="1667"/>
        <w:gridCol w:w="500"/>
        <w:gridCol w:w="1250"/>
        <w:gridCol w:w="833"/>
        <w:gridCol w:w="15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(hepatic)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(intestinal)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direct CYP inhibition by M1,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direct CYP inhibition by M1, basic model"/>
      </w:tblPr>
      <w:tblGrid>
        <w:gridCol w:w="589"/>
        <w:gridCol w:w="1516"/>
        <w:gridCol w:w="1685"/>
        <w:gridCol w:w="505"/>
        <w:gridCol w:w="1263"/>
        <w:gridCol w:w="842"/>
        <w:gridCol w:w="15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(hepatic)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 (intestinal)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time-dependent-inhibition"/>
    <w:p>
      <w:pPr>
        <w:pStyle w:val="Heading3"/>
      </w:pPr>
      <w:r>
        <w:t xml:space="preserve">Time-dependent inhibition</w:t>
      </w:r>
    </w:p>
    <w:p>
      <w:pPr>
        <w:pStyle w:val="FirstParagraph"/>
      </w:pPr>
      <w:r>
        <w:t xml:space="preserve">The risk for time-dependent inhibition (TDI) of CYP enzymes is assessed based on</w:t>
      </w:r>
      <w:r>
        <w:t xml:space="preserve"> </w:t>
      </w:r>
      <w:r>
        <w:t xml:space="preserve">the formula given in Section</w:t>
      </w:r>
      <w:r>
        <w:t xml:space="preserve"> </w:t>
      </w:r>
      <w:r>
        <w:t xml:space="preserve">‘</w:t>
      </w:r>
      <w:hyperlink w:anchor="time-dependent-cyp-inhibition">
        <w:r>
          <w:rPr>
            <w:rStyle w:val="Hyperlink"/>
          </w:rPr>
          <w:t xml:space="preserve">Time-dependent CYP inhibition</w:t>
        </w:r>
      </w:hyperlink>
      <w:r>
        <w:t xml:space="preserve">’</w:t>
      </w:r>
      <w:r>
        <w:t xml:space="preserve"> </w:t>
      </w:r>
      <w:r>
        <w:t xml:space="preserve">in Appendix 1,</w:t>
      </w:r>
      <w:r>
        <w:t xml:space="preserve"> </w:t>
      </w:r>
      <w:r>
        <w:t xml:space="preserve">where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1.25</m:t>
        </m:r>
      </m:oMath>
      <w:r>
        <w:t xml:space="preserve"> </w:t>
      </w:r>
      <w:r>
        <w:t xml:space="preserve">suggest a clinically relevant DDI potential that requires</w:t>
      </w:r>
      <w:r>
        <w:t xml:space="preserve"> </w:t>
      </w:r>
      <w:r>
        <w:t xml:space="preserve">further investigation (refer to Section 2.1.2.2 of the</w:t>
      </w:r>
      <w:r>
        <w:t xml:space="preserve"> </w:t>
      </w:r>
      <w:hyperlink r:id="rId20">
        <w:r>
          <w:rPr>
            <w:rStyle w:val="Hyperlink"/>
          </w:rPr>
          <w:t xml:space="preserve">ICH M12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</w:t>
        </w:r>
      </w:hyperlink>
      <w:r>
        <w:t xml:space="preserve">).</w:t>
      </w:r>
    </w:p>
    <w:p>
      <w:pPr>
        <w:pStyle w:val="TableCaption"/>
      </w:pPr>
      <w:r>
        <w:t xml:space="preserve">Risk for CYP TDI by examplinib, basic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CYP TDI by examplinib, basic model"/>
      </w:tblPr>
      <w:tblGrid>
        <w:gridCol w:w="652"/>
        <w:gridCol w:w="1677"/>
        <w:gridCol w:w="559"/>
        <w:gridCol w:w="1677"/>
        <w:gridCol w:w="1490"/>
        <w:gridCol w:w="931"/>
        <w:gridCol w:w="465"/>
        <w:gridCol w:w="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(1/h)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oMath>
            <w:r>
              <w:t xml:space="preserve"> </w:t>
            </w:r>
            <w:r>
              <w:t xml:space="preserve">(1/h)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27"/>
    <w:bookmarkEnd w:id="28"/>
    <w:bookmarkStart w:id="31" w:name="modeling-of-cyp-induction"/>
    <w:p>
      <w:pPr>
        <w:pStyle w:val="Heading2"/>
      </w:pPr>
      <w:r>
        <w:t xml:space="preserve">Modeling of CYP induction</w:t>
      </w:r>
    </w:p>
    <w:bookmarkStart w:id="29" w:name="basic-mrna-fold-change-method"/>
    <w:p>
      <w:pPr>
        <w:pStyle w:val="Heading3"/>
      </w:pPr>
      <w:r>
        <w:t xml:space="preserve">Basic mRNA</w:t>
      </w:r>
      <w:r>
        <w:t xml:space="preserve"> </w:t>
      </w:r>
      <w:r>
        <w:t xml:space="preserve">‘</w:t>
      </w:r>
      <w:r>
        <w:t xml:space="preserve">fold-change</w:t>
      </w:r>
      <w:r>
        <w:t xml:space="preserve">’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The basic mRNA</w:t>
      </w:r>
      <w:r>
        <w:t xml:space="preserve"> </w:t>
      </w:r>
      <w:r>
        <w:t xml:space="preserve">‘</w:t>
      </w:r>
      <w:r>
        <w:t xml:space="preserve">fold-change</w:t>
      </w:r>
      <w:r>
        <w:t xml:space="preserve">’</w:t>
      </w:r>
      <w:r>
        <w:t xml:space="preserve"> </w:t>
      </w:r>
      <w:r>
        <w:t xml:space="preserve">approach evaluates whether the maximal change in</w:t>
      </w:r>
      <w:r>
        <w:t xml:space="preserve"> </w:t>
      </w:r>
      <w:r>
        <w:t xml:space="preserve">CYP mRNA expression is</w:t>
      </w:r>
      <w:r>
        <w:t xml:space="preserve"> </w:t>
      </w:r>
      <m:oMath>
        <m:r>
          <m:rPr>
            <m:sty m:val="p"/>
          </m:rPr>
          <m:t>≥</m:t>
        </m:r>
        <m:r>
          <m:t>2</m:t>
        </m:r>
        <m:r>
          <m:rPr>
            <m:sty m:val="p"/>
          </m:rPr>
          <m:t>−</m:t>
        </m:r>
        <m:r>
          <m:t>f</m:t>
        </m:r>
        <m:r>
          <m:t>o</m:t>
        </m:r>
        <m:r>
          <m:t>l</m:t>
        </m:r>
        <m:r>
          <m:t>d</m:t>
        </m:r>
      </m:oMath>
      <w:r>
        <w:t xml:space="preserve"> </w:t>
      </w:r>
      <w:r>
        <w:t xml:space="preserve">at concentrations up to 50-fold above the</w:t>
      </w:r>
      <w:r>
        <w:t xml:space="preserve"> </w:t>
      </w:r>
      <w:r>
        <w:t xml:space="preserve">expected unbound systemic concentration of the drug (refer to Section 2.1.4.1 of</w:t>
      </w:r>
      <w:r>
        <w:t xml:space="preserve"> </w:t>
      </w: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ICH M12 guideline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  <w:r>
        <w:t xml:space="preserve">).</w:t>
      </w:r>
    </w:p>
    <w:p>
      <w:pPr>
        <w:pStyle w:val="BodyText"/>
      </w:pPr>
      <w:r>
        <w:t xml:space="preserve">Basic modeling as per the ICH M12 guideline results in the following risk</w:t>
      </w:r>
      <w:r>
        <w:t xml:space="preserve"> </w:t>
      </w:r>
      <w:r>
        <w:t xml:space="preserve">assessment. Data from studies that did not cover exposures up to 50-fold over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are flagged in the below table.</w:t>
      </w:r>
    </w:p>
    <w:p>
      <w:pPr>
        <w:pStyle w:val="TableCaption"/>
      </w:pPr>
      <w:r>
        <w:t xml:space="preserve">Risk for hepatic CYP induction by examplinib, basic static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hepatic CYP induction by examplinib, basic static model"/>
      </w:tblPr>
      <w:tblGrid>
        <w:gridCol w:w="693"/>
        <w:gridCol w:w="990"/>
        <w:gridCol w:w="1782"/>
        <w:gridCol w:w="990"/>
        <w:gridCol w:w="2079"/>
        <w:gridCol w:w="495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  <m:r>
                <m:rPr>
                  <m:sty m:val="p"/>
                </m:rPr>
                <m:t>/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maxc</w:t>
            </w:r>
          </w:p>
        </w:tc>
      </w:tr>
    </w:tbl>
    <w:p/>
    <w:p>
      <w:pPr>
        <w:pStyle w:val="TableCaption"/>
      </w:pPr>
      <w:r>
        <w:t xml:space="preserve">Risk for hepatic CYP induction by M1, basic static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for hepatic CYP induction by M1, basic static model"/>
      </w:tblPr>
      <w:tblGrid>
        <w:gridCol w:w="720"/>
        <w:gridCol w:w="1028"/>
        <w:gridCol w:w="1851"/>
        <w:gridCol w:w="1028"/>
        <w:gridCol w:w="2160"/>
        <w:gridCol w:w="514"/>
        <w:gridCol w:w="61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  <m:r>
                <m:t>a</m:t>
              </m:r>
              <m:r>
                <m:t>x</m:t>
              </m:r>
              <m:r>
                <m:t>c</m:t>
              </m:r>
              <m:r>
                <m:rPr>
                  <m:sty m:val="p"/>
                </m:rPr>
                <m:t>/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basic-kinetic-method"/>
    <w:p>
      <w:pPr>
        <w:pStyle w:val="Heading3"/>
      </w:pPr>
      <w:r>
        <w:t xml:space="preserve">Basic kinetic method</w:t>
      </w:r>
    </w:p>
    <w:p>
      <w:pPr>
        <w:pStyle w:val="FirstParagraph"/>
      </w:pPr>
      <w:r>
        <w:t xml:space="preserve">The basic kinetic method for the assessment of CYP induction is based on the</w:t>
      </w:r>
      <w:r>
        <w:t xml:space="preserve"> </w:t>
      </w:r>
      <m:oMath>
        <m:r>
          <m:t>E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parameters derived from in vitro studies (refer to</w:t>
      </w:r>
      <w:r>
        <w:t xml:space="preserve"> </w:t>
      </w:r>
      <w:r>
        <w:t xml:space="preserve">Section</w:t>
      </w:r>
      <w:r>
        <w:t xml:space="preserve"> </w:t>
      </w:r>
      <w:r>
        <w:t xml:space="preserve">‘</w:t>
      </w:r>
      <w:hyperlink w:anchor="basic-kinetic-modeling-of-cyp-induction">
        <w:r>
          <w:rPr>
            <w:rStyle w:val="Hyperlink"/>
          </w:rPr>
          <w:t xml:space="preserve">Basic kinetic modeling of CYP induction</w:t>
        </w:r>
      </w:hyperlink>
      <w:r>
        <w:t xml:space="preserve">’</w:t>
      </w:r>
      <w:r>
        <w:t xml:space="preserve"> </w:t>
      </w:r>
      <w:r>
        <w:t xml:space="preserve">in Appendix 1). For</w:t>
      </w:r>
      <w:r>
        <w:t xml:space="preserve"> </w:t>
      </w:r>
      <m:oMath>
        <m:r>
          <m:t>R</m:t>
        </m:r>
        <m:r>
          <m:rPr>
            <m:sty m:val="p"/>
          </m:rPr>
          <m:t>&lt;</m:t>
        </m:r>
        <m:r>
          <m:t>0.8</m:t>
        </m:r>
      </m:oMath>
      <w:r>
        <w:t xml:space="preserve">,</w:t>
      </w:r>
      <w:r>
        <w:t xml:space="preserve"> </w:t>
      </w:r>
      <w:r>
        <w:t xml:space="preserve">an in vivo induction risk cannot be excluded:</w:t>
      </w:r>
    </w:p>
    <w:p>
      <w:pPr>
        <w:pStyle w:val="TableCaption"/>
      </w:pPr>
      <w:r>
        <w:t xml:space="preserve">Risk for CYP induction by examplinib, basic kinetic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CYP induction by examplinib, basic kinetic model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CYP induction by M1, basic kinetic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CYP induction by M1, basic kinetic model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(</w:t>
            </w:r>
            <m:oMath>
              <m:r>
                <m:t>μ</m:t>
              </m:r>
              <m:r>
                <m:t>M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30"/>
    <w:bookmarkEnd w:id="31"/>
    <w:bookmarkStart w:id="34" w:name="mechanistic-static-modeling"/>
    <w:p>
      <w:pPr>
        <w:pStyle w:val="Heading2"/>
      </w:pPr>
      <w:r>
        <w:t xml:space="preserve">Mechanistic static modeling</w:t>
      </w:r>
    </w:p>
    <w:p>
      <w:pPr>
        <w:pStyle w:val="FirstParagraph"/>
      </w:pPr>
      <w:r>
        <w:t xml:space="preserve">Using the mechanistic static modeling approach (refer to Section 7.5.1.2 of the</w:t>
      </w:r>
      <w:r>
        <w:t xml:space="preserve"> </w:t>
      </w:r>
      <w:hyperlink r:id="rId20">
        <w:r>
          <w:rPr>
            <w:rStyle w:val="Hyperlink"/>
          </w:rPr>
          <w:t xml:space="preserve">ICH M12 guideline</w:t>
        </w:r>
      </w:hyperlink>
      <w:r>
        <w:t xml:space="preserve">, AUC ratios for specific sensitive CYP substrates</w:t>
      </w:r>
      <w:r>
        <w:t xml:space="preserve"> </w:t>
      </w:r>
      <w:r>
        <w:t xml:space="preserve">are calculated, considering the available in vitro data for both direct and</w:t>
      </w:r>
      <w:r>
        <w:t xml:space="preserve"> </w:t>
      </w:r>
      <w:r>
        <w:t xml:space="preserve">time-dependent inhibition, and mRNA induction (refer to Section</w:t>
      </w:r>
      <w:r>
        <w:t xml:space="preserve"> </w:t>
      </w:r>
      <w:r>
        <w:t xml:space="preserve">‘</w:t>
      </w:r>
      <w:hyperlink w:anchor="X9513131ca0815418b816faa96cb17e9f06d1f0d">
        <w:r>
          <w:rPr>
            <w:rStyle w:val="Hyperlink"/>
          </w:rPr>
          <w:t xml:space="preserve">Mechanistic static modeling of CYP modulation</w:t>
        </w:r>
      </w:hyperlink>
      <w:r>
        <w:t xml:space="preserve">’</w:t>
      </w:r>
      <w:r>
        <w:t xml:space="preserve"> </w:t>
      </w:r>
      <w:r>
        <w:t xml:space="preserve">in Appendix 1).</w:t>
      </w:r>
    </w:p>
    <w:p>
      <w:pPr>
        <w:pStyle w:val="BodyText"/>
      </w:pPr>
      <w:r>
        <w:t xml:space="preserve">Mechanistic static modeling may be used to investigate CYP inhibition alone, or</w:t>
      </w:r>
      <w:r>
        <w:t xml:space="preserve"> </w:t>
      </w:r>
      <w:r>
        <w:t xml:space="preserve">both inhibition and induction effects. AUC ratios outside the 0.8 to 1.25</w:t>
      </w:r>
      <w:r>
        <w:t xml:space="preserve"> </w:t>
      </w:r>
      <w:r>
        <w:t xml:space="preserve">interval are considered to indicate a clinical risk.</w:t>
      </w:r>
    </w:p>
    <w:bookmarkStart w:id="32" w:name="cyp-inhibition-only"/>
    <w:p>
      <w:pPr>
        <w:pStyle w:val="Heading3"/>
      </w:pPr>
      <w:r>
        <w:t xml:space="preserve">CYP inhibition only</w:t>
      </w:r>
    </w:p>
    <w:p>
      <w:pPr>
        <w:pStyle w:val="TableCaption"/>
      </w:pPr>
      <w:r>
        <w:t xml:space="preserve">Mechanistic static modeling of the CYP inhibition risk for examplinib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examplinib"/>
      </w:tblPr>
      <w:tblGrid>
        <w:gridCol w:w="674"/>
        <w:gridCol w:w="1011"/>
        <w:gridCol w:w="842"/>
        <w:gridCol w:w="505"/>
        <w:gridCol w:w="1011"/>
        <w:gridCol w:w="505"/>
        <w:gridCol w:w="505"/>
        <w:gridCol w:w="505"/>
        <w:gridCol w:w="505"/>
        <w:gridCol w:w="505"/>
        <w:gridCol w:w="505"/>
        <w:gridCol w:w="421"/>
        <w:gridCol w:w="4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tizanidine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omeprazole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desipramine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midazolam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Mechanistic static modeling of the CYP inhibition risk for M1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M1"/>
      </w:tblPr>
      <w:tblGrid>
        <w:gridCol w:w="602"/>
        <w:gridCol w:w="946"/>
        <w:gridCol w:w="860"/>
        <w:gridCol w:w="516"/>
        <w:gridCol w:w="1033"/>
        <w:gridCol w:w="516"/>
        <w:gridCol w:w="516"/>
        <w:gridCol w:w="516"/>
        <w:gridCol w:w="516"/>
        <w:gridCol w:w="516"/>
        <w:gridCol w:w="516"/>
        <w:gridCol w:w="430"/>
        <w:gridCol w:w="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2"/>
    <w:bookmarkStart w:id="33" w:name="cyp-inhibition-and-induction"/>
    <w:p>
      <w:pPr>
        <w:pStyle w:val="Heading3"/>
      </w:pPr>
      <w:r>
        <w:t xml:space="preserve">CYP inhibition and induction</w:t>
      </w:r>
    </w:p>
    <w:p>
      <w:pPr>
        <w:pStyle w:val="TableCaption"/>
      </w:pPr>
      <w:r>
        <w:t xml:space="preserve">Mechanistic static modeling of the CYP inhibition risk for examplinib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examplinib"/>
      </w:tblPr>
      <w:tblGrid>
        <w:gridCol w:w="666"/>
        <w:gridCol w:w="1000"/>
        <w:gridCol w:w="833"/>
        <w:gridCol w:w="500"/>
        <w:gridCol w:w="1000"/>
        <w:gridCol w:w="500"/>
        <w:gridCol w:w="500"/>
        <w:gridCol w:w="500"/>
        <w:gridCol w:w="500"/>
        <w:gridCol w:w="500"/>
        <w:gridCol w:w="500"/>
        <w:gridCol w:w="500"/>
        <w:gridCol w:w="4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CYP1A2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tizanidine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omeprazole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CYP2D6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desipramine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CYP3A4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midazolam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/>
    <w:p>
      <w:pPr>
        <w:pStyle w:val="TableCaption"/>
      </w:pPr>
      <w:r>
        <w:t xml:space="preserve">Mechanistic static modeling of the CYP inhibition risk for M1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chanistic static modeling of the CYP inhibition risk for M1"/>
      </w:tblPr>
      <w:tblGrid>
        <w:gridCol w:w="602"/>
        <w:gridCol w:w="946"/>
        <w:gridCol w:w="860"/>
        <w:gridCol w:w="516"/>
        <w:gridCol w:w="1033"/>
        <w:gridCol w:w="516"/>
        <w:gridCol w:w="516"/>
        <w:gridCol w:w="516"/>
        <w:gridCol w:w="516"/>
        <w:gridCol w:w="516"/>
        <w:gridCol w:w="516"/>
        <w:gridCol w:w="430"/>
        <w:gridCol w:w="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,</m:t>
                  </m:r>
                  <m:r>
                    <m:t>C</m:t>
                  </m:r>
                  <m:r>
                    <m:t>Y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AUCR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CYP2C9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S-warfarin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3"/>
    <w:bookmarkEnd w:id="34"/>
    <w:bookmarkStart w:id="35" w:name="basic-modeling-of-ugt-inhibition"/>
    <w:p>
      <w:pPr>
        <w:pStyle w:val="Heading2"/>
      </w:pPr>
      <w:r>
        <w:t xml:space="preserve">Basic modeling of UGT inhibition</w:t>
      </w:r>
    </w:p>
    <w:p>
      <w:pPr>
        <w:pStyle w:val="FirstParagraph"/>
      </w:pPr>
      <w:r>
        <w:t xml:space="preserve">The relevant metric for basic modeling of the UGT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(refer to Section 2.1.2.1 of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) for details.</w:t>
      </w:r>
    </w:p>
    <w:p>
      <w:pPr>
        <w:pStyle w:val="BodyText"/>
      </w:pPr>
      <m:oMath>
        <m:r>
          <m:t>R</m:t>
        </m:r>
        <m:r>
          <m:rPr>
            <m:sty m:val="p"/>
          </m:rPr>
          <m:t>&gt;</m:t>
        </m:r>
        <m:r>
          <m:t>0.02</m:t>
        </m:r>
      </m:oMath>
      <w:r>
        <w:t xml:space="preserve"> </w:t>
      </w:r>
      <w:r>
        <w:t xml:space="preserve">is considered to indicate a potential UGT inhibition risk.</w:t>
      </w:r>
    </w:p>
    <w:p>
      <w:pPr>
        <w:pStyle w:val="BodyText"/>
      </w:pPr>
      <w:r>
        <w:t xml:space="preserve">Note that in in vitro UGT inhibition studies, often</w:t>
      </w:r>
      <w:r>
        <w:t xml:space="preserve"> </w:t>
      </w:r>
      <m:oMath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rather than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values are reported. Assuming that substrate concentrations close to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used,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calculated as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(refer to Cheng, Prusoff 1973).</w:t>
      </w:r>
    </w:p>
    <w:p>
      <w:pPr>
        <w:pStyle w:val="BodyText"/>
      </w:pPr>
      <w:r>
        <w:t xml:space="preserve">Basic modeling of UGT inhibition results in the following risk assessment:</w:t>
      </w:r>
    </w:p>
    <w:p>
      <w:pPr>
        <w:pStyle w:val="TableCaption"/>
      </w:pPr>
      <w:r>
        <w:t xml:space="preserve">Risk for UGT inhibition by examplinib, basic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UGT inhibition by examplinib, basic model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UGT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/>
    <w:p>
      <w:pPr>
        <w:pStyle w:val="TableCaption"/>
      </w:pPr>
      <w:r>
        <w:t xml:space="preserve">Risk for UGT inhibition by M1, basic model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UGT inhibition by M1, basic model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UGT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UGT1A9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UGT2B15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5"/>
    <w:bookmarkStart w:id="36" w:name="X7be7930867ba29ad3fed09b5f4b329ab7009fd6"/>
    <w:p>
      <w:pPr>
        <w:pStyle w:val="Heading2"/>
      </w:pPr>
      <w:r>
        <w:t xml:space="preserve">DDI risk as inhibitor of drug transporters</w:t>
      </w:r>
    </w:p>
    <w:p>
      <w:pPr>
        <w:pStyle w:val="FirstParagraph"/>
      </w:pPr>
      <w:r>
        <w:t xml:space="preserve">The metric for the assessment of the drug transporter inhibition risk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/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 For the perpetrator concentrations relevant for the</w:t>
      </w:r>
      <w:r>
        <w:t xml:space="preserve"> </w:t>
      </w:r>
      <w:r>
        <w:t xml:space="preserve">individual transporters, refer to Section</w:t>
      </w:r>
      <w:r>
        <w:t xml:space="preserve"> </w:t>
      </w:r>
      <w:r>
        <w:t xml:space="preserve">‘</w:t>
      </w:r>
      <w:hyperlink w:anchor="inhibition-of-drug-transporters">
        <w:r>
          <w:rPr>
            <w:rStyle w:val="Hyperlink"/>
          </w:rPr>
          <w:t xml:space="preserve">Inhibition of drug transporters</w:t>
        </w:r>
      </w:hyperlink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Appendix 1.</w:t>
      </w:r>
    </w:p>
    <w:p>
      <w:pPr>
        <w:pStyle w:val="BodyText"/>
      </w:pPr>
      <w:r>
        <w:t xml:space="preserve">Note that OCT1 is currently not covered by the M12 guideline.</w:t>
      </w:r>
    </w:p>
    <w:p>
      <w:pPr>
        <w:pStyle w:val="TableCaption"/>
      </w:pPr>
      <w:r>
        <w:t xml:space="preserve">Risk for drug transporter inhibition by examplinib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sk for drug transporter inhibition by examplinib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transporter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Pgp_int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Pgp_sys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BCRP_int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BCRP_sys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OATP1B1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OATP1B3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MATE2k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 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r>
        <w:br w:type="page"/>
      </w:r>
    </w:p>
    <w:bookmarkEnd w:id="36"/>
    <w:bookmarkEnd w:id="37"/>
    <w:bookmarkStart w:id="56" w:name="appendix-1-calculations-and-formulae"/>
    <w:p>
      <w:pPr>
        <w:pStyle w:val="Heading1"/>
      </w:pPr>
      <w:r>
        <w:t xml:space="preserve">Appendix 1: Calculations and formulae</w:t>
      </w:r>
    </w:p>
    <w:bookmarkStart w:id="43" w:name="relevant-precipitant-drug-concentrations"/>
    <w:p>
      <w:pPr>
        <w:pStyle w:val="Heading2"/>
      </w:pPr>
      <w:r>
        <w:t xml:space="preserve">Relevant precipitant drug concentrations</w:t>
      </w:r>
    </w:p>
    <w:bookmarkStart w:id="38" w:name="gut-concentration"/>
    <w:p>
      <w:pPr>
        <w:pStyle w:val="Heading3"/>
      </w:pPr>
      <w:r>
        <w:t xml:space="preserve">Gut concentration</w:t>
      </w:r>
    </w:p>
    <w:p>
      <w:pPr>
        <w:pStyle w:val="FirstParagraph"/>
      </w:pPr>
      <w:r>
        <w:t xml:space="preserve">The maximal gut concentration (</w:t>
      </w:r>
      <m:oMath>
        <m:sSub>
          <m:e>
            <m:r>
              <m:t>I</m:t>
            </m:r>
          </m:e>
          <m:sub>
            <m:r>
              <m:t>g</m:t>
            </m:r>
            <m:r>
              <m:t>u</m:t>
            </m:r>
            <m:r>
              <m:t>t</m:t>
            </m:r>
          </m:sub>
        </m:sSub>
      </m:oMath>
      <w:r>
        <w:t xml:space="preserve">) for the</w:t>
      </w:r>
      <w:r>
        <w:t xml:space="preserve"> </w:t>
      </w:r>
      <w:r>
        <w:t xml:space="preserve">orally administered compounds is the administered dose dissolved in 250 ml.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u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250</m:t>
              </m:r>
            </m:den>
          </m:f>
        </m:oMath>
      </m:oMathPara>
    </w:p>
    <w:bookmarkEnd w:id="38"/>
    <w:bookmarkStart w:id="39" w:name="systemic-concentration"/>
    <w:p>
      <w:pPr>
        <w:pStyle w:val="Heading3"/>
      </w:pPr>
      <w:r>
        <w:t xml:space="preserve">Systemic concentration</w:t>
      </w:r>
    </w:p>
    <w:p>
      <w:pPr>
        <w:pStyle w:val="FirstParagraph"/>
      </w:pPr>
      <w:r>
        <w:t xml:space="preserve">The unbound systemic (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s</m:t>
            </m:r>
            <m:r>
              <m:t>s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) concentration is considered the relevant</w:t>
      </w:r>
      <w:r>
        <w:t xml:space="preserve"> </w:t>
      </w:r>
      <w:r>
        <w:t xml:space="preserve">precipitant concentration for hepatic enzyme inhibition and induction: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t>s</m:t>
              </m:r>
            </m:sub>
          </m:sSub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u</m:t>
              </m:r>
            </m:sub>
          </m:sSub>
        </m:oMath>
      </m:oMathPara>
    </w:p>
    <w:bookmarkEnd w:id="39"/>
    <w:bookmarkStart w:id="40" w:name="hepatic-inlet-concentration"/>
    <w:p>
      <w:pPr>
        <w:pStyle w:val="Heading3"/>
      </w:pPr>
      <w:r>
        <w:t xml:space="preserve">Hepatic inlet concentration</w:t>
      </w:r>
    </w:p>
    <w:p>
      <w:pPr>
        <w:pStyle w:val="FirstParagraph"/>
      </w:pPr>
      <w:r>
        <w:t xml:space="preserve">The hepatic inlet concentration is considered the relevant perpetrator</w:t>
      </w:r>
      <w:r>
        <w:t xml:space="preserve"> </w:t>
      </w:r>
      <w:r>
        <w:t xml:space="preserve">concentration for inhibition of the hepatic uptake transporters OATPB1B1 and</w:t>
      </w:r>
      <w:r>
        <w:t xml:space="preserve"> </w:t>
      </w:r>
      <w:r>
        <w:t xml:space="preserve">OATP1B3, and for the hepatic terms in the mechanistic static modeling equation</w:t>
      </w:r>
      <w:r>
        <w:t xml:space="preserve"> </w:t>
      </w:r>
      <w:r>
        <w:t xml:space="preserve">(refer to Section</w:t>
      </w:r>
      <w:r>
        <w:t xml:space="preserve"> </w:t>
      </w:r>
      <w:r>
        <w:t xml:space="preserve">‘</w:t>
      </w:r>
      <w:r>
        <w:t xml:space="preserve">[Mechanistic static modeling of CYP inhibition/induction]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The hepatic inlet concentration is composed of the systemic concentration and</w:t>
      </w:r>
      <w:r>
        <w:t xml:space="preserve"> </w:t>
      </w:r>
      <w:r>
        <w:t xml:space="preserve">the portal contribution. For orally administered drugs, the portal term is</w:t>
      </w:r>
      <w:r>
        <w:t xml:space="preserve"> </w:t>
      </w:r>
      <w:r>
        <w:t xml:space="preserve">calculated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o</m:t>
          </m:r>
          <m:r>
            <m:t>r</m:t>
          </m:r>
          <m:r>
            <m:t>t</m:t>
          </m:r>
          <m:r>
            <m:t>a</m:t>
          </m:r>
          <m:r>
            <m:t>l</m:t>
          </m:r>
          <m:r>
            <m:t> </m:t>
          </m:r>
          <m:r>
            <m:t>t</m:t>
          </m:r>
          <m:r>
            <m:t>e</m:t>
          </m:r>
          <m:r>
            <m:t>r</m:t>
          </m:r>
          <m:r>
            <m:t>m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Q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1000</m:t>
          </m:r>
          <m:r>
            <m:t> </m:t>
          </m:r>
          <m:r>
            <m:t>n</m:t>
          </m:r>
          <m:r>
            <m:t>g</m:t>
          </m:r>
          <m:r>
            <m:rPr>
              <m:sty m:val="p"/>
            </m:rPr>
            <m:t>/</m:t>
          </m:r>
          <m:r>
            <m:t>m</m:t>
          </m:r>
          <m:r>
            <m:t>l</m:t>
          </m:r>
        </m:oMath>
      </m:oMathPara>
    </w:p>
    <w:p>
      <w:pPr>
        <w:pStyle w:val="FirstParagraph"/>
      </w:pPr>
      <w:r>
        <w:t xml:space="preserve">with</w:t>
      </w:r>
    </w:p>
    <w:p>
      <w:pPr>
        <w:pStyle w:val="Compact"/>
        <w:numPr>
          <w:ilvl w:val="0"/>
          <w:numId w:val="1002"/>
        </w:numPr>
      </w:pPr>
      <m:oMath>
        <m:r>
          <m:t>D</m:t>
        </m:r>
      </m:oMath>
      <w:r>
        <w:t xml:space="preserve"> </w:t>
      </w:r>
      <w:r>
        <w:t xml:space="preserve">the administered dose in mg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fraction absorbed after oral administration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F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the fraction available after gut metabolism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k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absorption rate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Q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the hepatic blood flow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R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the blood-to-plasma ratio.</w:t>
      </w:r>
    </w:p>
    <w:p>
      <w:pPr>
        <w:pStyle w:val="FirstParagraph"/>
      </w:pPr>
      <w:r>
        <w:t xml:space="preserve">The standard hepatic blood flow is assumed as 97 l/h/70 kg or 1.61 l/min/70 kg.</w:t>
      </w:r>
    </w:p>
    <w:p>
      <w:pPr>
        <w:pStyle w:val="BodyText"/>
      </w:pPr>
      <w:r>
        <w:t xml:space="preserve">The relevant hepatic inlet (</w:t>
      </w:r>
      <m:oMath>
        <m:sSub>
          <m:e>
            <m:r>
              <m:t>I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  <m:r>
              <m:t>n</m:t>
            </m:r>
            <m:r>
              <m:t>l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, also called</w:t>
      </w:r>
      <w:r>
        <w:t xml:space="preserve"> </w:t>
      </w:r>
      <m:oMath>
        <m:sSub>
          <m:e>
            <m:r>
              <m:t>I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in the</w:t>
      </w:r>
      <w:r>
        <w:t xml:space="preserve"> </w:t>
      </w:r>
      <w:r>
        <w:t xml:space="preserve">mechanistic static modeling equations) concentration is the sum of the maximal</w:t>
      </w:r>
      <w:r>
        <w:t xml:space="preserve"> </w:t>
      </w:r>
      <w:r>
        <w:t xml:space="preserve">systemic plasma concentration and the portal contribution: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t>n</m:t>
              </m:r>
              <m:r>
                <m:t>l</m:t>
              </m:r>
              <m:r>
                <m:t>e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r>
                <m:t>p</m:t>
              </m:r>
              <m:r>
                <m:t>o</m:t>
              </m:r>
              <m:r>
                <m:t>r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t</m:t>
              </m:r>
              <m:r>
                <m:t>e</m:t>
              </m:r>
              <m:r>
                <m:t>r</m:t>
              </m:r>
              <m:r>
                <m:t>m</m:t>
              </m:r>
            </m:e>
          </m:d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u</m:t>
              </m:r>
            </m:sub>
          </m:sSub>
        </m:oMath>
      </m:oMathPara>
    </w:p>
    <w:bookmarkEnd w:id="40"/>
    <w:bookmarkStart w:id="42" w:name="enteric-concentration"/>
    <w:p>
      <w:pPr>
        <w:pStyle w:val="Heading3"/>
      </w:pPr>
      <w:r>
        <w:t xml:space="preserve">Enteric concentration</w:t>
      </w:r>
    </w:p>
    <w:p>
      <w:pPr>
        <w:pStyle w:val="FirstParagraph"/>
      </w:pPr>
      <w:r>
        <w:t xml:space="preserve">For the parent compound, the villous concentration in the gut (</w:t>
      </w:r>
      <m:oMath>
        <m:sSub>
          <m:e>
            <m:r>
              <m:t>I</m:t>
            </m:r>
          </m:e>
          <m:sub>
            <m:r>
              <m:t>e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c</m:t>
            </m:r>
          </m:sub>
        </m:sSub>
      </m:oMath>
      <w:r>
        <w:t xml:space="preserve">,</w:t>
      </w:r>
      <w:r>
        <w:t xml:space="preserve"> </w:t>
      </w:r>
      <w:r>
        <w:t xml:space="preserve">also called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in the mechanistic static modeling equations) is calculated</w:t>
      </w:r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i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Q</m:t>
                  </m:r>
                </m:e>
                <m:sub>
                  <m:r>
                    <m:t>e</m:t>
                  </m:r>
                  <m:r>
                    <m:t>n</m:t>
                  </m:r>
                  <m:r>
                    <m:t>t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1000</m:t>
          </m:r>
          <m:r>
            <m:t> </m:t>
          </m:r>
          <m:r>
            <m:t>n</m:t>
          </m:r>
          <m:r>
            <m:t>g</m:t>
          </m:r>
          <m:r>
            <m:rPr>
              <m:sty m:val="p"/>
            </m:rPr>
            <m:t>/</m:t>
          </m:r>
          <m:r>
            <m:t>m</m:t>
          </m:r>
          <m:r>
            <m:t>l</m:t>
          </m:r>
        </m:oMath>
      </m:oMathPara>
    </w:p>
    <w:p>
      <w:pPr>
        <w:pStyle w:val="FirstParagraph"/>
      </w:pPr>
      <w:r>
        <w:t xml:space="preserve">with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fraction absorbed after oral administration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k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the absorption rate constant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Q</m:t>
            </m:r>
          </m:e>
          <m:sub>
            <m:r>
              <m:t>e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the enteric villous blood flow</w:t>
      </w:r>
    </w:p>
    <w:p>
      <w:pPr>
        <w:pStyle w:val="FirstParagraph"/>
      </w:pPr>
      <w:r>
        <w:t xml:space="preserve">Note that as per the ICH M12 guideline and</w:t>
      </w:r>
      <w:r>
        <w:t xml:space="preserve"> </w:t>
      </w:r>
      <w:hyperlink r:id="rId41">
        <w:r>
          <w:rPr>
            <w:rStyle w:val="Hyperlink"/>
          </w:rPr>
          <w:t xml:space="preserve">Rostami-Hodjegan and Tucker,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 </w:t>
      </w:r>
      <w:r>
        <w:t xml:space="preserve">the blood-to-plasma</w:t>
      </w:r>
      <w:r>
        <w:t xml:space="preserve"> </w:t>
      </w:r>
      <w:r>
        <w:t xml:space="preserve">distribution ratio and the plasma binding of the drug are not applicable for the</w:t>
      </w:r>
      <w:r>
        <w:t xml:space="preserve"> </w:t>
      </w:r>
      <w:r>
        <w:t xml:space="preserve">calculation of the villous concentration.</w:t>
      </w:r>
    </w:p>
    <w:p>
      <w:pPr>
        <w:pStyle w:val="BodyText"/>
      </w:pPr>
      <w:r>
        <w:t xml:space="preserve">The standard villous blood flow is assumed as 18 l/h/70 kg or 0.3 l/min/70 kg.</w:t>
      </w:r>
    </w:p>
    <w:bookmarkEnd w:id="42"/>
    <w:bookmarkEnd w:id="43"/>
    <w:bookmarkStart w:id="48" w:name="basic-modeling-of-enzyme-inhibition"/>
    <w:p>
      <w:pPr>
        <w:pStyle w:val="Heading2"/>
      </w:pPr>
      <w:r>
        <w:t xml:space="preserve">Basic modeling of enzyme inhibition</w:t>
      </w:r>
    </w:p>
    <w:bookmarkStart w:id="46" w:name="reversible-inhibition-1"/>
    <w:p>
      <w:pPr>
        <w:pStyle w:val="Heading3"/>
      </w:pPr>
      <w:r>
        <w:t xml:space="preserve">Reversible inhibition</w:t>
      </w:r>
    </w:p>
    <w:p>
      <w:pPr>
        <w:pStyle w:val="FirstParagraph"/>
      </w:pPr>
      <w:r>
        <w:t xml:space="preserve">For the basic modeling of direct (reversible) enzyme inhibition, the ratios of</w:t>
      </w:r>
      <w:r>
        <w:t xml:space="preserve"> </w:t>
      </w:r>
      <w:r>
        <w:t xml:space="preserve">the relevant inhibitor concentration to the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are considered (refer to</w:t>
      </w:r>
      <w:r>
        <w:t xml:space="preserve"> </w:t>
      </w:r>
      <w:r>
        <w:t xml:space="preserve">Section 2.1.2.1 of the</w:t>
      </w:r>
      <w:r>
        <w:t xml:space="preserve"> </w:t>
      </w:r>
      <w:hyperlink r:id="rId20">
        <w:r>
          <w:rPr>
            <w:rStyle w:val="Hyperlink"/>
          </w:rPr>
          <w:t xml:space="preserve">ICH M12 guidance document</w:t>
        </w:r>
      </w:hyperlink>
      <w:r>
        <w:t xml:space="preserve">).</w:t>
      </w:r>
    </w:p>
    <w:p>
      <w:pPr>
        <w:pStyle w:val="BodyText"/>
      </w:pPr>
      <w:r>
        <w:t xml:space="preserve">For in vitro studies conducted using human liver microsomes, the microsomal</w:t>
      </w:r>
      <w:r>
        <w:t xml:space="preserve"> </w:t>
      </w:r>
      <w:r>
        <w:t xml:space="preserve">unbound fraction,</w:t>
      </w:r>
      <w:r>
        <w:t xml:space="preserve"> </w:t>
      </w:r>
      <m:oMath>
        <m:sSub>
          <m:e>
            <m:r>
              <m:t>f</m:t>
            </m:r>
          </m:e>
          <m:sub>
            <m:r>
              <m:t>u</m:t>
            </m:r>
            <m:r>
              <m:rPr>
                <m:sty m:val="p"/>
              </m:rPr>
              <m:t>,</m:t>
            </m:r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used to calculate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 If unknown, a</w:t>
      </w:r>
      <w:r>
        <w:t xml:space="preserve"> </w:t>
      </w:r>
      <w:r>
        <w:t xml:space="preserve">default of 1 is assumed.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values larger than 0.02 (liver) or 10 (gut), are considered to indicate a</w:t>
      </w:r>
      <w:r>
        <w:t xml:space="preserve"> </w:t>
      </w:r>
      <w:r>
        <w:t xml:space="preserve">potential clinical enzyme inhibition risk using this method.</w:t>
      </w:r>
    </w:p>
    <w:bookmarkStart w:id="44" w:name="liver"/>
    <w:p>
      <w:pPr>
        <w:pStyle w:val="Heading4"/>
      </w:pPr>
      <w:r>
        <w:t xml:space="preserve">Liver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bookmarkEnd w:id="44"/>
    <w:bookmarkStart w:id="45" w:name="gut-wall"/>
    <w:p>
      <w:pPr>
        <w:pStyle w:val="Heading4"/>
      </w:pPr>
      <w:r>
        <w:t xml:space="preserve">Gut wall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g</m:t>
              </m:r>
              <m:r>
                <m:t>u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bookmarkEnd w:id="45"/>
    <w:bookmarkEnd w:id="46"/>
    <w:bookmarkStart w:id="47" w:name="time-dependent-cyp-inhibition"/>
    <w:p>
      <w:pPr>
        <w:pStyle w:val="Heading3"/>
      </w:pPr>
      <w:r>
        <w:t xml:space="preserve">Time-dependent CYP inhibition</w:t>
      </w:r>
    </w:p>
    <w:p>
      <w:pPr>
        <w:pStyle w:val="FirstParagraph"/>
      </w:pPr>
      <w:r>
        <w:t xml:space="preserve">For the basic modeling of the potential for time-dependent CYP inhibition (TDI),</w:t>
      </w:r>
      <w:r>
        <w:t xml:space="preserve"> </w:t>
      </w:r>
      <w:r>
        <w:t xml:space="preserve">the following metric is considered: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rPr>
                  <m:sty m:val="p"/>
                </m:rPr>
                <m:t>*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c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CYP degradation constant,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  <m:r>
              <m:t>e</m:t>
            </m:r>
            <m:r>
              <m:t>g</m:t>
            </m:r>
          </m:sub>
        </m:sSub>
      </m:oMath>
      <w:r>
        <w:t xml:space="preserve"> </w:t>
      </w:r>
      <w:r>
        <w:t xml:space="preserve">is a physiological constant that should</w:t>
      </w:r>
      <w:r>
        <w:t xml:space="preserve"> </w:t>
      </w:r>
      <w:r>
        <w:t xml:space="preserve">be derived from the scientific literature. In this DDI assessment report,</w:t>
      </w:r>
      <w:r>
        <w:t xml:space="preserve"> </w:t>
      </w:r>
      <w:r>
        <w:t xml:space="preserve">standard values are used unless otherwise indicated.</w:t>
      </w:r>
    </w:p>
    <w:p>
      <w:pPr>
        <w:pStyle w:val="BodyText"/>
      </w:pPr>
      <w:r>
        <w:t xml:space="preserve">Values of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1.25</m:t>
        </m:r>
      </m:oMath>
      <w:r>
        <w:t xml:space="preserve"> </w:t>
      </w:r>
      <w:r>
        <w:t xml:space="preserve">is considered to indicate a clinically relevant TDI</w:t>
      </w:r>
      <w:r>
        <w:t xml:space="preserve"> </w:t>
      </w:r>
      <w:r>
        <w:t xml:space="preserve">potential and suggest the need for further investigation.</w:t>
      </w:r>
    </w:p>
    <w:bookmarkEnd w:id="47"/>
    <w:bookmarkEnd w:id="48"/>
    <w:bookmarkStart w:id="49" w:name="X1c4f25430b5d0925864e92206dcd7362cf050e6"/>
    <w:p>
      <w:pPr>
        <w:pStyle w:val="Heading2"/>
      </w:pPr>
      <w:r>
        <w:t xml:space="preserve">Basic mRNA fold-change method method to assess CYP induction</w:t>
      </w:r>
    </w:p>
    <w:p>
      <w:pPr>
        <w:pStyle w:val="FirstParagraph"/>
      </w:pPr>
      <w:r>
        <w:t xml:space="preserve">This basic risk assessment evaluates the mRNA induction for a set of hepatocyte</w:t>
      </w:r>
      <w:r>
        <w:t xml:space="preserve"> </w:t>
      </w:r>
      <w:r>
        <w:t xml:space="preserve">batches from different donors. Increases of CYP enzyme mRNA</w:t>
      </w:r>
      <w:r>
        <w:t xml:space="preserve"> </w:t>
      </w:r>
      <m:oMath>
        <m:r>
          <m:rPr>
            <m:sty m:val="p"/>
          </m:rPr>
          <m:t>≥</m:t>
        </m:r>
        <m:r>
          <m:t>2</m:t>
        </m:r>
        <m:r>
          <m:rPr>
            <m:sty m:val="p"/>
          </m:rPr>
          <m:t>−</m:t>
        </m:r>
        <m:r>
          <m:t>f</m:t>
        </m:r>
        <m:r>
          <m:t>o</m:t>
        </m:r>
        <m:r>
          <m:t>l</m:t>
        </m:r>
        <m:r>
          <m:t>d</m:t>
        </m:r>
      </m:oMath>
      <w:r>
        <w:t xml:space="preserve"> </w:t>
      </w:r>
      <w:r>
        <w:t xml:space="preserve">at</w:t>
      </w:r>
      <w:r>
        <w:t xml:space="preserve"> </w:t>
      </w:r>
      <w:r>
        <w:t xml:space="preserve">at concentrations up to 50-fold above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is considered to indicate a</w:t>
      </w:r>
      <w:r>
        <w:t xml:space="preserve"> </w:t>
      </w:r>
      <w:r>
        <w:t xml:space="preserve">clinical risk for CYP induction.</w:t>
      </w:r>
    </w:p>
    <w:p>
      <w:pPr>
        <w:pStyle w:val="BodyText"/>
      </w:pPr>
      <w:r>
        <w:t xml:space="preserve">In the context of this assessment only the worst-case donor data is considered.</w:t>
      </w:r>
    </w:p>
    <w:bookmarkEnd w:id="49"/>
    <w:bookmarkStart w:id="50" w:name="basic-kinetic-modeling-of-cyp-induction"/>
    <w:p>
      <w:pPr>
        <w:pStyle w:val="Heading2"/>
      </w:pPr>
      <w:r>
        <w:t xml:space="preserve">Basic kinetic modeling of CYP induction</w:t>
      </w:r>
    </w:p>
    <w:p>
      <w:pPr>
        <w:pStyle w:val="FirstParagraph"/>
      </w:pPr>
      <w:r>
        <w:t xml:space="preserve">For the basic kinetic modeling of the CYP induction potential, the following</w:t>
      </w:r>
      <w:r>
        <w:t xml:space="preserve"> </w:t>
      </w:r>
      <w:r>
        <w:t xml:space="preserve">metric is considered: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rPr>
                  <m:sty m:val="p"/>
                </m:rPr>
                <m:t>*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10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</m:num>
                <m:den>
                  <m:r>
                    <m:t>E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50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s</m:t>
                      </m:r>
                      <m:r>
                        <m:t>s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u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 scaling factor that has a standard value of 1. A different value can</w:t>
      </w:r>
      <w:r>
        <w:t xml:space="preserve"> </w:t>
      </w:r>
      <w:r>
        <w:t xml:space="preserve">be used if warranted by prior experience with the experimental conditions.</w:t>
      </w:r>
    </w:p>
    <w:p>
      <w:pPr>
        <w:pStyle w:val="BodyText"/>
      </w:pPr>
      <m:oMath>
        <m:r>
          <m:t>R</m:t>
        </m:r>
        <m:r>
          <m:rPr>
            <m:sty m:val="p"/>
          </m:rPr>
          <m:t>≤</m:t>
        </m:r>
        <m:r>
          <m:t>0.8</m:t>
        </m:r>
      </m:oMath>
      <w:r>
        <w:t xml:space="preserve"> </w:t>
      </w:r>
      <w:r>
        <w:t xml:space="preserve">suggest a relevant in vivo CYP induction potential.</w:t>
      </w:r>
    </w:p>
    <w:bookmarkEnd w:id="50"/>
    <w:bookmarkStart w:id="54" w:name="X9513131ca0815418b816faa96cb17e9f06d1f0d"/>
    <w:p>
      <w:pPr>
        <w:pStyle w:val="Heading2"/>
      </w:pPr>
      <w:r>
        <w:t xml:space="preserve">Mechanistic static modeling of CYP modulation</w:t>
      </w:r>
    </w:p>
    <w:p>
      <w:pPr>
        <w:pStyle w:val="FirstParagraph"/>
      </w:pPr>
      <w:r>
        <w:t xml:space="preserve">In this approach, AUC ratios for specific DDI object substrates are projected</w:t>
      </w:r>
      <w:r>
        <w:t xml:space="preserve"> </w:t>
      </w:r>
      <w:r>
        <w:t xml:space="preserve">based on their known intestinal and hepatic metabolism. Both direct</w:t>
      </w:r>
      <w:r>
        <w:t xml:space="preserve"> </w:t>
      </w:r>
      <w:r>
        <w:t xml:space="preserve">(competitive) and time-dependent inhibition, as well as enzyme induction are</w:t>
      </w:r>
      <w:r>
        <w:t xml:space="preserve"> </w:t>
      </w:r>
      <w:r>
        <w:t xml:space="preserve">considered. AUC ratios are calculated according to the below formula (refer to</w:t>
      </w:r>
      <w:r>
        <w:t xml:space="preserve"> </w:t>
      </w:r>
      <w:r>
        <w:t xml:space="preserve">Section 7.5.1.2 of the ICH M12 guideline):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U</m:t>
          </m:r>
          <m:r>
            <m:t>C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f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This calculation is applied for typical probe substrates for which</w:t>
      </w:r>
      <w:r>
        <w:t xml:space="preserve"> </w:t>
      </w:r>
      <m:oMath>
        <m:sSub>
          <m:e>
            <m:r>
              <m:t>F</m:t>
            </m:r>
          </m:e>
          <m:sub>
            <m:r>
              <m:t>g</m:t>
            </m:r>
          </m:sub>
        </m:sSub>
      </m:oMath>
      <w:r>
        <w:t xml:space="preserve">, i.e.,</w:t>
      </w:r>
      <w:r>
        <w:t xml:space="preserve"> </w:t>
      </w:r>
      <w:r>
        <w:t xml:space="preserve">the fraction escaping gut metabolism and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</m:oMath>
      <w:r>
        <w:t xml:space="preserve">, i.e., the fraction metabolized</w:t>
      </w:r>
      <w:r>
        <w:t xml:space="preserve"> </w:t>
      </w:r>
      <w:r>
        <w:t xml:space="preserve">are known.</w:t>
      </w:r>
    </w:p>
    <w:p>
      <w:pPr>
        <w:pStyle w:val="BodyText"/>
      </w:pPr>
      <w:r>
        <w:t xml:space="preserve">Note that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 composed of the overall fraction metabolized for the</w:t>
      </w:r>
      <w:r>
        <w:t xml:space="preserve"> </w:t>
      </w:r>
      <w:r>
        <w:t xml:space="preserve">respective probe substrate, and the fraction metabolized by the CYP enzyme in</w:t>
      </w:r>
      <w:r>
        <w:t xml:space="preserve"> </w:t>
      </w:r>
      <w:r>
        <w:t xml:space="preserve">questions: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o</m:t>
              </m:r>
              <m:r>
                <m:t>v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l</m:t>
              </m:r>
            </m:sub>
          </m:sSub>
          <m:r>
            <m:rPr>
              <m:sty m:val="p"/>
            </m:rPr>
            <m:t>*</m:t>
          </m:r>
          <m:sSub>
            <m:e>
              <m:r>
                <m:t>f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t>Y</m:t>
              </m:r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The individual terms in the AUC calculation are:</w:t>
      </w:r>
    </w:p>
    <w:bookmarkStart w:id="51" w:name="reversible-inhibition-2"/>
    <w:p>
      <w:pPr>
        <w:pStyle w:val="Heading3"/>
      </w:pPr>
      <w:r>
        <w:t xml:space="preserve">Reversible inhibition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bookmarkEnd w:id="51"/>
    <w:bookmarkStart w:id="52" w:name="time-dependent-inhibition-1"/>
    <w:p>
      <w:pPr>
        <w:pStyle w:val="Heading3"/>
      </w:pPr>
      <w:r>
        <w:t xml:space="preserve">Time-dependent inhibition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g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I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g</m:t>
                  </m:r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I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den>
          </m:f>
        </m:oMath>
      </m:oMathPara>
    </w:p>
    <w:bookmarkEnd w:id="52"/>
    <w:bookmarkStart w:id="53" w:name="induction"/>
    <w:p>
      <w:pPr>
        <w:pStyle w:val="Heading3"/>
      </w:pPr>
      <w:r>
        <w:t xml:space="preserve">Induction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*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I</m:t>
                  </m:r>
                </m:e>
                <m:sub>
                  <m:r>
                    <m:t>g</m:t>
                  </m:r>
                </m:sub>
              </m:sSub>
            </m:num>
            <m:den>
              <m:sSub>
                <m:e>
                  <m:r>
                    <m:t>I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+</m:t>
              </m:r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*</m:t>
              </m:r>
              <m:sSub>
                <m:e>
                  <m:r>
                    <m:t>E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*</m:t>
              </m:r>
              <m:sSub>
                <m:e>
                  <m:r>
                    <m:t>I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I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+</m:t>
              </m:r>
              <m:r>
                <m:t>E</m:t>
              </m:r>
              <m:sSub>
                <m:e>
                  <m:r>
                    <m:t>C</m:t>
                  </m:r>
                </m:e>
                <m:sub>
                  <m:r>
                    <m:t>50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 the hepatic inlet concentration</w:t>
      </w:r>
      <w:r>
        <w:t xml:space="preserve"> </w:t>
      </w:r>
      <m:oMath>
        <m:sSub>
          <m:e>
            <m:r>
              <m:t>I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  <m:r>
              <m:t>n</m:t>
            </m:r>
            <m:r>
              <m:t>l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 </w:t>
      </w:r>
      <w:r>
        <w:t xml:space="preserve">and the intestinal</w:t>
      </w:r>
      <w:r>
        <w:t xml:space="preserve"> </w:t>
      </w:r>
      <w:r>
        <w:t xml:space="preserve">concentration</w:t>
      </w:r>
      <w:r>
        <w:t xml:space="preserve"> </w:t>
      </w:r>
      <m:oMath>
        <m:sSub>
          <m:e>
            <m:r>
              <m:t>I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e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(see above).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induction scaling factor</w:t>
      </w:r>
      <w:r>
        <w:t xml:space="preserve"> </w:t>
      </w:r>
      <w:r>
        <w:t xml:space="preserve">(assumed to be 1 but can be adjusted based on the experimental conditions).</w:t>
      </w:r>
    </w:p>
    <w:p>
      <w:pPr>
        <w:pStyle w:val="BodyText"/>
      </w:pPr>
      <w:r>
        <w:t xml:space="preserve">If the predicted AUC ratio is outside of the 0.8 to 1.25 interval, further</w:t>
      </w:r>
      <w:r>
        <w:t xml:space="preserve"> </w:t>
      </w:r>
      <w:r>
        <w:t xml:space="preserve">evaluation is required.</w:t>
      </w:r>
    </w:p>
    <w:bookmarkEnd w:id="53"/>
    <w:bookmarkEnd w:id="54"/>
    <w:bookmarkStart w:id="55" w:name="inhibition-of-drug-transporters"/>
    <w:p>
      <w:pPr>
        <w:pStyle w:val="Heading2"/>
      </w:pPr>
      <w:r>
        <w:t xml:space="preserve">Inhibition of drug transporters</w:t>
      </w:r>
    </w:p>
    <w:p>
      <w:pPr>
        <w:pStyle w:val="FirstParagraph"/>
      </w:pPr>
      <w:r>
        <w:t xml:space="preserve">As per the M12 guideline, the metric for the assessment of the drug transporter</w:t>
      </w:r>
      <w:r>
        <w:t xml:space="preserve"> </w:t>
      </w:r>
      <w:r>
        <w:t xml:space="preserve">inhibition risk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/</m:t>
          </m:r>
          <m:r>
            <m:t>I</m:t>
          </m:r>
          <m:sSub>
            <m:e>
              <m:r>
                <m:t>C</m:t>
              </m:r>
            </m:e>
            <m:sub>
              <m:r>
                <m:t>50</m:t>
              </m:r>
              <m:r>
                <m:rPr>
                  <m:sty m:val="p"/>
                </m:rPr>
                <m:t>,</m:t>
              </m:r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In the respective in vitro studies, the substrate concentration is usually very</w:t>
      </w:r>
      <w:r>
        <w:t xml:space="preserve"> </w:t>
      </w:r>
      <w:r>
        <w:t xml:space="preserve">low, so that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≈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can be assumed. Under common assay conditions,</w:t>
      </w:r>
      <w:r>
        <w:t xml:space="preserve"> </w:t>
      </w:r>
      <w:r>
        <w:t xml:space="preserve">no protein is added to the medium so that the fraction unbound can be assumed 1,</w:t>
      </w:r>
      <w:r>
        <w:t xml:space="preserve"> </w:t>
      </w:r>
      <w:r>
        <w:t xml:space="preserve">i.e. </w:t>
      </w:r>
      <m:oMath>
        <m:r>
          <m:t>I</m:t>
        </m:r>
        <m:sSub>
          <m:e>
            <m:r>
              <m:t>C</m:t>
            </m:r>
          </m:e>
          <m:sub>
            <m:r>
              <m:t>50</m:t>
            </m:r>
          </m:sub>
        </m:sSub>
        <m:r>
          <m:rPr>
            <m:sty m:val="p"/>
          </m:rPr>
          <m:t>=</m:t>
        </m:r>
        <m:r>
          <m:t>I</m:t>
        </m:r>
        <m:sSub>
          <m:e>
            <m:r>
              <m:t>C</m:t>
            </m:r>
          </m:e>
          <m:sub>
            <m:r>
              <m:t>50</m:t>
            </m:r>
            <m:r>
              <m:rPr>
                <m:sty m:val="p"/>
              </m:rPr>
              <m:t>,</m:t>
            </m:r>
            <m:r>
              <m:t>u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following relevant precitipant concentrations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 regulatory</w:t>
      </w:r>
      <w:r>
        <w:t xml:space="preserve"> </w:t>
      </w:r>
      <w:r>
        <w:t xml:space="preserve">thresholds of concern apply for the transporters: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transporter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threshold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u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P-gp and BRCR when drugs are orally administered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P-gp and BRCR when drugs are administered parenterally or for drug metabolites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hepatic basolateral transporters OCT1, OATP1B1 and OATP1B3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renal basolateral transporters OAT1, OAT3 and OCT2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s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apical transporters MATE1 and MATE2-K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Refer to Section</w:t>
      </w:r>
      <w:r>
        <w:t xml:space="preserve"> </w:t>
      </w:r>
      <w:r>
        <w:t xml:space="preserve">‘</w:t>
      </w:r>
      <w:hyperlink w:anchor="relevant-precipitant-drug-concentrations">
        <w:r>
          <w:rPr>
            <w:rStyle w:val="Hyperlink"/>
          </w:rPr>
          <w:t xml:space="preserve">Relevant precipitant drug concentrations</w:t>
        </w:r>
      </w:hyperlink>
      <w:r>
        <w:t xml:space="preserve">’</w:t>
      </w:r>
      <w:r>
        <w:t xml:space="preserve"> </w:t>
      </w:r>
      <w:r>
        <w:t xml:space="preserve">for the calculation</w:t>
      </w:r>
      <w:r>
        <w:t xml:space="preserve"> </w:t>
      </w:r>
      <w:r>
        <w:t xml:space="preserve">of the relevant precipitant concentrations.</w:t>
      </w:r>
    </w:p>
    <w:p>
      <w:r>
        <w:br w:type="page"/>
      </w:r>
    </w:p>
    <w:bookmarkEnd w:id="55"/>
    <w:bookmarkEnd w:id="56"/>
    <w:bookmarkStart w:id="57" w:name="appendix-2-r-session-info"/>
    <w:p>
      <w:pPr>
        <w:pStyle w:val="Heading1"/>
      </w:pPr>
      <w:r>
        <w:t xml:space="preserve">Appendix 2: R Session Info</w:t>
      </w:r>
    </w:p>
    <w:p>
      <w:pPr>
        <w:pStyle w:val="FirstParagraph"/>
      </w:pPr>
      <w:r>
        <w:t xml:space="preserve">This document was created using R version 4.4.1 (2024-06-14) and</w:t>
      </w:r>
      <w:r>
        <w:t xml:space="preserve"> </w:t>
      </w:r>
      <w:r>
        <w:t xml:space="preserve">the following packages: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oi.org/10.1016/j.ddtec.2004.10.002" TargetMode="External" /><Relationship Type="http://schemas.openxmlformats.org/officeDocument/2006/relationships/hyperlink" Id="rId21" Target="https://github.com/rstrotmann/ddir" TargetMode="External" /><Relationship Type="http://schemas.openxmlformats.org/officeDocument/2006/relationships/hyperlink" Id="rId20" Target="https://www.ema.europa.eu/en/documents/scientific-guideline/ich-m12-guideline-drug-interaction-studies-step-5_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16/j.ddtec.2004.10.002" TargetMode="External" /><Relationship Type="http://schemas.openxmlformats.org/officeDocument/2006/relationships/hyperlink" Id="rId21" Target="https://github.com/rstrotmann/ddir" TargetMode="External" /><Relationship Type="http://schemas.openxmlformats.org/officeDocument/2006/relationships/hyperlink" Id="rId20" Target="https://www.ema.europa.eu/en/documents/scientific-guideline/ich-m12-guideline-drug-interaction-studies-step-5_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DDI precipitant risk assessment for examplinib and M1</dc:title>
  <dc:creator>Author name</dc:creator>
  <cp:keywords/>
  <dcterms:created xsi:type="dcterms:W3CDTF">2024-11-11T17:48:17Z</dcterms:created>
  <dcterms:modified xsi:type="dcterms:W3CDTF">2024-11-11T17:48:17Z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11-Nov-2024</vt:lpwstr>
  </property>
  <property fmtid="{D5CDD505-2E9C-101B-9397-08002B2CF9AE}" pid="3" name="output">
    <vt:lpwstr/>
  </property>
</Properties>
</file>