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A7BE5" w14:textId="77777777" w:rsidR="0041295B" w:rsidRPr="00D326F8" w:rsidRDefault="003E23E4" w:rsidP="00A909DF">
      <w:pPr>
        <w:pStyle w:val="Title"/>
      </w:pPr>
      <w:r w:rsidRPr="00D326F8">
        <w:t xml:space="preserve">Clinical </w:t>
      </w:r>
      <w:r w:rsidR="0046375F" w:rsidRPr="00D326F8">
        <w:t>Study</w:t>
      </w:r>
      <w:r w:rsidRPr="00D326F8">
        <w:t xml:space="preserve"> Protocol</w:t>
      </w:r>
    </w:p>
    <w:p w14:paraId="601A7BE6" w14:textId="10710177" w:rsidR="00EE74BC" w:rsidRPr="00D326F8" w:rsidRDefault="003E23E4" w:rsidP="00EE74BC">
      <w:pPr>
        <w:pStyle w:val="Heading1unnumbered"/>
        <w:spacing w:after="240"/>
      </w:pPr>
      <w:bookmarkStart w:id="0" w:name="_Toc77839712"/>
      <w:r w:rsidRPr="00D326F8">
        <w:t>Title Page</w:t>
      </w:r>
      <w:bookmarkEnd w:id="0"/>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3"/>
        <w:gridCol w:w="5103"/>
      </w:tblGrid>
      <w:tr w:rsidR="003B74AE" w:rsidRPr="00D326F8" w14:paraId="601A7BE9" w14:textId="77777777" w:rsidTr="54CFC9BA">
        <w:trPr>
          <w:cantSplit/>
        </w:trPr>
        <w:tc>
          <w:tcPr>
            <w:tcW w:w="4253" w:type="dxa"/>
          </w:tcPr>
          <w:p w14:paraId="601A7BE7" w14:textId="77777777" w:rsidR="00EE74BC" w:rsidRPr="00D326F8" w:rsidRDefault="003E23E4" w:rsidP="00EE74BC">
            <w:pPr>
              <w:pStyle w:val="BodyText"/>
              <w:spacing w:before="120"/>
              <w:rPr>
                <w:b/>
              </w:rPr>
            </w:pPr>
            <w:r w:rsidRPr="00D326F8">
              <w:rPr>
                <w:b/>
              </w:rPr>
              <w:t xml:space="preserve">Clinical </w:t>
            </w:r>
            <w:r w:rsidR="003E6885" w:rsidRPr="00D326F8">
              <w:rPr>
                <w:b/>
              </w:rPr>
              <w:t xml:space="preserve">Study </w:t>
            </w:r>
            <w:r w:rsidRPr="00D326F8">
              <w:rPr>
                <w:b/>
              </w:rPr>
              <w:t>Protocol Title:</w:t>
            </w:r>
          </w:p>
        </w:tc>
        <w:tc>
          <w:tcPr>
            <w:tcW w:w="5103" w:type="dxa"/>
          </w:tcPr>
          <w:p w14:paraId="601A7BE8" w14:textId="77777777" w:rsidR="00EE74BC" w:rsidRPr="00D326F8" w:rsidRDefault="003E23E4" w:rsidP="00912AEF">
            <w:pPr>
              <w:pStyle w:val="BodyText"/>
              <w:spacing w:before="120"/>
            </w:pPr>
            <w:r w:rsidRPr="00D326F8">
              <w:t>Phase I, Open-Label, Single-sequence, Cross-Over Study of the Effect of Multiple Doses of Carbamazepine on Single-Dose Tepotinib Pharmacokinetics in Healthy Participants</w:t>
            </w:r>
          </w:p>
        </w:tc>
      </w:tr>
      <w:tr w:rsidR="003B74AE" w:rsidRPr="00D326F8" w14:paraId="601A7BEC" w14:textId="77777777" w:rsidTr="54CFC9BA">
        <w:trPr>
          <w:cantSplit/>
        </w:trPr>
        <w:tc>
          <w:tcPr>
            <w:tcW w:w="4253" w:type="dxa"/>
          </w:tcPr>
          <w:p w14:paraId="601A7BEA" w14:textId="77777777" w:rsidR="00EE74BC" w:rsidRPr="00D326F8" w:rsidRDefault="003E23E4" w:rsidP="00EE74BC">
            <w:pPr>
              <w:pStyle w:val="BodyText"/>
              <w:spacing w:before="120"/>
              <w:rPr>
                <w:b/>
              </w:rPr>
            </w:pPr>
            <w:r w:rsidRPr="00D326F8">
              <w:rPr>
                <w:b/>
              </w:rPr>
              <w:t>Study Number:</w:t>
            </w:r>
          </w:p>
        </w:tc>
        <w:tc>
          <w:tcPr>
            <w:tcW w:w="5103" w:type="dxa"/>
          </w:tcPr>
          <w:p w14:paraId="601A7BEB" w14:textId="77777777" w:rsidR="00EE74BC" w:rsidRPr="00D326F8" w:rsidRDefault="003E23E4" w:rsidP="00EE74BC">
            <w:pPr>
              <w:pStyle w:val="BodyText"/>
              <w:spacing w:before="120"/>
            </w:pPr>
            <w:r w:rsidRPr="00D326F8">
              <w:t>MS200095_0051</w:t>
            </w:r>
          </w:p>
        </w:tc>
      </w:tr>
      <w:tr w:rsidR="003B74AE" w:rsidRPr="00D326F8" w14:paraId="601A7BEF" w14:textId="77777777" w:rsidTr="002B6F3F">
        <w:trPr>
          <w:cantSplit/>
        </w:trPr>
        <w:tc>
          <w:tcPr>
            <w:tcW w:w="4253" w:type="dxa"/>
            <w:tcBorders>
              <w:top w:val="single" w:sz="4" w:space="0" w:color="auto"/>
              <w:left w:val="single" w:sz="4" w:space="0" w:color="auto"/>
              <w:bottom w:val="single" w:sz="4" w:space="0" w:color="auto"/>
              <w:right w:val="single" w:sz="4" w:space="0" w:color="auto"/>
            </w:tcBorders>
          </w:tcPr>
          <w:p w14:paraId="601A7BED" w14:textId="77777777" w:rsidR="002B6F3F" w:rsidRPr="00D326F8" w:rsidRDefault="003E23E4" w:rsidP="002B6F3F">
            <w:pPr>
              <w:pStyle w:val="BodyText"/>
              <w:spacing w:before="120"/>
              <w:rPr>
                <w:b/>
              </w:rPr>
            </w:pPr>
            <w:bookmarkStart w:id="1" w:name="_Hlk62746596"/>
            <w:r w:rsidRPr="00D326F8">
              <w:rPr>
                <w:b/>
              </w:rPr>
              <w:t>Protocol Version:</w:t>
            </w:r>
          </w:p>
        </w:tc>
        <w:tc>
          <w:tcPr>
            <w:tcW w:w="5103" w:type="dxa"/>
            <w:tcBorders>
              <w:top w:val="single" w:sz="4" w:space="0" w:color="auto"/>
              <w:left w:val="single" w:sz="4" w:space="0" w:color="auto"/>
              <w:bottom w:val="single" w:sz="4" w:space="0" w:color="auto"/>
              <w:right w:val="single" w:sz="4" w:space="0" w:color="auto"/>
            </w:tcBorders>
          </w:tcPr>
          <w:p w14:paraId="601A7BEE" w14:textId="284F14C4" w:rsidR="002B6F3F" w:rsidRPr="00D326F8" w:rsidRDefault="003E23E4" w:rsidP="00912AEF">
            <w:pPr>
              <w:pStyle w:val="BodyText"/>
              <w:spacing w:before="120"/>
            </w:pPr>
            <w:bookmarkStart w:id="2" w:name="_Hlk62746501"/>
            <w:r w:rsidRPr="00D326F8">
              <w:t>2</w:t>
            </w:r>
            <w:r w:rsidR="009132AF">
              <w:t>2</w:t>
            </w:r>
            <w:r w:rsidRPr="00D326F8">
              <w:t> July </w:t>
            </w:r>
            <w:r w:rsidR="008913AE" w:rsidRPr="00D326F8">
              <w:t>2021</w:t>
            </w:r>
            <w:bookmarkEnd w:id="2"/>
          </w:p>
        </w:tc>
      </w:tr>
      <w:tr w:rsidR="003B74AE" w:rsidRPr="00D326F8" w14:paraId="601A7BF2" w14:textId="77777777" w:rsidTr="54CFC9BA">
        <w:trPr>
          <w:cantSplit/>
        </w:trPr>
        <w:tc>
          <w:tcPr>
            <w:tcW w:w="4253" w:type="dxa"/>
          </w:tcPr>
          <w:p w14:paraId="601A7BF0" w14:textId="77777777" w:rsidR="00E35976" w:rsidRPr="00D326F8" w:rsidRDefault="003E23E4" w:rsidP="00E35976">
            <w:pPr>
              <w:pStyle w:val="BodyText"/>
              <w:spacing w:before="120"/>
              <w:rPr>
                <w:b/>
              </w:rPr>
            </w:pPr>
            <w:bookmarkStart w:id="3" w:name="_Hlk517426549"/>
            <w:bookmarkEnd w:id="1"/>
            <w:r w:rsidRPr="00D326F8">
              <w:rPr>
                <w:b/>
              </w:rPr>
              <w:t xml:space="preserve">Merck </w:t>
            </w:r>
            <w:r w:rsidRPr="00D326F8">
              <w:t>Compoun</w:t>
            </w:r>
            <w:r w:rsidR="00912AEF" w:rsidRPr="00D326F8">
              <w:t>d</w:t>
            </w:r>
            <w:r w:rsidRPr="00D326F8">
              <w:rPr>
                <w:b/>
              </w:rPr>
              <w:t>:</w:t>
            </w:r>
          </w:p>
        </w:tc>
        <w:tc>
          <w:tcPr>
            <w:tcW w:w="5103" w:type="dxa"/>
          </w:tcPr>
          <w:p w14:paraId="601A7BF1" w14:textId="77777777" w:rsidR="00E35976" w:rsidRPr="00D326F8" w:rsidRDefault="003E23E4" w:rsidP="00E35976">
            <w:pPr>
              <w:pStyle w:val="BodyText"/>
              <w:spacing w:before="120"/>
            </w:pPr>
            <w:r w:rsidRPr="00D326F8">
              <w:t>Tepotinib</w:t>
            </w:r>
          </w:p>
        </w:tc>
      </w:tr>
      <w:tr w:rsidR="003B74AE" w:rsidRPr="00D326F8" w14:paraId="601A7BF5" w14:textId="77777777" w:rsidTr="54CFC9BA">
        <w:trPr>
          <w:cantSplit/>
        </w:trPr>
        <w:tc>
          <w:tcPr>
            <w:tcW w:w="4253" w:type="dxa"/>
            <w:tcBorders>
              <w:top w:val="single" w:sz="4" w:space="0" w:color="auto"/>
              <w:left w:val="single" w:sz="4" w:space="0" w:color="auto"/>
              <w:bottom w:val="single" w:sz="4" w:space="0" w:color="auto"/>
              <w:right w:val="single" w:sz="4" w:space="0" w:color="auto"/>
            </w:tcBorders>
          </w:tcPr>
          <w:p w14:paraId="601A7BF3" w14:textId="77777777" w:rsidR="001757D7" w:rsidRPr="00D326F8" w:rsidRDefault="003E23E4" w:rsidP="00FC6679">
            <w:pPr>
              <w:pStyle w:val="BodyText"/>
              <w:spacing w:before="120"/>
              <w:rPr>
                <w:b/>
              </w:rPr>
            </w:pPr>
            <w:r w:rsidRPr="00D326F8">
              <w:rPr>
                <w:b/>
              </w:rPr>
              <w:t>Merck Registered Compound Name in Japan</w:t>
            </w:r>
            <w:r w:rsidR="00C959FF" w:rsidRPr="00D326F8">
              <w:rPr>
                <w:b/>
              </w:rPr>
              <w:t>:</w:t>
            </w:r>
          </w:p>
        </w:tc>
        <w:tc>
          <w:tcPr>
            <w:tcW w:w="5103" w:type="dxa"/>
            <w:tcBorders>
              <w:top w:val="single" w:sz="4" w:space="0" w:color="auto"/>
              <w:left w:val="single" w:sz="4" w:space="0" w:color="auto"/>
              <w:bottom w:val="single" w:sz="4" w:space="0" w:color="auto"/>
              <w:right w:val="single" w:sz="4" w:space="0" w:color="auto"/>
            </w:tcBorders>
          </w:tcPr>
          <w:p w14:paraId="601A7BF4" w14:textId="77777777" w:rsidR="001757D7" w:rsidRPr="00D326F8" w:rsidRDefault="003E23E4" w:rsidP="00FC6679">
            <w:pPr>
              <w:pStyle w:val="BodyText"/>
              <w:spacing w:before="120"/>
            </w:pPr>
            <w:r w:rsidRPr="00D326F8">
              <w:t>Not Applicable</w:t>
            </w:r>
          </w:p>
        </w:tc>
      </w:tr>
      <w:tr w:rsidR="003B74AE" w:rsidRPr="00D326F8" w14:paraId="601A7BF8" w14:textId="77777777" w:rsidTr="54CFC9BA">
        <w:trPr>
          <w:cantSplit/>
        </w:trPr>
        <w:tc>
          <w:tcPr>
            <w:tcW w:w="4253" w:type="dxa"/>
            <w:tcBorders>
              <w:top w:val="single" w:sz="4" w:space="0" w:color="auto"/>
              <w:left w:val="single" w:sz="4" w:space="0" w:color="auto"/>
              <w:bottom w:val="single" w:sz="4" w:space="0" w:color="auto"/>
              <w:right w:val="single" w:sz="4" w:space="0" w:color="auto"/>
            </w:tcBorders>
          </w:tcPr>
          <w:p w14:paraId="601A7BF6" w14:textId="77777777" w:rsidR="00335B5A" w:rsidRPr="00D326F8" w:rsidRDefault="003E23E4" w:rsidP="00305F91">
            <w:pPr>
              <w:pStyle w:val="BodyText"/>
              <w:spacing w:before="120"/>
              <w:rPr>
                <w:b/>
                <w:bCs/>
              </w:rPr>
            </w:pPr>
            <w:bookmarkStart w:id="4" w:name="_Hlk3886263"/>
            <w:bookmarkEnd w:id="3"/>
            <w:r w:rsidRPr="00D326F8">
              <w:rPr>
                <w:b/>
                <w:bCs/>
              </w:rPr>
              <w:t>Study Phase:</w:t>
            </w:r>
          </w:p>
        </w:tc>
        <w:tc>
          <w:tcPr>
            <w:tcW w:w="5103" w:type="dxa"/>
            <w:tcBorders>
              <w:top w:val="single" w:sz="4" w:space="0" w:color="auto"/>
              <w:left w:val="single" w:sz="4" w:space="0" w:color="auto"/>
              <w:bottom w:val="single" w:sz="4" w:space="0" w:color="auto"/>
              <w:right w:val="single" w:sz="4" w:space="0" w:color="auto"/>
            </w:tcBorders>
          </w:tcPr>
          <w:p w14:paraId="601A7BF7" w14:textId="77777777" w:rsidR="00335B5A" w:rsidRPr="00D326F8" w:rsidRDefault="003E23E4" w:rsidP="00912AEF">
            <w:pPr>
              <w:pStyle w:val="List1withbullet"/>
              <w:numPr>
                <w:ilvl w:val="0"/>
                <w:numId w:val="0"/>
              </w:numPr>
            </w:pPr>
            <w:r w:rsidRPr="00D326F8">
              <w:t>Phase I</w:t>
            </w:r>
          </w:p>
        </w:tc>
      </w:tr>
      <w:tr w:rsidR="003B74AE" w:rsidRPr="00D326F8" w14:paraId="601A7BFB" w14:textId="77777777" w:rsidTr="54CFC9BA">
        <w:trPr>
          <w:cantSplit/>
        </w:trPr>
        <w:tc>
          <w:tcPr>
            <w:tcW w:w="4253" w:type="dxa"/>
          </w:tcPr>
          <w:p w14:paraId="601A7BF9" w14:textId="77777777" w:rsidR="00E35976" w:rsidRPr="00D326F8" w:rsidRDefault="003E23E4" w:rsidP="00E35976">
            <w:pPr>
              <w:pStyle w:val="BodyText"/>
              <w:spacing w:before="120"/>
              <w:rPr>
                <w:b/>
              </w:rPr>
            </w:pPr>
            <w:bookmarkStart w:id="5" w:name="_Hlk54961926"/>
            <w:bookmarkEnd w:id="4"/>
            <w:r w:rsidRPr="00D326F8">
              <w:rPr>
                <w:b/>
              </w:rPr>
              <w:t>Short Title:</w:t>
            </w:r>
          </w:p>
        </w:tc>
        <w:tc>
          <w:tcPr>
            <w:tcW w:w="5103" w:type="dxa"/>
          </w:tcPr>
          <w:p w14:paraId="601A7BFA" w14:textId="299C6342" w:rsidR="00E35976" w:rsidRPr="00D326F8" w:rsidRDefault="003E23E4" w:rsidP="00912AEF">
            <w:pPr>
              <w:pStyle w:val="List1withbullet"/>
              <w:numPr>
                <w:ilvl w:val="0"/>
                <w:numId w:val="0"/>
              </w:numPr>
            </w:pPr>
            <w:r w:rsidRPr="00D326F8">
              <w:t xml:space="preserve">Tepotinib </w:t>
            </w:r>
            <w:r w:rsidR="00671982" w:rsidRPr="00D326F8">
              <w:t>D</w:t>
            </w:r>
            <w:r w:rsidRPr="00D326F8">
              <w:t>rug-</w:t>
            </w:r>
            <w:r w:rsidR="00671982" w:rsidRPr="00D326F8">
              <w:t>D</w:t>
            </w:r>
            <w:r w:rsidRPr="00D326F8">
              <w:t xml:space="preserve">rug </w:t>
            </w:r>
            <w:r w:rsidR="00671982" w:rsidRPr="00D326F8">
              <w:t>I</w:t>
            </w:r>
            <w:r w:rsidRPr="00D326F8">
              <w:t xml:space="preserve">nteraction </w:t>
            </w:r>
            <w:r w:rsidR="00671982" w:rsidRPr="00D326F8">
              <w:t>S</w:t>
            </w:r>
            <w:r w:rsidRPr="00D326F8">
              <w:t xml:space="preserve">tudy with </w:t>
            </w:r>
            <w:r w:rsidR="00671982" w:rsidRPr="00D326F8">
              <w:t>C</w:t>
            </w:r>
            <w:r w:rsidRPr="00D326F8">
              <w:t xml:space="preserve">arbamazepine in </w:t>
            </w:r>
            <w:r w:rsidR="00671982" w:rsidRPr="00D326F8">
              <w:t>H</w:t>
            </w:r>
            <w:r w:rsidRPr="00D326F8">
              <w:t xml:space="preserve">ealthy </w:t>
            </w:r>
            <w:r w:rsidR="00671982" w:rsidRPr="00D326F8">
              <w:t>P</w:t>
            </w:r>
            <w:r w:rsidRPr="00D326F8">
              <w:t>articipants</w:t>
            </w:r>
          </w:p>
        </w:tc>
      </w:tr>
      <w:bookmarkEnd w:id="5"/>
      <w:tr w:rsidR="003B74AE" w:rsidRPr="00D326F8" w14:paraId="601A7C00" w14:textId="77777777" w:rsidTr="54CFC9BA">
        <w:trPr>
          <w:cantSplit/>
        </w:trPr>
        <w:tc>
          <w:tcPr>
            <w:tcW w:w="4253" w:type="dxa"/>
          </w:tcPr>
          <w:p w14:paraId="601A7BFC" w14:textId="77777777" w:rsidR="00E35976" w:rsidRPr="00D326F8" w:rsidRDefault="003E23E4" w:rsidP="00912AEF">
            <w:pPr>
              <w:pStyle w:val="BodyText"/>
              <w:spacing w:before="120"/>
            </w:pPr>
            <w:r w:rsidRPr="00D326F8">
              <w:t>Principal Investigator:</w:t>
            </w:r>
          </w:p>
        </w:tc>
        <w:tc>
          <w:tcPr>
            <w:tcW w:w="5103" w:type="dxa"/>
          </w:tcPr>
          <w:p w14:paraId="601A7BFD" w14:textId="77777777" w:rsidR="00E35976" w:rsidRPr="00D326F8" w:rsidRDefault="003E23E4" w:rsidP="00E35976">
            <w:pPr>
              <w:pStyle w:val="BodyText"/>
              <w:spacing w:before="120"/>
              <w:rPr>
                <w:lang w:val="de-DE"/>
              </w:rPr>
            </w:pPr>
            <w:r w:rsidRPr="00D326F8">
              <w:rPr>
                <w:lang w:val="de-DE"/>
              </w:rPr>
              <w:t>Dr. Steffen Haffner</w:t>
            </w:r>
            <w:r w:rsidR="00CE00CF" w:rsidRPr="00D326F8">
              <w:rPr>
                <w:lang w:val="de-DE"/>
              </w:rPr>
              <w:t>, MD</w:t>
            </w:r>
          </w:p>
          <w:p w14:paraId="601A7BFE" w14:textId="77777777" w:rsidR="00A8535A" w:rsidRPr="00D326F8" w:rsidRDefault="003E23E4" w:rsidP="00CE00CF">
            <w:pPr>
              <w:pStyle w:val="BodyText"/>
              <w:spacing w:before="0"/>
              <w:rPr>
                <w:lang w:val="de-DE"/>
              </w:rPr>
            </w:pPr>
            <w:r w:rsidRPr="00D326F8">
              <w:rPr>
                <w:lang w:val="de-DE"/>
              </w:rPr>
              <w:t xml:space="preserve">Nuvisan GmbH, </w:t>
            </w:r>
            <w:proofErr w:type="spellStart"/>
            <w:r w:rsidRPr="00D326F8">
              <w:rPr>
                <w:lang w:val="de-DE"/>
              </w:rPr>
              <w:t>Wegenerstrasse</w:t>
            </w:r>
            <w:proofErr w:type="spellEnd"/>
            <w:r w:rsidRPr="00D326F8">
              <w:rPr>
                <w:lang w:val="de-DE"/>
              </w:rPr>
              <w:t xml:space="preserve"> 13</w:t>
            </w:r>
          </w:p>
          <w:p w14:paraId="601A7BFF" w14:textId="77777777" w:rsidR="00E35976" w:rsidRPr="00D326F8" w:rsidRDefault="003E23E4" w:rsidP="00CE00CF">
            <w:pPr>
              <w:pStyle w:val="BodyText"/>
              <w:spacing w:before="0"/>
            </w:pPr>
            <w:r w:rsidRPr="00D326F8">
              <w:t>89231 Neu-Ulm, Germany</w:t>
            </w:r>
          </w:p>
        </w:tc>
      </w:tr>
      <w:tr w:rsidR="003B74AE" w:rsidRPr="00D326F8" w14:paraId="601A7C09" w14:textId="77777777" w:rsidTr="54CFC9BA">
        <w:trPr>
          <w:cantSplit/>
        </w:trPr>
        <w:tc>
          <w:tcPr>
            <w:tcW w:w="4253" w:type="dxa"/>
          </w:tcPr>
          <w:p w14:paraId="601A7C01" w14:textId="77777777" w:rsidR="00E35976" w:rsidRPr="00D326F8" w:rsidRDefault="003E23E4" w:rsidP="00E35976">
            <w:pPr>
              <w:pStyle w:val="BodyText"/>
              <w:spacing w:before="120"/>
              <w:rPr>
                <w:b/>
              </w:rPr>
            </w:pPr>
            <w:bookmarkStart w:id="6" w:name="_Hlk3885537"/>
            <w:r w:rsidRPr="00D326F8">
              <w:rPr>
                <w:b/>
              </w:rPr>
              <w:t>Sponsor Name and Legal Registered Address:</w:t>
            </w:r>
          </w:p>
        </w:tc>
        <w:tc>
          <w:tcPr>
            <w:tcW w:w="5103" w:type="dxa"/>
          </w:tcPr>
          <w:p w14:paraId="601A7C02" w14:textId="77777777" w:rsidR="008032E1" w:rsidRPr="00D326F8" w:rsidRDefault="003E23E4" w:rsidP="00912AEF">
            <w:pPr>
              <w:pStyle w:val="BodyText"/>
              <w:spacing w:before="120"/>
            </w:pPr>
            <w:r w:rsidRPr="00D326F8">
              <w:t>Sponsor:</w:t>
            </w:r>
          </w:p>
          <w:p w14:paraId="601A7C03" w14:textId="77777777" w:rsidR="008032E1" w:rsidRPr="00D326F8" w:rsidRDefault="003E23E4" w:rsidP="00755CB1">
            <w:pPr>
              <w:pStyle w:val="BodyText"/>
              <w:spacing w:before="0"/>
            </w:pPr>
            <w:r w:rsidRPr="00D326F8">
              <w:t xml:space="preserve">Affiliates of Merck </w:t>
            </w:r>
            <w:proofErr w:type="spellStart"/>
            <w:r w:rsidRPr="00D326F8">
              <w:t>KGaA</w:t>
            </w:r>
            <w:proofErr w:type="spellEnd"/>
            <w:r w:rsidRPr="00D326F8">
              <w:t>, Darmstadt, Germany</w:t>
            </w:r>
          </w:p>
          <w:p w14:paraId="601A7C04" w14:textId="77777777" w:rsidR="008032E1" w:rsidRPr="00D326F8" w:rsidRDefault="003E23E4" w:rsidP="008032E1">
            <w:pPr>
              <w:pStyle w:val="BodyText"/>
              <w:spacing w:before="120"/>
              <w:jc w:val="left"/>
              <w:rPr>
                <w:szCs w:val="24"/>
              </w:rPr>
            </w:pPr>
            <w:r w:rsidRPr="00D326F8">
              <w:rPr>
                <w:szCs w:val="24"/>
              </w:rPr>
              <w:t>For all countries, except the US and Canada:</w:t>
            </w:r>
          </w:p>
          <w:p w14:paraId="601A7C05" w14:textId="77777777" w:rsidR="008032E1" w:rsidRPr="00D326F8" w:rsidRDefault="003E23E4" w:rsidP="008032E1">
            <w:pPr>
              <w:pStyle w:val="BodyText"/>
              <w:spacing w:before="0"/>
              <w:jc w:val="left"/>
              <w:rPr>
                <w:szCs w:val="24"/>
              </w:rPr>
            </w:pPr>
            <w:bookmarkStart w:id="7" w:name="_Hlk22650412"/>
            <w:r w:rsidRPr="00D326F8">
              <w:rPr>
                <w:szCs w:val="24"/>
              </w:rPr>
              <w:t xml:space="preserve">Merck Healthcare </w:t>
            </w:r>
            <w:proofErr w:type="spellStart"/>
            <w:r w:rsidRPr="00D326F8">
              <w:rPr>
                <w:szCs w:val="24"/>
              </w:rPr>
              <w:t>KGaA</w:t>
            </w:r>
            <w:proofErr w:type="spellEnd"/>
            <w:r w:rsidRPr="00D326F8">
              <w:rPr>
                <w:szCs w:val="24"/>
              </w:rPr>
              <w:t xml:space="preserve">, Darmstadt, Germany </w:t>
            </w:r>
          </w:p>
          <w:bookmarkEnd w:id="7"/>
          <w:p w14:paraId="601A7C06" w14:textId="77777777" w:rsidR="008032E1" w:rsidRPr="00D326F8" w:rsidRDefault="003E23E4" w:rsidP="008032E1">
            <w:pPr>
              <w:pStyle w:val="BodyText"/>
              <w:spacing w:before="0"/>
              <w:jc w:val="left"/>
              <w:rPr>
                <w:rFonts w:ascii="Calibri" w:hAnsi="Calibri"/>
                <w:sz w:val="22"/>
                <w:szCs w:val="22"/>
              </w:rPr>
            </w:pPr>
            <w:r w:rsidRPr="00D326F8">
              <w:rPr>
                <w:szCs w:val="24"/>
              </w:rPr>
              <w:t xml:space="preserve">an affiliate of Merck </w:t>
            </w:r>
            <w:proofErr w:type="spellStart"/>
            <w:r w:rsidRPr="00D326F8">
              <w:rPr>
                <w:szCs w:val="24"/>
              </w:rPr>
              <w:t>KGaA</w:t>
            </w:r>
            <w:proofErr w:type="spellEnd"/>
            <w:r w:rsidRPr="00D326F8">
              <w:rPr>
                <w:szCs w:val="24"/>
              </w:rPr>
              <w:t>, Darmstadt, Germany</w:t>
            </w:r>
          </w:p>
          <w:p w14:paraId="601A7C07" w14:textId="77777777" w:rsidR="008032E1" w:rsidRPr="00D326F8" w:rsidRDefault="003E23E4" w:rsidP="008032E1">
            <w:pPr>
              <w:pStyle w:val="BodyText"/>
              <w:spacing w:before="0"/>
              <w:jc w:val="left"/>
              <w:rPr>
                <w:szCs w:val="24"/>
              </w:rPr>
            </w:pPr>
            <w:r w:rsidRPr="00D326F8">
              <w:rPr>
                <w:szCs w:val="24"/>
              </w:rPr>
              <w:t>Frankfurter Str. 250</w:t>
            </w:r>
          </w:p>
          <w:p w14:paraId="601A7C08" w14:textId="77777777" w:rsidR="00C32220" w:rsidRPr="00D326F8" w:rsidRDefault="003E23E4" w:rsidP="00A8535A">
            <w:pPr>
              <w:pStyle w:val="BodyText"/>
              <w:spacing w:before="0"/>
              <w:jc w:val="left"/>
              <w:rPr>
                <w:szCs w:val="24"/>
              </w:rPr>
            </w:pPr>
            <w:r w:rsidRPr="00D326F8">
              <w:rPr>
                <w:szCs w:val="24"/>
              </w:rPr>
              <w:t xml:space="preserve">64293, </w:t>
            </w:r>
            <w:r w:rsidR="00A55EAE" w:rsidRPr="00D326F8">
              <w:rPr>
                <w:szCs w:val="24"/>
              </w:rPr>
              <w:t>Darmstadt, Germany</w:t>
            </w:r>
          </w:p>
        </w:tc>
      </w:tr>
      <w:bookmarkEnd w:id="6"/>
      <w:tr w:rsidR="003B74AE" w:rsidRPr="00D326F8" w14:paraId="601A7C0C" w14:textId="77777777" w:rsidTr="54CFC9BA">
        <w:trPr>
          <w:cantSplit/>
        </w:trPr>
        <w:tc>
          <w:tcPr>
            <w:tcW w:w="4253" w:type="dxa"/>
          </w:tcPr>
          <w:p w14:paraId="601A7C0A" w14:textId="77777777" w:rsidR="00E35976" w:rsidRPr="00D326F8" w:rsidRDefault="003E23E4" w:rsidP="004F72C0">
            <w:pPr>
              <w:pStyle w:val="BodyText"/>
              <w:spacing w:before="120"/>
              <w:jc w:val="left"/>
              <w:rPr>
                <w:b/>
              </w:rPr>
            </w:pPr>
            <w:r w:rsidRPr="00D326F8">
              <w:rPr>
                <w:b/>
              </w:rPr>
              <w:t>Regulatory Agency Identifying Numbers:</w:t>
            </w:r>
          </w:p>
        </w:tc>
        <w:tc>
          <w:tcPr>
            <w:tcW w:w="5103" w:type="dxa"/>
          </w:tcPr>
          <w:p w14:paraId="601A7C0B" w14:textId="77777777" w:rsidR="00335B5A" w:rsidRPr="00D326F8" w:rsidRDefault="003E23E4" w:rsidP="004C6133">
            <w:pPr>
              <w:pStyle w:val="BodyText"/>
            </w:pPr>
            <w:r w:rsidRPr="00D326F8">
              <w:t>EudraCT:</w:t>
            </w:r>
            <w:r w:rsidR="00524617" w:rsidRPr="00D326F8">
              <w:t xml:space="preserve"> 2021-003546-20</w:t>
            </w:r>
          </w:p>
        </w:tc>
      </w:tr>
      <w:tr w:rsidR="003B74AE" w:rsidRPr="00D326F8" w14:paraId="601A7C0F" w14:textId="77777777" w:rsidTr="54CFC9BA">
        <w:trPr>
          <w:cantSplit/>
        </w:trPr>
        <w:tc>
          <w:tcPr>
            <w:tcW w:w="4253" w:type="dxa"/>
          </w:tcPr>
          <w:p w14:paraId="601A7C0D" w14:textId="77777777" w:rsidR="00131574" w:rsidRPr="00D326F8" w:rsidRDefault="003E23E4" w:rsidP="00E35976">
            <w:pPr>
              <w:pStyle w:val="BodyText"/>
              <w:spacing w:before="120"/>
              <w:rPr>
                <w:b/>
              </w:rPr>
            </w:pPr>
            <w:bookmarkStart w:id="8" w:name="_Hlk62634826"/>
            <w:r w:rsidRPr="00D326F8">
              <w:rPr>
                <w:b/>
              </w:rPr>
              <w:t>Keywords</w:t>
            </w:r>
          </w:p>
        </w:tc>
        <w:tc>
          <w:tcPr>
            <w:tcW w:w="5103" w:type="dxa"/>
          </w:tcPr>
          <w:p w14:paraId="601A7C0E" w14:textId="77777777" w:rsidR="00546779" w:rsidRPr="00D326F8" w:rsidRDefault="003E23E4" w:rsidP="00912AEF">
            <w:pPr>
              <w:pStyle w:val="BodyText"/>
              <w:spacing w:before="120"/>
            </w:pPr>
            <w:r w:rsidRPr="00D326F8">
              <w:t>Clinical pharmacology, metabolite, induction of metabolism</w:t>
            </w:r>
          </w:p>
        </w:tc>
      </w:tr>
      <w:bookmarkEnd w:id="8"/>
    </w:tbl>
    <w:p w14:paraId="601A7C10" w14:textId="77777777" w:rsidR="0099601C" w:rsidRPr="00D326F8" w:rsidRDefault="0099601C" w:rsidP="0099601C">
      <w:pPr>
        <w:pStyle w:val="BodyText"/>
      </w:pPr>
    </w:p>
    <w:p w14:paraId="601A7C11" w14:textId="4976B400" w:rsidR="00623D75" w:rsidRPr="00D326F8" w:rsidRDefault="00BC2888" w:rsidP="00623D75">
      <w:pPr>
        <w:pStyle w:val="Tablefootnote"/>
        <w:jc w:val="center"/>
      </w:pPr>
      <w:bookmarkStart w:id="9" w:name="_Hlk3885575"/>
      <w:r w:rsidRPr="00D326F8">
        <w:t>–</w:t>
      </w:r>
      <w:r w:rsidR="003E23E4" w:rsidRPr="00D326F8">
        <w:t xml:space="preserve"> Confidential –</w:t>
      </w:r>
    </w:p>
    <w:p w14:paraId="601A7C12" w14:textId="77777777" w:rsidR="0099601C" w:rsidRPr="00D326F8" w:rsidRDefault="003E23E4" w:rsidP="00623D75">
      <w:pPr>
        <w:pStyle w:val="Tablefootnote"/>
        <w:jc w:val="center"/>
      </w:pPr>
      <w:r w:rsidRPr="00D326F8">
        <w:t xml:space="preserve">This document is the property of Merck </w:t>
      </w:r>
      <w:proofErr w:type="spellStart"/>
      <w:r w:rsidRPr="00D326F8">
        <w:t>KGaA</w:t>
      </w:r>
      <w:proofErr w:type="spellEnd"/>
      <w:r w:rsidRPr="00D326F8">
        <w:t xml:space="preserve">, Darmstadt, Germany, or one of its subsidiaries. It is intended for restricted use only and may not – in full or part – be passed on, reproduced, </w:t>
      </w:r>
      <w:proofErr w:type="gramStart"/>
      <w:r w:rsidRPr="00D326F8">
        <w:t>published</w:t>
      </w:r>
      <w:proofErr w:type="gramEnd"/>
      <w:r w:rsidRPr="00D326F8">
        <w:t xml:space="preserve"> or used without express permission of Merck </w:t>
      </w:r>
      <w:proofErr w:type="spellStart"/>
      <w:r w:rsidRPr="00D326F8">
        <w:t>KGaA</w:t>
      </w:r>
      <w:proofErr w:type="spellEnd"/>
      <w:r w:rsidRPr="00D326F8">
        <w:t>, Darmstadt, Germany, or its subsidiary. Copyright © 20</w:t>
      </w:r>
      <w:r w:rsidR="00524617" w:rsidRPr="00D326F8">
        <w:t>21</w:t>
      </w:r>
      <w:r w:rsidRPr="00D326F8">
        <w:t xml:space="preserve"> by Merck </w:t>
      </w:r>
      <w:proofErr w:type="spellStart"/>
      <w:r w:rsidRPr="00D326F8">
        <w:t>KGaA</w:t>
      </w:r>
      <w:proofErr w:type="spellEnd"/>
      <w:r w:rsidRPr="00D326F8">
        <w:t>, Darmstadt, Germany, or its subsidiary. All rights reserved.</w:t>
      </w:r>
    </w:p>
    <w:bookmarkEnd w:id="9"/>
    <w:p w14:paraId="601A7C13" w14:textId="77777777" w:rsidR="0099601C" w:rsidRPr="00D326F8" w:rsidRDefault="0099601C" w:rsidP="0099601C">
      <w:pPr>
        <w:pStyle w:val="BodyText"/>
      </w:pPr>
    </w:p>
    <w:p w14:paraId="601A7C14" w14:textId="77777777" w:rsidR="00623D75" w:rsidRPr="00D326F8" w:rsidRDefault="003E23E4" w:rsidP="00BA43ED">
      <w:pPr>
        <w:pStyle w:val="Heading1unnumbered"/>
        <w:pageBreakBefore/>
      </w:pPr>
      <w:bookmarkStart w:id="10" w:name="_Toc77839713"/>
      <w:r w:rsidRPr="00D326F8">
        <w:lastRenderedPageBreak/>
        <w:t>Table of Contents</w:t>
      </w:r>
      <w:bookmarkEnd w:id="10"/>
    </w:p>
    <w:p w14:paraId="3E29E0BF" w14:textId="1FB532F1" w:rsidR="00173A27" w:rsidRDefault="003E23E4">
      <w:pPr>
        <w:pStyle w:val="TOC1"/>
        <w:rPr>
          <w:rFonts w:asciiTheme="minorHAnsi" w:eastAsiaTheme="minorEastAsia" w:hAnsiTheme="minorHAnsi" w:cstheme="minorBidi"/>
          <w:sz w:val="22"/>
          <w:szCs w:val="22"/>
          <w:lang w:val="de-DE" w:eastAsia="de-DE"/>
        </w:rPr>
      </w:pPr>
      <w:r w:rsidRPr="00D326F8">
        <w:fldChar w:fldCharType="begin"/>
      </w:r>
      <w:r w:rsidR="008B04B7" w:rsidRPr="00D326F8">
        <w:instrText xml:space="preserve"> TOC \o "1-4" \h \z </w:instrText>
      </w:r>
      <w:r w:rsidRPr="00D326F8">
        <w:fldChar w:fldCharType="separate"/>
      </w:r>
      <w:hyperlink w:anchor="_Toc77839712" w:history="1">
        <w:r w:rsidR="00173A27" w:rsidRPr="00984B70">
          <w:rPr>
            <w:rStyle w:val="Hyperlink"/>
          </w:rPr>
          <w:t>Title Page</w:t>
        </w:r>
        <w:r w:rsidR="00173A27">
          <w:rPr>
            <w:webHidden/>
          </w:rPr>
          <w:tab/>
        </w:r>
        <w:r w:rsidR="009D2034">
          <w:rPr>
            <w:webHidden/>
          </w:rPr>
          <w:tab/>
        </w:r>
        <w:r w:rsidR="00173A27">
          <w:rPr>
            <w:webHidden/>
          </w:rPr>
          <w:fldChar w:fldCharType="begin"/>
        </w:r>
        <w:r w:rsidR="00173A27">
          <w:rPr>
            <w:webHidden/>
          </w:rPr>
          <w:instrText xml:space="preserve"> PAGEREF _Toc77839712 \h </w:instrText>
        </w:r>
        <w:r w:rsidR="00173A27">
          <w:rPr>
            <w:webHidden/>
          </w:rPr>
        </w:r>
        <w:r w:rsidR="00173A27">
          <w:rPr>
            <w:webHidden/>
          </w:rPr>
          <w:fldChar w:fldCharType="separate"/>
        </w:r>
        <w:r w:rsidR="00173A27">
          <w:rPr>
            <w:webHidden/>
          </w:rPr>
          <w:t>1</w:t>
        </w:r>
        <w:r w:rsidR="00173A27">
          <w:rPr>
            <w:webHidden/>
          </w:rPr>
          <w:fldChar w:fldCharType="end"/>
        </w:r>
      </w:hyperlink>
    </w:p>
    <w:p w14:paraId="679FDEC5" w14:textId="056FFABB" w:rsidR="00173A27" w:rsidRDefault="002E504A">
      <w:pPr>
        <w:pStyle w:val="TOC1"/>
        <w:rPr>
          <w:rFonts w:asciiTheme="minorHAnsi" w:eastAsiaTheme="minorEastAsia" w:hAnsiTheme="minorHAnsi" w:cstheme="minorBidi"/>
          <w:sz w:val="22"/>
          <w:szCs w:val="22"/>
          <w:lang w:val="de-DE" w:eastAsia="de-DE"/>
        </w:rPr>
      </w:pPr>
      <w:hyperlink w:anchor="_Toc77839713" w:history="1">
        <w:r w:rsidR="00173A27" w:rsidRPr="00984B70">
          <w:rPr>
            <w:rStyle w:val="Hyperlink"/>
          </w:rPr>
          <w:t>Table of Contents</w:t>
        </w:r>
        <w:r w:rsidR="00173A27">
          <w:rPr>
            <w:webHidden/>
          </w:rPr>
          <w:tab/>
        </w:r>
        <w:r w:rsidR="009D2034">
          <w:rPr>
            <w:webHidden/>
          </w:rPr>
          <w:tab/>
        </w:r>
        <w:r w:rsidR="00173A27">
          <w:rPr>
            <w:webHidden/>
          </w:rPr>
          <w:fldChar w:fldCharType="begin"/>
        </w:r>
        <w:r w:rsidR="00173A27">
          <w:rPr>
            <w:webHidden/>
          </w:rPr>
          <w:instrText xml:space="preserve"> PAGEREF _Toc77839713 \h </w:instrText>
        </w:r>
        <w:r w:rsidR="00173A27">
          <w:rPr>
            <w:webHidden/>
          </w:rPr>
        </w:r>
        <w:r w:rsidR="00173A27">
          <w:rPr>
            <w:webHidden/>
          </w:rPr>
          <w:fldChar w:fldCharType="separate"/>
        </w:r>
        <w:r w:rsidR="00173A27">
          <w:rPr>
            <w:webHidden/>
          </w:rPr>
          <w:t>2</w:t>
        </w:r>
        <w:r w:rsidR="00173A27">
          <w:rPr>
            <w:webHidden/>
          </w:rPr>
          <w:fldChar w:fldCharType="end"/>
        </w:r>
      </w:hyperlink>
    </w:p>
    <w:p w14:paraId="7B320E2B" w14:textId="33F28DBC" w:rsidR="00173A27" w:rsidRDefault="002E504A">
      <w:pPr>
        <w:pStyle w:val="TOC1"/>
        <w:rPr>
          <w:rFonts w:asciiTheme="minorHAnsi" w:eastAsiaTheme="minorEastAsia" w:hAnsiTheme="minorHAnsi" w:cstheme="minorBidi"/>
          <w:sz w:val="22"/>
          <w:szCs w:val="22"/>
          <w:lang w:val="de-DE" w:eastAsia="de-DE"/>
        </w:rPr>
      </w:pPr>
      <w:hyperlink w:anchor="_Toc77839714" w:history="1">
        <w:r w:rsidR="00173A27" w:rsidRPr="00984B70">
          <w:rPr>
            <w:rStyle w:val="Hyperlink"/>
          </w:rPr>
          <w:t>Table of Tables</w:t>
        </w:r>
        <w:r w:rsidR="00173A27">
          <w:rPr>
            <w:webHidden/>
          </w:rPr>
          <w:tab/>
        </w:r>
        <w:r w:rsidR="009D2034">
          <w:rPr>
            <w:webHidden/>
          </w:rPr>
          <w:tab/>
        </w:r>
        <w:r w:rsidR="00173A27">
          <w:rPr>
            <w:webHidden/>
          </w:rPr>
          <w:fldChar w:fldCharType="begin"/>
        </w:r>
        <w:r w:rsidR="00173A27">
          <w:rPr>
            <w:webHidden/>
          </w:rPr>
          <w:instrText xml:space="preserve"> PAGEREF _Toc77839714 \h </w:instrText>
        </w:r>
        <w:r w:rsidR="00173A27">
          <w:rPr>
            <w:webHidden/>
          </w:rPr>
        </w:r>
        <w:r w:rsidR="00173A27">
          <w:rPr>
            <w:webHidden/>
          </w:rPr>
          <w:fldChar w:fldCharType="separate"/>
        </w:r>
        <w:r w:rsidR="00173A27">
          <w:rPr>
            <w:webHidden/>
          </w:rPr>
          <w:t>5</w:t>
        </w:r>
        <w:r w:rsidR="00173A27">
          <w:rPr>
            <w:webHidden/>
          </w:rPr>
          <w:fldChar w:fldCharType="end"/>
        </w:r>
      </w:hyperlink>
    </w:p>
    <w:p w14:paraId="4A568952" w14:textId="04D2BDC6" w:rsidR="00173A27" w:rsidRDefault="002E504A">
      <w:pPr>
        <w:pStyle w:val="TOC1"/>
        <w:rPr>
          <w:rFonts w:asciiTheme="minorHAnsi" w:eastAsiaTheme="minorEastAsia" w:hAnsiTheme="minorHAnsi" w:cstheme="minorBidi"/>
          <w:sz w:val="22"/>
          <w:szCs w:val="22"/>
          <w:lang w:val="de-DE" w:eastAsia="de-DE"/>
        </w:rPr>
      </w:pPr>
      <w:hyperlink w:anchor="_Toc77839715" w:history="1">
        <w:r w:rsidR="00173A27" w:rsidRPr="00984B70">
          <w:rPr>
            <w:rStyle w:val="Hyperlink"/>
          </w:rPr>
          <w:t>1</w:t>
        </w:r>
        <w:r w:rsidR="00173A27">
          <w:rPr>
            <w:rFonts w:asciiTheme="minorHAnsi" w:eastAsiaTheme="minorEastAsia" w:hAnsiTheme="minorHAnsi" w:cstheme="minorBidi"/>
            <w:sz w:val="22"/>
            <w:szCs w:val="22"/>
            <w:lang w:val="de-DE" w:eastAsia="de-DE"/>
          </w:rPr>
          <w:tab/>
        </w:r>
        <w:r w:rsidR="00173A27" w:rsidRPr="00984B70">
          <w:rPr>
            <w:rStyle w:val="Hyperlink"/>
          </w:rPr>
          <w:t>Protocol Summary</w:t>
        </w:r>
        <w:r w:rsidR="00173A27">
          <w:rPr>
            <w:webHidden/>
          </w:rPr>
          <w:tab/>
        </w:r>
        <w:r w:rsidR="00173A27">
          <w:rPr>
            <w:webHidden/>
          </w:rPr>
          <w:fldChar w:fldCharType="begin"/>
        </w:r>
        <w:r w:rsidR="00173A27">
          <w:rPr>
            <w:webHidden/>
          </w:rPr>
          <w:instrText xml:space="preserve"> PAGEREF _Toc77839715 \h </w:instrText>
        </w:r>
        <w:r w:rsidR="00173A27">
          <w:rPr>
            <w:webHidden/>
          </w:rPr>
        </w:r>
        <w:r w:rsidR="00173A27">
          <w:rPr>
            <w:webHidden/>
          </w:rPr>
          <w:fldChar w:fldCharType="separate"/>
        </w:r>
        <w:r w:rsidR="00173A27">
          <w:rPr>
            <w:webHidden/>
          </w:rPr>
          <w:t>6</w:t>
        </w:r>
        <w:r w:rsidR="00173A27">
          <w:rPr>
            <w:webHidden/>
          </w:rPr>
          <w:fldChar w:fldCharType="end"/>
        </w:r>
      </w:hyperlink>
    </w:p>
    <w:p w14:paraId="74DEF8CF" w14:textId="58A3DFB3" w:rsidR="00173A27" w:rsidRDefault="002E504A">
      <w:pPr>
        <w:pStyle w:val="TOC2"/>
        <w:rPr>
          <w:rFonts w:asciiTheme="minorHAnsi" w:eastAsiaTheme="minorEastAsia" w:hAnsiTheme="minorHAnsi" w:cstheme="minorBidi"/>
          <w:sz w:val="22"/>
          <w:szCs w:val="22"/>
          <w:lang w:val="de-DE" w:eastAsia="de-DE"/>
        </w:rPr>
      </w:pPr>
      <w:hyperlink w:anchor="_Toc77839716" w:history="1">
        <w:r w:rsidR="00173A27" w:rsidRPr="00984B70">
          <w:rPr>
            <w:rStyle w:val="Hyperlink"/>
          </w:rPr>
          <w:t>1.1</w:t>
        </w:r>
        <w:r w:rsidR="00173A27">
          <w:rPr>
            <w:rFonts w:asciiTheme="minorHAnsi" w:eastAsiaTheme="minorEastAsia" w:hAnsiTheme="minorHAnsi" w:cstheme="minorBidi"/>
            <w:sz w:val="22"/>
            <w:szCs w:val="22"/>
            <w:lang w:val="de-DE" w:eastAsia="de-DE"/>
          </w:rPr>
          <w:tab/>
        </w:r>
        <w:r w:rsidR="00173A27" w:rsidRPr="00984B70">
          <w:rPr>
            <w:rStyle w:val="Hyperlink"/>
          </w:rPr>
          <w:t>Synopsis</w:t>
        </w:r>
        <w:r w:rsidR="00173A27">
          <w:rPr>
            <w:webHidden/>
          </w:rPr>
          <w:tab/>
        </w:r>
        <w:r w:rsidR="00173A27">
          <w:rPr>
            <w:webHidden/>
          </w:rPr>
          <w:fldChar w:fldCharType="begin"/>
        </w:r>
        <w:r w:rsidR="00173A27">
          <w:rPr>
            <w:webHidden/>
          </w:rPr>
          <w:instrText xml:space="preserve"> PAGEREF _Toc77839716 \h </w:instrText>
        </w:r>
        <w:r w:rsidR="00173A27">
          <w:rPr>
            <w:webHidden/>
          </w:rPr>
        </w:r>
        <w:r w:rsidR="00173A27">
          <w:rPr>
            <w:webHidden/>
          </w:rPr>
          <w:fldChar w:fldCharType="separate"/>
        </w:r>
        <w:r w:rsidR="00173A27">
          <w:rPr>
            <w:webHidden/>
          </w:rPr>
          <w:t>6</w:t>
        </w:r>
        <w:r w:rsidR="00173A27">
          <w:rPr>
            <w:webHidden/>
          </w:rPr>
          <w:fldChar w:fldCharType="end"/>
        </w:r>
      </w:hyperlink>
    </w:p>
    <w:p w14:paraId="28FC1E3A" w14:textId="1994C4C1" w:rsidR="00173A27" w:rsidRDefault="002E504A">
      <w:pPr>
        <w:pStyle w:val="TOC2"/>
        <w:rPr>
          <w:rFonts w:asciiTheme="minorHAnsi" w:eastAsiaTheme="minorEastAsia" w:hAnsiTheme="minorHAnsi" w:cstheme="minorBidi"/>
          <w:sz w:val="22"/>
          <w:szCs w:val="22"/>
          <w:lang w:val="de-DE" w:eastAsia="de-DE"/>
        </w:rPr>
      </w:pPr>
      <w:hyperlink w:anchor="_Toc77839717" w:history="1">
        <w:r w:rsidR="00173A27" w:rsidRPr="00984B70">
          <w:rPr>
            <w:rStyle w:val="Hyperlink"/>
          </w:rPr>
          <w:t>1.2</w:t>
        </w:r>
        <w:r w:rsidR="00173A27">
          <w:rPr>
            <w:rFonts w:asciiTheme="minorHAnsi" w:eastAsiaTheme="minorEastAsia" w:hAnsiTheme="minorHAnsi" w:cstheme="minorBidi"/>
            <w:sz w:val="22"/>
            <w:szCs w:val="22"/>
            <w:lang w:val="de-DE" w:eastAsia="de-DE"/>
          </w:rPr>
          <w:tab/>
        </w:r>
        <w:r w:rsidR="00173A27" w:rsidRPr="00984B70">
          <w:rPr>
            <w:rStyle w:val="Hyperlink"/>
          </w:rPr>
          <w:t>Schema</w:t>
        </w:r>
        <w:r w:rsidR="00173A27">
          <w:rPr>
            <w:webHidden/>
          </w:rPr>
          <w:tab/>
        </w:r>
        <w:r w:rsidR="00173A27">
          <w:rPr>
            <w:webHidden/>
          </w:rPr>
          <w:fldChar w:fldCharType="begin"/>
        </w:r>
        <w:r w:rsidR="00173A27">
          <w:rPr>
            <w:webHidden/>
          </w:rPr>
          <w:instrText xml:space="preserve"> PAGEREF _Toc77839717 \h </w:instrText>
        </w:r>
        <w:r w:rsidR="00173A27">
          <w:rPr>
            <w:webHidden/>
          </w:rPr>
        </w:r>
        <w:r w:rsidR="00173A27">
          <w:rPr>
            <w:webHidden/>
          </w:rPr>
          <w:fldChar w:fldCharType="separate"/>
        </w:r>
        <w:r w:rsidR="00173A27">
          <w:rPr>
            <w:webHidden/>
          </w:rPr>
          <w:t>7</w:t>
        </w:r>
        <w:r w:rsidR="00173A27">
          <w:rPr>
            <w:webHidden/>
          </w:rPr>
          <w:fldChar w:fldCharType="end"/>
        </w:r>
      </w:hyperlink>
    </w:p>
    <w:p w14:paraId="6B2068D1" w14:textId="1DEBB6FC" w:rsidR="00173A27" w:rsidRDefault="002E504A">
      <w:pPr>
        <w:pStyle w:val="TOC2"/>
        <w:rPr>
          <w:rFonts w:asciiTheme="minorHAnsi" w:eastAsiaTheme="minorEastAsia" w:hAnsiTheme="minorHAnsi" w:cstheme="minorBidi"/>
          <w:sz w:val="22"/>
          <w:szCs w:val="22"/>
          <w:lang w:val="de-DE" w:eastAsia="de-DE"/>
        </w:rPr>
      </w:pPr>
      <w:hyperlink w:anchor="_Toc77839718" w:history="1">
        <w:r w:rsidR="00173A27" w:rsidRPr="00984B70">
          <w:rPr>
            <w:rStyle w:val="Hyperlink"/>
          </w:rPr>
          <w:t>1.3</w:t>
        </w:r>
        <w:r w:rsidR="00173A27">
          <w:rPr>
            <w:rFonts w:asciiTheme="minorHAnsi" w:eastAsiaTheme="minorEastAsia" w:hAnsiTheme="minorHAnsi" w:cstheme="minorBidi"/>
            <w:sz w:val="22"/>
            <w:szCs w:val="22"/>
            <w:lang w:val="de-DE" w:eastAsia="de-DE"/>
          </w:rPr>
          <w:tab/>
        </w:r>
        <w:r w:rsidR="00173A27" w:rsidRPr="00984B70">
          <w:rPr>
            <w:rStyle w:val="Hyperlink"/>
          </w:rPr>
          <w:t>Schedule of Activities</w:t>
        </w:r>
        <w:r w:rsidR="00173A27">
          <w:rPr>
            <w:webHidden/>
          </w:rPr>
          <w:tab/>
        </w:r>
        <w:r w:rsidR="00173A27">
          <w:rPr>
            <w:webHidden/>
          </w:rPr>
          <w:fldChar w:fldCharType="begin"/>
        </w:r>
        <w:r w:rsidR="00173A27">
          <w:rPr>
            <w:webHidden/>
          </w:rPr>
          <w:instrText xml:space="preserve"> PAGEREF _Toc77839718 \h </w:instrText>
        </w:r>
        <w:r w:rsidR="00173A27">
          <w:rPr>
            <w:webHidden/>
          </w:rPr>
        </w:r>
        <w:r w:rsidR="00173A27">
          <w:rPr>
            <w:webHidden/>
          </w:rPr>
          <w:fldChar w:fldCharType="separate"/>
        </w:r>
        <w:r w:rsidR="00173A27">
          <w:rPr>
            <w:webHidden/>
          </w:rPr>
          <w:t>8</w:t>
        </w:r>
        <w:r w:rsidR="00173A27">
          <w:rPr>
            <w:webHidden/>
          </w:rPr>
          <w:fldChar w:fldCharType="end"/>
        </w:r>
      </w:hyperlink>
    </w:p>
    <w:p w14:paraId="5561FA48" w14:textId="2BE76B84" w:rsidR="00173A27" w:rsidRDefault="002E504A">
      <w:pPr>
        <w:pStyle w:val="TOC1"/>
        <w:rPr>
          <w:rFonts w:asciiTheme="minorHAnsi" w:eastAsiaTheme="minorEastAsia" w:hAnsiTheme="minorHAnsi" w:cstheme="minorBidi"/>
          <w:sz w:val="22"/>
          <w:szCs w:val="22"/>
          <w:lang w:val="de-DE" w:eastAsia="de-DE"/>
        </w:rPr>
      </w:pPr>
      <w:hyperlink w:anchor="_Toc77839719" w:history="1">
        <w:r w:rsidR="00173A27" w:rsidRPr="00984B70">
          <w:rPr>
            <w:rStyle w:val="Hyperlink"/>
          </w:rPr>
          <w:t>2</w:t>
        </w:r>
        <w:r w:rsidR="00173A27">
          <w:rPr>
            <w:rFonts w:asciiTheme="minorHAnsi" w:eastAsiaTheme="minorEastAsia" w:hAnsiTheme="minorHAnsi" w:cstheme="minorBidi"/>
            <w:sz w:val="22"/>
            <w:szCs w:val="22"/>
            <w:lang w:val="de-DE" w:eastAsia="de-DE"/>
          </w:rPr>
          <w:tab/>
        </w:r>
        <w:r w:rsidR="00173A27" w:rsidRPr="00984B70">
          <w:rPr>
            <w:rStyle w:val="Hyperlink"/>
          </w:rPr>
          <w:t>Introduction</w:t>
        </w:r>
        <w:r w:rsidR="00173A27">
          <w:rPr>
            <w:webHidden/>
          </w:rPr>
          <w:tab/>
        </w:r>
        <w:r w:rsidR="00173A27">
          <w:rPr>
            <w:webHidden/>
          </w:rPr>
          <w:fldChar w:fldCharType="begin"/>
        </w:r>
        <w:r w:rsidR="00173A27">
          <w:rPr>
            <w:webHidden/>
          </w:rPr>
          <w:instrText xml:space="preserve"> PAGEREF _Toc77839719 \h </w:instrText>
        </w:r>
        <w:r w:rsidR="00173A27">
          <w:rPr>
            <w:webHidden/>
          </w:rPr>
        </w:r>
        <w:r w:rsidR="00173A27">
          <w:rPr>
            <w:webHidden/>
          </w:rPr>
          <w:fldChar w:fldCharType="separate"/>
        </w:r>
        <w:r w:rsidR="00173A27">
          <w:rPr>
            <w:webHidden/>
          </w:rPr>
          <w:t>11</w:t>
        </w:r>
        <w:r w:rsidR="00173A27">
          <w:rPr>
            <w:webHidden/>
          </w:rPr>
          <w:fldChar w:fldCharType="end"/>
        </w:r>
      </w:hyperlink>
    </w:p>
    <w:p w14:paraId="2ACB8CC6" w14:textId="374602AF" w:rsidR="00173A27" w:rsidRDefault="002E504A">
      <w:pPr>
        <w:pStyle w:val="TOC2"/>
        <w:rPr>
          <w:rFonts w:asciiTheme="minorHAnsi" w:eastAsiaTheme="minorEastAsia" w:hAnsiTheme="minorHAnsi" w:cstheme="minorBidi"/>
          <w:sz w:val="22"/>
          <w:szCs w:val="22"/>
          <w:lang w:val="de-DE" w:eastAsia="de-DE"/>
        </w:rPr>
      </w:pPr>
      <w:hyperlink w:anchor="_Toc77839720" w:history="1">
        <w:r w:rsidR="00173A27" w:rsidRPr="00984B70">
          <w:rPr>
            <w:rStyle w:val="Hyperlink"/>
          </w:rPr>
          <w:t>2.1</w:t>
        </w:r>
        <w:r w:rsidR="00173A27">
          <w:rPr>
            <w:rFonts w:asciiTheme="minorHAnsi" w:eastAsiaTheme="minorEastAsia" w:hAnsiTheme="minorHAnsi" w:cstheme="minorBidi"/>
            <w:sz w:val="22"/>
            <w:szCs w:val="22"/>
            <w:lang w:val="de-DE" w:eastAsia="de-DE"/>
          </w:rPr>
          <w:tab/>
        </w:r>
        <w:r w:rsidR="00173A27" w:rsidRPr="00984B70">
          <w:rPr>
            <w:rStyle w:val="Hyperlink"/>
          </w:rPr>
          <w:t>Study Rationale</w:t>
        </w:r>
        <w:r w:rsidR="00173A27">
          <w:rPr>
            <w:webHidden/>
          </w:rPr>
          <w:tab/>
        </w:r>
        <w:r w:rsidR="00173A27">
          <w:rPr>
            <w:webHidden/>
          </w:rPr>
          <w:fldChar w:fldCharType="begin"/>
        </w:r>
        <w:r w:rsidR="00173A27">
          <w:rPr>
            <w:webHidden/>
          </w:rPr>
          <w:instrText xml:space="preserve"> PAGEREF _Toc77839720 \h </w:instrText>
        </w:r>
        <w:r w:rsidR="00173A27">
          <w:rPr>
            <w:webHidden/>
          </w:rPr>
        </w:r>
        <w:r w:rsidR="00173A27">
          <w:rPr>
            <w:webHidden/>
          </w:rPr>
          <w:fldChar w:fldCharType="separate"/>
        </w:r>
        <w:r w:rsidR="00173A27">
          <w:rPr>
            <w:webHidden/>
          </w:rPr>
          <w:t>11</w:t>
        </w:r>
        <w:r w:rsidR="00173A27">
          <w:rPr>
            <w:webHidden/>
          </w:rPr>
          <w:fldChar w:fldCharType="end"/>
        </w:r>
      </w:hyperlink>
    </w:p>
    <w:p w14:paraId="5DE461FE" w14:textId="2D23BB72" w:rsidR="00173A27" w:rsidRDefault="002E504A">
      <w:pPr>
        <w:pStyle w:val="TOC2"/>
        <w:rPr>
          <w:rFonts w:asciiTheme="minorHAnsi" w:eastAsiaTheme="minorEastAsia" w:hAnsiTheme="minorHAnsi" w:cstheme="minorBidi"/>
          <w:sz w:val="22"/>
          <w:szCs w:val="22"/>
          <w:lang w:val="de-DE" w:eastAsia="de-DE"/>
        </w:rPr>
      </w:pPr>
      <w:hyperlink w:anchor="_Toc77839721" w:history="1">
        <w:r w:rsidR="00173A27" w:rsidRPr="00984B70">
          <w:rPr>
            <w:rStyle w:val="Hyperlink"/>
          </w:rPr>
          <w:t>2.2</w:t>
        </w:r>
        <w:r w:rsidR="00173A27">
          <w:rPr>
            <w:rFonts w:asciiTheme="minorHAnsi" w:eastAsiaTheme="minorEastAsia" w:hAnsiTheme="minorHAnsi" w:cstheme="minorBidi"/>
            <w:sz w:val="22"/>
            <w:szCs w:val="22"/>
            <w:lang w:val="de-DE" w:eastAsia="de-DE"/>
          </w:rPr>
          <w:tab/>
        </w:r>
        <w:r w:rsidR="00173A27" w:rsidRPr="00984B70">
          <w:rPr>
            <w:rStyle w:val="Hyperlink"/>
          </w:rPr>
          <w:t>Background</w:t>
        </w:r>
        <w:r w:rsidR="00173A27">
          <w:rPr>
            <w:webHidden/>
          </w:rPr>
          <w:tab/>
        </w:r>
        <w:r w:rsidR="00173A27">
          <w:rPr>
            <w:webHidden/>
          </w:rPr>
          <w:fldChar w:fldCharType="begin"/>
        </w:r>
        <w:r w:rsidR="00173A27">
          <w:rPr>
            <w:webHidden/>
          </w:rPr>
          <w:instrText xml:space="preserve"> PAGEREF _Toc77839721 \h </w:instrText>
        </w:r>
        <w:r w:rsidR="00173A27">
          <w:rPr>
            <w:webHidden/>
          </w:rPr>
        </w:r>
        <w:r w:rsidR="00173A27">
          <w:rPr>
            <w:webHidden/>
          </w:rPr>
          <w:fldChar w:fldCharType="separate"/>
        </w:r>
        <w:r w:rsidR="00173A27">
          <w:rPr>
            <w:webHidden/>
          </w:rPr>
          <w:t>11</w:t>
        </w:r>
        <w:r w:rsidR="00173A27">
          <w:rPr>
            <w:webHidden/>
          </w:rPr>
          <w:fldChar w:fldCharType="end"/>
        </w:r>
      </w:hyperlink>
    </w:p>
    <w:p w14:paraId="1D9033DA" w14:textId="2A8DBA6B" w:rsidR="00173A27" w:rsidRDefault="002E504A">
      <w:pPr>
        <w:pStyle w:val="TOC2"/>
        <w:rPr>
          <w:rFonts w:asciiTheme="minorHAnsi" w:eastAsiaTheme="minorEastAsia" w:hAnsiTheme="minorHAnsi" w:cstheme="minorBidi"/>
          <w:sz w:val="22"/>
          <w:szCs w:val="22"/>
          <w:lang w:val="de-DE" w:eastAsia="de-DE"/>
        </w:rPr>
      </w:pPr>
      <w:hyperlink w:anchor="_Toc77839722" w:history="1">
        <w:r w:rsidR="00173A27" w:rsidRPr="00984B70">
          <w:rPr>
            <w:rStyle w:val="Hyperlink"/>
          </w:rPr>
          <w:t>2.3</w:t>
        </w:r>
        <w:r w:rsidR="00173A27">
          <w:rPr>
            <w:rFonts w:asciiTheme="minorHAnsi" w:eastAsiaTheme="minorEastAsia" w:hAnsiTheme="minorHAnsi" w:cstheme="minorBidi"/>
            <w:sz w:val="22"/>
            <w:szCs w:val="22"/>
            <w:lang w:val="de-DE" w:eastAsia="de-DE"/>
          </w:rPr>
          <w:tab/>
        </w:r>
        <w:r w:rsidR="00173A27" w:rsidRPr="00984B70">
          <w:rPr>
            <w:rStyle w:val="Hyperlink"/>
          </w:rPr>
          <w:t>Benefit/Risk Assessment</w:t>
        </w:r>
        <w:r w:rsidR="00173A27">
          <w:rPr>
            <w:webHidden/>
          </w:rPr>
          <w:tab/>
        </w:r>
        <w:r w:rsidR="00173A27">
          <w:rPr>
            <w:webHidden/>
          </w:rPr>
          <w:fldChar w:fldCharType="begin"/>
        </w:r>
        <w:r w:rsidR="00173A27">
          <w:rPr>
            <w:webHidden/>
          </w:rPr>
          <w:instrText xml:space="preserve"> PAGEREF _Toc77839722 \h </w:instrText>
        </w:r>
        <w:r w:rsidR="00173A27">
          <w:rPr>
            <w:webHidden/>
          </w:rPr>
        </w:r>
        <w:r w:rsidR="00173A27">
          <w:rPr>
            <w:webHidden/>
          </w:rPr>
          <w:fldChar w:fldCharType="separate"/>
        </w:r>
        <w:r w:rsidR="00173A27">
          <w:rPr>
            <w:webHidden/>
          </w:rPr>
          <w:t>13</w:t>
        </w:r>
        <w:r w:rsidR="00173A27">
          <w:rPr>
            <w:webHidden/>
          </w:rPr>
          <w:fldChar w:fldCharType="end"/>
        </w:r>
      </w:hyperlink>
    </w:p>
    <w:p w14:paraId="4021FF39" w14:textId="61072E6A" w:rsidR="00173A27" w:rsidRDefault="002E504A">
      <w:pPr>
        <w:pStyle w:val="TOC3"/>
        <w:rPr>
          <w:rFonts w:asciiTheme="minorHAnsi" w:eastAsiaTheme="minorEastAsia" w:hAnsiTheme="minorHAnsi" w:cstheme="minorBidi"/>
          <w:sz w:val="22"/>
          <w:szCs w:val="22"/>
          <w:lang w:val="de-DE" w:eastAsia="de-DE"/>
        </w:rPr>
      </w:pPr>
      <w:hyperlink w:anchor="_Toc77839723" w:history="1">
        <w:r w:rsidR="00173A27" w:rsidRPr="00984B70">
          <w:rPr>
            <w:rStyle w:val="Hyperlink"/>
          </w:rPr>
          <w:t>2.3.1</w:t>
        </w:r>
        <w:r w:rsidR="00173A27">
          <w:rPr>
            <w:rFonts w:asciiTheme="minorHAnsi" w:eastAsiaTheme="minorEastAsia" w:hAnsiTheme="minorHAnsi" w:cstheme="minorBidi"/>
            <w:sz w:val="22"/>
            <w:szCs w:val="22"/>
            <w:lang w:val="de-DE" w:eastAsia="de-DE"/>
          </w:rPr>
          <w:tab/>
        </w:r>
        <w:r w:rsidR="00173A27" w:rsidRPr="00984B70">
          <w:rPr>
            <w:rStyle w:val="Hyperlink"/>
          </w:rPr>
          <w:t>Risk Assessment</w:t>
        </w:r>
        <w:r w:rsidR="00173A27">
          <w:rPr>
            <w:webHidden/>
          </w:rPr>
          <w:tab/>
        </w:r>
        <w:r w:rsidR="00173A27">
          <w:rPr>
            <w:webHidden/>
          </w:rPr>
          <w:fldChar w:fldCharType="begin"/>
        </w:r>
        <w:r w:rsidR="00173A27">
          <w:rPr>
            <w:webHidden/>
          </w:rPr>
          <w:instrText xml:space="preserve"> PAGEREF _Toc77839723 \h </w:instrText>
        </w:r>
        <w:r w:rsidR="00173A27">
          <w:rPr>
            <w:webHidden/>
          </w:rPr>
        </w:r>
        <w:r w:rsidR="00173A27">
          <w:rPr>
            <w:webHidden/>
          </w:rPr>
          <w:fldChar w:fldCharType="separate"/>
        </w:r>
        <w:r w:rsidR="00173A27">
          <w:rPr>
            <w:webHidden/>
          </w:rPr>
          <w:t>13</w:t>
        </w:r>
        <w:r w:rsidR="00173A27">
          <w:rPr>
            <w:webHidden/>
          </w:rPr>
          <w:fldChar w:fldCharType="end"/>
        </w:r>
      </w:hyperlink>
    </w:p>
    <w:p w14:paraId="7348FD0E" w14:textId="3229DF3F" w:rsidR="00173A27" w:rsidRDefault="002E504A">
      <w:pPr>
        <w:pStyle w:val="TOC3"/>
        <w:rPr>
          <w:rFonts w:asciiTheme="minorHAnsi" w:eastAsiaTheme="minorEastAsia" w:hAnsiTheme="minorHAnsi" w:cstheme="minorBidi"/>
          <w:sz w:val="22"/>
          <w:szCs w:val="22"/>
          <w:lang w:val="de-DE" w:eastAsia="de-DE"/>
        </w:rPr>
      </w:pPr>
      <w:hyperlink w:anchor="_Toc77839724" w:history="1">
        <w:r w:rsidR="00173A27" w:rsidRPr="00984B70">
          <w:rPr>
            <w:rStyle w:val="Hyperlink"/>
          </w:rPr>
          <w:t>2.3.2</w:t>
        </w:r>
        <w:r w:rsidR="00173A27">
          <w:rPr>
            <w:rFonts w:asciiTheme="minorHAnsi" w:eastAsiaTheme="minorEastAsia" w:hAnsiTheme="minorHAnsi" w:cstheme="minorBidi"/>
            <w:sz w:val="22"/>
            <w:szCs w:val="22"/>
            <w:lang w:val="de-DE" w:eastAsia="de-DE"/>
          </w:rPr>
          <w:tab/>
        </w:r>
        <w:r w:rsidR="00173A27" w:rsidRPr="00984B70">
          <w:rPr>
            <w:rStyle w:val="Hyperlink"/>
          </w:rPr>
          <w:t>Benefit Assessment</w:t>
        </w:r>
        <w:r w:rsidR="00173A27">
          <w:rPr>
            <w:webHidden/>
          </w:rPr>
          <w:tab/>
        </w:r>
        <w:r w:rsidR="00173A27">
          <w:rPr>
            <w:webHidden/>
          </w:rPr>
          <w:fldChar w:fldCharType="begin"/>
        </w:r>
        <w:r w:rsidR="00173A27">
          <w:rPr>
            <w:webHidden/>
          </w:rPr>
          <w:instrText xml:space="preserve"> PAGEREF _Toc77839724 \h </w:instrText>
        </w:r>
        <w:r w:rsidR="00173A27">
          <w:rPr>
            <w:webHidden/>
          </w:rPr>
        </w:r>
        <w:r w:rsidR="00173A27">
          <w:rPr>
            <w:webHidden/>
          </w:rPr>
          <w:fldChar w:fldCharType="separate"/>
        </w:r>
        <w:r w:rsidR="00173A27">
          <w:rPr>
            <w:webHidden/>
          </w:rPr>
          <w:t>17</w:t>
        </w:r>
        <w:r w:rsidR="00173A27">
          <w:rPr>
            <w:webHidden/>
          </w:rPr>
          <w:fldChar w:fldCharType="end"/>
        </w:r>
      </w:hyperlink>
    </w:p>
    <w:p w14:paraId="5220E9A3" w14:textId="53E723E4" w:rsidR="00173A27" w:rsidRDefault="002E504A">
      <w:pPr>
        <w:pStyle w:val="TOC3"/>
        <w:rPr>
          <w:rFonts w:asciiTheme="minorHAnsi" w:eastAsiaTheme="minorEastAsia" w:hAnsiTheme="minorHAnsi" w:cstheme="minorBidi"/>
          <w:sz w:val="22"/>
          <w:szCs w:val="22"/>
          <w:lang w:val="de-DE" w:eastAsia="de-DE"/>
        </w:rPr>
      </w:pPr>
      <w:hyperlink w:anchor="_Toc77839725" w:history="1">
        <w:r w:rsidR="00173A27" w:rsidRPr="00984B70">
          <w:rPr>
            <w:rStyle w:val="Hyperlink"/>
          </w:rPr>
          <w:t>2.3.3</w:t>
        </w:r>
        <w:r w:rsidR="00173A27">
          <w:rPr>
            <w:rFonts w:asciiTheme="minorHAnsi" w:eastAsiaTheme="minorEastAsia" w:hAnsiTheme="minorHAnsi" w:cstheme="minorBidi"/>
            <w:sz w:val="22"/>
            <w:szCs w:val="22"/>
            <w:lang w:val="de-DE" w:eastAsia="de-DE"/>
          </w:rPr>
          <w:tab/>
        </w:r>
        <w:r w:rsidR="00173A27" w:rsidRPr="00984B70">
          <w:rPr>
            <w:rStyle w:val="Hyperlink"/>
          </w:rPr>
          <w:t>Overall Benefit: Risk Conclusion</w:t>
        </w:r>
        <w:r w:rsidR="00173A27">
          <w:rPr>
            <w:webHidden/>
          </w:rPr>
          <w:tab/>
        </w:r>
        <w:r w:rsidR="00173A27">
          <w:rPr>
            <w:webHidden/>
          </w:rPr>
          <w:fldChar w:fldCharType="begin"/>
        </w:r>
        <w:r w:rsidR="00173A27">
          <w:rPr>
            <w:webHidden/>
          </w:rPr>
          <w:instrText xml:space="preserve"> PAGEREF _Toc77839725 \h </w:instrText>
        </w:r>
        <w:r w:rsidR="00173A27">
          <w:rPr>
            <w:webHidden/>
          </w:rPr>
        </w:r>
        <w:r w:rsidR="00173A27">
          <w:rPr>
            <w:webHidden/>
          </w:rPr>
          <w:fldChar w:fldCharType="separate"/>
        </w:r>
        <w:r w:rsidR="00173A27">
          <w:rPr>
            <w:webHidden/>
          </w:rPr>
          <w:t>17</w:t>
        </w:r>
        <w:r w:rsidR="00173A27">
          <w:rPr>
            <w:webHidden/>
          </w:rPr>
          <w:fldChar w:fldCharType="end"/>
        </w:r>
      </w:hyperlink>
    </w:p>
    <w:p w14:paraId="53AFED40" w14:textId="1F1142D8" w:rsidR="00173A27" w:rsidRDefault="002E504A">
      <w:pPr>
        <w:pStyle w:val="TOC1"/>
        <w:rPr>
          <w:rFonts w:asciiTheme="minorHAnsi" w:eastAsiaTheme="minorEastAsia" w:hAnsiTheme="minorHAnsi" w:cstheme="minorBidi"/>
          <w:sz w:val="22"/>
          <w:szCs w:val="22"/>
          <w:lang w:val="de-DE" w:eastAsia="de-DE"/>
        </w:rPr>
      </w:pPr>
      <w:hyperlink w:anchor="_Toc77839726" w:history="1">
        <w:r w:rsidR="00173A27" w:rsidRPr="00984B70">
          <w:rPr>
            <w:rStyle w:val="Hyperlink"/>
          </w:rPr>
          <w:t>3</w:t>
        </w:r>
        <w:r w:rsidR="00173A27">
          <w:rPr>
            <w:rFonts w:asciiTheme="minorHAnsi" w:eastAsiaTheme="minorEastAsia" w:hAnsiTheme="minorHAnsi" w:cstheme="minorBidi"/>
            <w:sz w:val="22"/>
            <w:szCs w:val="22"/>
            <w:lang w:val="de-DE" w:eastAsia="de-DE"/>
          </w:rPr>
          <w:tab/>
        </w:r>
        <w:r w:rsidR="00173A27" w:rsidRPr="00984B70">
          <w:rPr>
            <w:rStyle w:val="Hyperlink"/>
          </w:rPr>
          <w:t>Objectives and Endpoints</w:t>
        </w:r>
        <w:r w:rsidR="00173A27">
          <w:rPr>
            <w:webHidden/>
          </w:rPr>
          <w:tab/>
        </w:r>
        <w:r w:rsidR="00173A27">
          <w:rPr>
            <w:webHidden/>
          </w:rPr>
          <w:fldChar w:fldCharType="begin"/>
        </w:r>
        <w:r w:rsidR="00173A27">
          <w:rPr>
            <w:webHidden/>
          </w:rPr>
          <w:instrText xml:space="preserve"> PAGEREF _Toc77839726 \h </w:instrText>
        </w:r>
        <w:r w:rsidR="00173A27">
          <w:rPr>
            <w:webHidden/>
          </w:rPr>
        </w:r>
        <w:r w:rsidR="00173A27">
          <w:rPr>
            <w:webHidden/>
          </w:rPr>
          <w:fldChar w:fldCharType="separate"/>
        </w:r>
        <w:r w:rsidR="00173A27">
          <w:rPr>
            <w:webHidden/>
          </w:rPr>
          <w:t>17</w:t>
        </w:r>
        <w:r w:rsidR="00173A27">
          <w:rPr>
            <w:webHidden/>
          </w:rPr>
          <w:fldChar w:fldCharType="end"/>
        </w:r>
      </w:hyperlink>
    </w:p>
    <w:p w14:paraId="1F2DA4B1" w14:textId="0F88AEBA" w:rsidR="00173A27" w:rsidRDefault="002E504A">
      <w:pPr>
        <w:pStyle w:val="TOC1"/>
        <w:rPr>
          <w:rFonts w:asciiTheme="minorHAnsi" w:eastAsiaTheme="minorEastAsia" w:hAnsiTheme="minorHAnsi" w:cstheme="minorBidi"/>
          <w:sz w:val="22"/>
          <w:szCs w:val="22"/>
          <w:lang w:val="de-DE" w:eastAsia="de-DE"/>
        </w:rPr>
      </w:pPr>
      <w:hyperlink w:anchor="_Toc77839727" w:history="1">
        <w:r w:rsidR="00173A27" w:rsidRPr="00984B70">
          <w:rPr>
            <w:rStyle w:val="Hyperlink"/>
          </w:rPr>
          <w:t>4</w:t>
        </w:r>
        <w:r w:rsidR="00173A27">
          <w:rPr>
            <w:rFonts w:asciiTheme="minorHAnsi" w:eastAsiaTheme="minorEastAsia" w:hAnsiTheme="minorHAnsi" w:cstheme="minorBidi"/>
            <w:sz w:val="22"/>
            <w:szCs w:val="22"/>
            <w:lang w:val="de-DE" w:eastAsia="de-DE"/>
          </w:rPr>
          <w:tab/>
        </w:r>
        <w:r w:rsidR="00173A27" w:rsidRPr="00984B70">
          <w:rPr>
            <w:rStyle w:val="Hyperlink"/>
          </w:rPr>
          <w:t>Study Design</w:t>
        </w:r>
        <w:r w:rsidR="00173A27">
          <w:rPr>
            <w:webHidden/>
          </w:rPr>
          <w:tab/>
        </w:r>
        <w:r w:rsidR="00173A27">
          <w:rPr>
            <w:webHidden/>
          </w:rPr>
          <w:fldChar w:fldCharType="begin"/>
        </w:r>
        <w:r w:rsidR="00173A27">
          <w:rPr>
            <w:webHidden/>
          </w:rPr>
          <w:instrText xml:space="preserve"> PAGEREF _Toc77839727 \h </w:instrText>
        </w:r>
        <w:r w:rsidR="00173A27">
          <w:rPr>
            <w:webHidden/>
          </w:rPr>
        </w:r>
        <w:r w:rsidR="00173A27">
          <w:rPr>
            <w:webHidden/>
          </w:rPr>
          <w:fldChar w:fldCharType="separate"/>
        </w:r>
        <w:r w:rsidR="00173A27">
          <w:rPr>
            <w:webHidden/>
          </w:rPr>
          <w:t>18</w:t>
        </w:r>
        <w:r w:rsidR="00173A27">
          <w:rPr>
            <w:webHidden/>
          </w:rPr>
          <w:fldChar w:fldCharType="end"/>
        </w:r>
      </w:hyperlink>
    </w:p>
    <w:p w14:paraId="3513D81E" w14:textId="10BD7AE9" w:rsidR="00173A27" w:rsidRDefault="002E504A">
      <w:pPr>
        <w:pStyle w:val="TOC2"/>
        <w:rPr>
          <w:rFonts w:asciiTheme="minorHAnsi" w:eastAsiaTheme="minorEastAsia" w:hAnsiTheme="minorHAnsi" w:cstheme="minorBidi"/>
          <w:sz w:val="22"/>
          <w:szCs w:val="22"/>
          <w:lang w:val="de-DE" w:eastAsia="de-DE"/>
        </w:rPr>
      </w:pPr>
      <w:hyperlink w:anchor="_Toc77839728" w:history="1">
        <w:r w:rsidR="00173A27" w:rsidRPr="00984B70">
          <w:rPr>
            <w:rStyle w:val="Hyperlink"/>
          </w:rPr>
          <w:t>4.1</w:t>
        </w:r>
        <w:r w:rsidR="00173A27">
          <w:rPr>
            <w:rFonts w:asciiTheme="minorHAnsi" w:eastAsiaTheme="minorEastAsia" w:hAnsiTheme="minorHAnsi" w:cstheme="minorBidi"/>
            <w:sz w:val="22"/>
            <w:szCs w:val="22"/>
            <w:lang w:val="de-DE" w:eastAsia="de-DE"/>
          </w:rPr>
          <w:tab/>
        </w:r>
        <w:r w:rsidR="00173A27" w:rsidRPr="00984B70">
          <w:rPr>
            <w:rStyle w:val="Hyperlink"/>
          </w:rPr>
          <w:t>Overall Design</w:t>
        </w:r>
        <w:r w:rsidR="00173A27">
          <w:rPr>
            <w:webHidden/>
          </w:rPr>
          <w:tab/>
        </w:r>
        <w:r w:rsidR="00173A27">
          <w:rPr>
            <w:webHidden/>
          </w:rPr>
          <w:fldChar w:fldCharType="begin"/>
        </w:r>
        <w:r w:rsidR="00173A27">
          <w:rPr>
            <w:webHidden/>
          </w:rPr>
          <w:instrText xml:space="preserve"> PAGEREF _Toc77839728 \h </w:instrText>
        </w:r>
        <w:r w:rsidR="00173A27">
          <w:rPr>
            <w:webHidden/>
          </w:rPr>
        </w:r>
        <w:r w:rsidR="00173A27">
          <w:rPr>
            <w:webHidden/>
          </w:rPr>
          <w:fldChar w:fldCharType="separate"/>
        </w:r>
        <w:r w:rsidR="00173A27">
          <w:rPr>
            <w:webHidden/>
          </w:rPr>
          <w:t>18</w:t>
        </w:r>
        <w:r w:rsidR="00173A27">
          <w:rPr>
            <w:webHidden/>
          </w:rPr>
          <w:fldChar w:fldCharType="end"/>
        </w:r>
      </w:hyperlink>
    </w:p>
    <w:p w14:paraId="5556CB1E" w14:textId="637B5C16" w:rsidR="00173A27" w:rsidRDefault="002E504A">
      <w:pPr>
        <w:pStyle w:val="TOC2"/>
        <w:rPr>
          <w:rFonts w:asciiTheme="minorHAnsi" w:eastAsiaTheme="minorEastAsia" w:hAnsiTheme="minorHAnsi" w:cstheme="minorBidi"/>
          <w:sz w:val="22"/>
          <w:szCs w:val="22"/>
          <w:lang w:val="de-DE" w:eastAsia="de-DE"/>
        </w:rPr>
      </w:pPr>
      <w:hyperlink w:anchor="_Toc77839729" w:history="1">
        <w:r w:rsidR="00173A27" w:rsidRPr="00984B70">
          <w:rPr>
            <w:rStyle w:val="Hyperlink"/>
          </w:rPr>
          <w:t>4.2</w:t>
        </w:r>
        <w:r w:rsidR="00173A27">
          <w:rPr>
            <w:rFonts w:asciiTheme="minorHAnsi" w:eastAsiaTheme="minorEastAsia" w:hAnsiTheme="minorHAnsi" w:cstheme="minorBidi"/>
            <w:sz w:val="22"/>
            <w:szCs w:val="22"/>
            <w:lang w:val="de-DE" w:eastAsia="de-DE"/>
          </w:rPr>
          <w:tab/>
        </w:r>
        <w:r w:rsidR="00173A27" w:rsidRPr="00984B70">
          <w:rPr>
            <w:rStyle w:val="Hyperlink"/>
          </w:rPr>
          <w:t>Scientific Rationale for Study Design</w:t>
        </w:r>
        <w:r w:rsidR="00173A27">
          <w:rPr>
            <w:webHidden/>
          </w:rPr>
          <w:tab/>
        </w:r>
        <w:r w:rsidR="00173A27">
          <w:rPr>
            <w:webHidden/>
          </w:rPr>
          <w:fldChar w:fldCharType="begin"/>
        </w:r>
        <w:r w:rsidR="00173A27">
          <w:rPr>
            <w:webHidden/>
          </w:rPr>
          <w:instrText xml:space="preserve"> PAGEREF _Toc77839729 \h </w:instrText>
        </w:r>
        <w:r w:rsidR="00173A27">
          <w:rPr>
            <w:webHidden/>
          </w:rPr>
        </w:r>
        <w:r w:rsidR="00173A27">
          <w:rPr>
            <w:webHidden/>
          </w:rPr>
          <w:fldChar w:fldCharType="separate"/>
        </w:r>
        <w:r w:rsidR="00173A27">
          <w:rPr>
            <w:webHidden/>
          </w:rPr>
          <w:t>18</w:t>
        </w:r>
        <w:r w:rsidR="00173A27">
          <w:rPr>
            <w:webHidden/>
          </w:rPr>
          <w:fldChar w:fldCharType="end"/>
        </w:r>
      </w:hyperlink>
    </w:p>
    <w:p w14:paraId="7DBB1E07" w14:textId="3AFB7C03" w:rsidR="00173A27" w:rsidRDefault="002E504A">
      <w:pPr>
        <w:pStyle w:val="TOC2"/>
        <w:rPr>
          <w:rFonts w:asciiTheme="minorHAnsi" w:eastAsiaTheme="minorEastAsia" w:hAnsiTheme="minorHAnsi" w:cstheme="minorBidi"/>
          <w:sz w:val="22"/>
          <w:szCs w:val="22"/>
          <w:lang w:val="de-DE" w:eastAsia="de-DE"/>
        </w:rPr>
      </w:pPr>
      <w:hyperlink w:anchor="_Toc77839730" w:history="1">
        <w:r w:rsidR="00173A27" w:rsidRPr="00984B70">
          <w:rPr>
            <w:rStyle w:val="Hyperlink"/>
          </w:rPr>
          <w:t>4.3</w:t>
        </w:r>
        <w:r w:rsidR="00173A27">
          <w:rPr>
            <w:rFonts w:asciiTheme="minorHAnsi" w:eastAsiaTheme="minorEastAsia" w:hAnsiTheme="minorHAnsi" w:cstheme="minorBidi"/>
            <w:sz w:val="22"/>
            <w:szCs w:val="22"/>
            <w:lang w:val="de-DE" w:eastAsia="de-DE"/>
          </w:rPr>
          <w:tab/>
        </w:r>
        <w:r w:rsidR="00173A27" w:rsidRPr="00984B70">
          <w:rPr>
            <w:rStyle w:val="Hyperlink"/>
          </w:rPr>
          <w:t>Justification for Dose</w:t>
        </w:r>
        <w:r w:rsidR="00173A27">
          <w:rPr>
            <w:webHidden/>
          </w:rPr>
          <w:tab/>
        </w:r>
        <w:r w:rsidR="00173A27">
          <w:rPr>
            <w:webHidden/>
          </w:rPr>
          <w:fldChar w:fldCharType="begin"/>
        </w:r>
        <w:r w:rsidR="00173A27">
          <w:rPr>
            <w:webHidden/>
          </w:rPr>
          <w:instrText xml:space="preserve"> PAGEREF _Toc77839730 \h </w:instrText>
        </w:r>
        <w:r w:rsidR="00173A27">
          <w:rPr>
            <w:webHidden/>
          </w:rPr>
        </w:r>
        <w:r w:rsidR="00173A27">
          <w:rPr>
            <w:webHidden/>
          </w:rPr>
          <w:fldChar w:fldCharType="separate"/>
        </w:r>
        <w:r w:rsidR="00173A27">
          <w:rPr>
            <w:webHidden/>
          </w:rPr>
          <w:t>19</w:t>
        </w:r>
        <w:r w:rsidR="00173A27">
          <w:rPr>
            <w:webHidden/>
          </w:rPr>
          <w:fldChar w:fldCharType="end"/>
        </w:r>
      </w:hyperlink>
    </w:p>
    <w:p w14:paraId="0E7BF479" w14:textId="1A843C3E" w:rsidR="00173A27" w:rsidRDefault="002E504A">
      <w:pPr>
        <w:pStyle w:val="TOC2"/>
        <w:rPr>
          <w:rFonts w:asciiTheme="minorHAnsi" w:eastAsiaTheme="minorEastAsia" w:hAnsiTheme="minorHAnsi" w:cstheme="minorBidi"/>
          <w:sz w:val="22"/>
          <w:szCs w:val="22"/>
          <w:lang w:val="de-DE" w:eastAsia="de-DE"/>
        </w:rPr>
      </w:pPr>
      <w:hyperlink w:anchor="_Toc77839731" w:history="1">
        <w:r w:rsidR="00173A27" w:rsidRPr="00984B70">
          <w:rPr>
            <w:rStyle w:val="Hyperlink"/>
          </w:rPr>
          <w:t>4.4</w:t>
        </w:r>
        <w:r w:rsidR="00173A27">
          <w:rPr>
            <w:rFonts w:asciiTheme="minorHAnsi" w:eastAsiaTheme="minorEastAsia" w:hAnsiTheme="minorHAnsi" w:cstheme="minorBidi"/>
            <w:sz w:val="22"/>
            <w:szCs w:val="22"/>
            <w:lang w:val="de-DE" w:eastAsia="de-DE"/>
          </w:rPr>
          <w:tab/>
        </w:r>
        <w:r w:rsidR="00173A27" w:rsidRPr="00984B70">
          <w:rPr>
            <w:rStyle w:val="Hyperlink"/>
          </w:rPr>
          <w:t>End of Study Definition</w:t>
        </w:r>
        <w:r w:rsidR="00173A27">
          <w:rPr>
            <w:webHidden/>
          </w:rPr>
          <w:tab/>
        </w:r>
        <w:r w:rsidR="00173A27">
          <w:rPr>
            <w:webHidden/>
          </w:rPr>
          <w:fldChar w:fldCharType="begin"/>
        </w:r>
        <w:r w:rsidR="00173A27">
          <w:rPr>
            <w:webHidden/>
          </w:rPr>
          <w:instrText xml:space="preserve"> PAGEREF _Toc77839731 \h </w:instrText>
        </w:r>
        <w:r w:rsidR="00173A27">
          <w:rPr>
            <w:webHidden/>
          </w:rPr>
        </w:r>
        <w:r w:rsidR="00173A27">
          <w:rPr>
            <w:webHidden/>
          </w:rPr>
          <w:fldChar w:fldCharType="separate"/>
        </w:r>
        <w:r w:rsidR="00173A27">
          <w:rPr>
            <w:webHidden/>
          </w:rPr>
          <w:t>19</w:t>
        </w:r>
        <w:r w:rsidR="00173A27">
          <w:rPr>
            <w:webHidden/>
          </w:rPr>
          <w:fldChar w:fldCharType="end"/>
        </w:r>
      </w:hyperlink>
    </w:p>
    <w:p w14:paraId="445E783C" w14:textId="03F02D4E" w:rsidR="00173A27" w:rsidRDefault="002E504A">
      <w:pPr>
        <w:pStyle w:val="TOC1"/>
        <w:rPr>
          <w:rFonts w:asciiTheme="minorHAnsi" w:eastAsiaTheme="minorEastAsia" w:hAnsiTheme="minorHAnsi" w:cstheme="minorBidi"/>
          <w:sz w:val="22"/>
          <w:szCs w:val="22"/>
          <w:lang w:val="de-DE" w:eastAsia="de-DE"/>
        </w:rPr>
      </w:pPr>
      <w:hyperlink w:anchor="_Toc77839732" w:history="1">
        <w:r w:rsidR="00173A27" w:rsidRPr="00984B70">
          <w:rPr>
            <w:rStyle w:val="Hyperlink"/>
          </w:rPr>
          <w:t>5</w:t>
        </w:r>
        <w:r w:rsidR="00173A27">
          <w:rPr>
            <w:rFonts w:asciiTheme="minorHAnsi" w:eastAsiaTheme="minorEastAsia" w:hAnsiTheme="minorHAnsi" w:cstheme="minorBidi"/>
            <w:sz w:val="22"/>
            <w:szCs w:val="22"/>
            <w:lang w:val="de-DE" w:eastAsia="de-DE"/>
          </w:rPr>
          <w:tab/>
        </w:r>
        <w:r w:rsidR="00173A27" w:rsidRPr="00984B70">
          <w:rPr>
            <w:rStyle w:val="Hyperlink"/>
          </w:rPr>
          <w:t>Study Population</w:t>
        </w:r>
        <w:r w:rsidR="00173A27">
          <w:rPr>
            <w:webHidden/>
          </w:rPr>
          <w:tab/>
        </w:r>
        <w:r w:rsidR="00173A27">
          <w:rPr>
            <w:webHidden/>
          </w:rPr>
          <w:fldChar w:fldCharType="begin"/>
        </w:r>
        <w:r w:rsidR="00173A27">
          <w:rPr>
            <w:webHidden/>
          </w:rPr>
          <w:instrText xml:space="preserve"> PAGEREF _Toc77839732 \h </w:instrText>
        </w:r>
        <w:r w:rsidR="00173A27">
          <w:rPr>
            <w:webHidden/>
          </w:rPr>
        </w:r>
        <w:r w:rsidR="00173A27">
          <w:rPr>
            <w:webHidden/>
          </w:rPr>
          <w:fldChar w:fldCharType="separate"/>
        </w:r>
        <w:r w:rsidR="00173A27">
          <w:rPr>
            <w:webHidden/>
          </w:rPr>
          <w:t>20</w:t>
        </w:r>
        <w:r w:rsidR="00173A27">
          <w:rPr>
            <w:webHidden/>
          </w:rPr>
          <w:fldChar w:fldCharType="end"/>
        </w:r>
      </w:hyperlink>
    </w:p>
    <w:p w14:paraId="77376B10" w14:textId="50616495" w:rsidR="00173A27" w:rsidRDefault="002E504A">
      <w:pPr>
        <w:pStyle w:val="TOC2"/>
        <w:rPr>
          <w:rFonts w:asciiTheme="minorHAnsi" w:eastAsiaTheme="minorEastAsia" w:hAnsiTheme="minorHAnsi" w:cstheme="minorBidi"/>
          <w:sz w:val="22"/>
          <w:szCs w:val="22"/>
          <w:lang w:val="de-DE" w:eastAsia="de-DE"/>
        </w:rPr>
      </w:pPr>
      <w:hyperlink w:anchor="_Toc77839733" w:history="1">
        <w:r w:rsidR="00173A27" w:rsidRPr="00984B70">
          <w:rPr>
            <w:rStyle w:val="Hyperlink"/>
          </w:rPr>
          <w:t>5.1</w:t>
        </w:r>
        <w:r w:rsidR="00173A27">
          <w:rPr>
            <w:rFonts w:asciiTheme="minorHAnsi" w:eastAsiaTheme="minorEastAsia" w:hAnsiTheme="minorHAnsi" w:cstheme="minorBidi"/>
            <w:sz w:val="22"/>
            <w:szCs w:val="22"/>
            <w:lang w:val="de-DE" w:eastAsia="de-DE"/>
          </w:rPr>
          <w:tab/>
        </w:r>
        <w:r w:rsidR="00173A27" w:rsidRPr="00984B70">
          <w:rPr>
            <w:rStyle w:val="Hyperlink"/>
          </w:rPr>
          <w:t>Inclusion Criteria</w:t>
        </w:r>
        <w:r w:rsidR="00173A27">
          <w:rPr>
            <w:webHidden/>
          </w:rPr>
          <w:tab/>
        </w:r>
        <w:r w:rsidR="00173A27">
          <w:rPr>
            <w:webHidden/>
          </w:rPr>
          <w:fldChar w:fldCharType="begin"/>
        </w:r>
        <w:r w:rsidR="00173A27">
          <w:rPr>
            <w:webHidden/>
          </w:rPr>
          <w:instrText xml:space="preserve"> PAGEREF _Toc77839733 \h </w:instrText>
        </w:r>
        <w:r w:rsidR="00173A27">
          <w:rPr>
            <w:webHidden/>
          </w:rPr>
        </w:r>
        <w:r w:rsidR="00173A27">
          <w:rPr>
            <w:webHidden/>
          </w:rPr>
          <w:fldChar w:fldCharType="separate"/>
        </w:r>
        <w:r w:rsidR="00173A27">
          <w:rPr>
            <w:webHidden/>
          </w:rPr>
          <w:t>20</w:t>
        </w:r>
        <w:r w:rsidR="00173A27">
          <w:rPr>
            <w:webHidden/>
          </w:rPr>
          <w:fldChar w:fldCharType="end"/>
        </w:r>
      </w:hyperlink>
    </w:p>
    <w:p w14:paraId="241339C7" w14:textId="688887D0" w:rsidR="00173A27" w:rsidRDefault="002E504A">
      <w:pPr>
        <w:pStyle w:val="TOC2"/>
        <w:rPr>
          <w:rFonts w:asciiTheme="minorHAnsi" w:eastAsiaTheme="minorEastAsia" w:hAnsiTheme="minorHAnsi" w:cstheme="minorBidi"/>
          <w:sz w:val="22"/>
          <w:szCs w:val="22"/>
          <w:lang w:val="de-DE" w:eastAsia="de-DE"/>
        </w:rPr>
      </w:pPr>
      <w:hyperlink w:anchor="_Toc77839734" w:history="1">
        <w:r w:rsidR="00173A27" w:rsidRPr="00984B70">
          <w:rPr>
            <w:rStyle w:val="Hyperlink"/>
          </w:rPr>
          <w:t>5.2</w:t>
        </w:r>
        <w:r w:rsidR="00173A27">
          <w:rPr>
            <w:rFonts w:asciiTheme="minorHAnsi" w:eastAsiaTheme="minorEastAsia" w:hAnsiTheme="minorHAnsi" w:cstheme="minorBidi"/>
            <w:sz w:val="22"/>
            <w:szCs w:val="22"/>
            <w:lang w:val="de-DE" w:eastAsia="de-DE"/>
          </w:rPr>
          <w:tab/>
        </w:r>
        <w:r w:rsidR="00173A27" w:rsidRPr="00984B70">
          <w:rPr>
            <w:rStyle w:val="Hyperlink"/>
          </w:rPr>
          <w:t>Exclusion Criteria</w:t>
        </w:r>
        <w:r w:rsidR="00173A27">
          <w:rPr>
            <w:webHidden/>
          </w:rPr>
          <w:tab/>
        </w:r>
        <w:r w:rsidR="00173A27">
          <w:rPr>
            <w:webHidden/>
          </w:rPr>
          <w:fldChar w:fldCharType="begin"/>
        </w:r>
        <w:r w:rsidR="00173A27">
          <w:rPr>
            <w:webHidden/>
          </w:rPr>
          <w:instrText xml:space="preserve"> PAGEREF _Toc77839734 \h </w:instrText>
        </w:r>
        <w:r w:rsidR="00173A27">
          <w:rPr>
            <w:webHidden/>
          </w:rPr>
        </w:r>
        <w:r w:rsidR="00173A27">
          <w:rPr>
            <w:webHidden/>
          </w:rPr>
          <w:fldChar w:fldCharType="separate"/>
        </w:r>
        <w:r w:rsidR="00173A27">
          <w:rPr>
            <w:webHidden/>
          </w:rPr>
          <w:t>22</w:t>
        </w:r>
        <w:r w:rsidR="00173A27">
          <w:rPr>
            <w:webHidden/>
          </w:rPr>
          <w:fldChar w:fldCharType="end"/>
        </w:r>
      </w:hyperlink>
    </w:p>
    <w:p w14:paraId="109C4F9A" w14:textId="39F91CA0" w:rsidR="00173A27" w:rsidRDefault="002E504A">
      <w:pPr>
        <w:pStyle w:val="TOC2"/>
        <w:rPr>
          <w:rFonts w:asciiTheme="minorHAnsi" w:eastAsiaTheme="minorEastAsia" w:hAnsiTheme="minorHAnsi" w:cstheme="minorBidi"/>
          <w:sz w:val="22"/>
          <w:szCs w:val="22"/>
          <w:lang w:val="de-DE" w:eastAsia="de-DE"/>
        </w:rPr>
      </w:pPr>
      <w:hyperlink w:anchor="_Toc77839735" w:history="1">
        <w:r w:rsidR="00173A27" w:rsidRPr="00984B70">
          <w:rPr>
            <w:rStyle w:val="Hyperlink"/>
          </w:rPr>
          <w:t>5.3</w:t>
        </w:r>
        <w:r w:rsidR="00173A27">
          <w:rPr>
            <w:rFonts w:asciiTheme="minorHAnsi" w:eastAsiaTheme="minorEastAsia" w:hAnsiTheme="minorHAnsi" w:cstheme="minorBidi"/>
            <w:sz w:val="22"/>
            <w:szCs w:val="22"/>
            <w:lang w:val="de-DE" w:eastAsia="de-DE"/>
          </w:rPr>
          <w:tab/>
        </w:r>
        <w:r w:rsidR="00173A27" w:rsidRPr="00984B70">
          <w:rPr>
            <w:rStyle w:val="Hyperlink"/>
          </w:rPr>
          <w:t>Lifestyle Considerations</w:t>
        </w:r>
        <w:r w:rsidR="00173A27">
          <w:rPr>
            <w:webHidden/>
          </w:rPr>
          <w:tab/>
        </w:r>
        <w:r w:rsidR="00173A27">
          <w:rPr>
            <w:webHidden/>
          </w:rPr>
          <w:fldChar w:fldCharType="begin"/>
        </w:r>
        <w:r w:rsidR="00173A27">
          <w:rPr>
            <w:webHidden/>
          </w:rPr>
          <w:instrText xml:space="preserve"> PAGEREF _Toc77839735 \h </w:instrText>
        </w:r>
        <w:r w:rsidR="00173A27">
          <w:rPr>
            <w:webHidden/>
          </w:rPr>
        </w:r>
        <w:r w:rsidR="00173A27">
          <w:rPr>
            <w:webHidden/>
          </w:rPr>
          <w:fldChar w:fldCharType="separate"/>
        </w:r>
        <w:r w:rsidR="00173A27">
          <w:rPr>
            <w:webHidden/>
          </w:rPr>
          <w:t>25</w:t>
        </w:r>
        <w:r w:rsidR="00173A27">
          <w:rPr>
            <w:webHidden/>
          </w:rPr>
          <w:fldChar w:fldCharType="end"/>
        </w:r>
      </w:hyperlink>
    </w:p>
    <w:p w14:paraId="57A68549" w14:textId="01F011CC" w:rsidR="00173A27" w:rsidRDefault="002E504A">
      <w:pPr>
        <w:pStyle w:val="TOC3"/>
        <w:rPr>
          <w:rFonts w:asciiTheme="minorHAnsi" w:eastAsiaTheme="minorEastAsia" w:hAnsiTheme="minorHAnsi" w:cstheme="minorBidi"/>
          <w:sz w:val="22"/>
          <w:szCs w:val="22"/>
          <w:lang w:val="de-DE" w:eastAsia="de-DE"/>
        </w:rPr>
      </w:pPr>
      <w:hyperlink w:anchor="_Toc77839736" w:history="1">
        <w:r w:rsidR="00173A27" w:rsidRPr="00984B70">
          <w:rPr>
            <w:rStyle w:val="Hyperlink"/>
          </w:rPr>
          <w:t>5.3.1</w:t>
        </w:r>
        <w:r w:rsidR="00173A27">
          <w:rPr>
            <w:rFonts w:asciiTheme="minorHAnsi" w:eastAsiaTheme="minorEastAsia" w:hAnsiTheme="minorHAnsi" w:cstheme="minorBidi"/>
            <w:sz w:val="22"/>
            <w:szCs w:val="22"/>
            <w:lang w:val="de-DE" w:eastAsia="de-DE"/>
          </w:rPr>
          <w:tab/>
        </w:r>
        <w:r w:rsidR="00173A27" w:rsidRPr="00984B70">
          <w:rPr>
            <w:rStyle w:val="Hyperlink"/>
          </w:rPr>
          <w:t>Meals and Dietary Restrictions</w:t>
        </w:r>
        <w:r w:rsidR="00173A27">
          <w:rPr>
            <w:webHidden/>
          </w:rPr>
          <w:tab/>
        </w:r>
        <w:r w:rsidR="00173A27">
          <w:rPr>
            <w:webHidden/>
          </w:rPr>
          <w:fldChar w:fldCharType="begin"/>
        </w:r>
        <w:r w:rsidR="00173A27">
          <w:rPr>
            <w:webHidden/>
          </w:rPr>
          <w:instrText xml:space="preserve"> PAGEREF _Toc77839736 \h </w:instrText>
        </w:r>
        <w:r w:rsidR="00173A27">
          <w:rPr>
            <w:webHidden/>
          </w:rPr>
        </w:r>
        <w:r w:rsidR="00173A27">
          <w:rPr>
            <w:webHidden/>
          </w:rPr>
          <w:fldChar w:fldCharType="separate"/>
        </w:r>
        <w:r w:rsidR="00173A27">
          <w:rPr>
            <w:webHidden/>
          </w:rPr>
          <w:t>25</w:t>
        </w:r>
        <w:r w:rsidR="00173A27">
          <w:rPr>
            <w:webHidden/>
          </w:rPr>
          <w:fldChar w:fldCharType="end"/>
        </w:r>
      </w:hyperlink>
    </w:p>
    <w:p w14:paraId="2A542028" w14:textId="7DC80968" w:rsidR="00173A27" w:rsidRDefault="002E504A">
      <w:pPr>
        <w:pStyle w:val="TOC3"/>
        <w:rPr>
          <w:rFonts w:asciiTheme="minorHAnsi" w:eastAsiaTheme="minorEastAsia" w:hAnsiTheme="minorHAnsi" w:cstheme="minorBidi"/>
          <w:sz w:val="22"/>
          <w:szCs w:val="22"/>
          <w:lang w:val="de-DE" w:eastAsia="de-DE"/>
        </w:rPr>
      </w:pPr>
      <w:hyperlink w:anchor="_Toc77839737" w:history="1">
        <w:r w:rsidR="00173A27" w:rsidRPr="00984B70">
          <w:rPr>
            <w:rStyle w:val="Hyperlink"/>
          </w:rPr>
          <w:t>5.3.2</w:t>
        </w:r>
        <w:r w:rsidR="00173A27">
          <w:rPr>
            <w:rFonts w:asciiTheme="minorHAnsi" w:eastAsiaTheme="minorEastAsia" w:hAnsiTheme="minorHAnsi" w:cstheme="minorBidi"/>
            <w:sz w:val="22"/>
            <w:szCs w:val="22"/>
            <w:lang w:val="de-DE" w:eastAsia="de-DE"/>
          </w:rPr>
          <w:tab/>
        </w:r>
        <w:r w:rsidR="00173A27" w:rsidRPr="00984B70">
          <w:rPr>
            <w:rStyle w:val="Hyperlink"/>
          </w:rPr>
          <w:t>Caffeine, Alcohol, Tobacco, and Cannabinoid</w:t>
        </w:r>
        <w:r w:rsidR="00173A27">
          <w:rPr>
            <w:webHidden/>
          </w:rPr>
          <w:tab/>
        </w:r>
        <w:r w:rsidR="00173A27">
          <w:rPr>
            <w:webHidden/>
          </w:rPr>
          <w:fldChar w:fldCharType="begin"/>
        </w:r>
        <w:r w:rsidR="00173A27">
          <w:rPr>
            <w:webHidden/>
          </w:rPr>
          <w:instrText xml:space="preserve"> PAGEREF _Toc77839737 \h </w:instrText>
        </w:r>
        <w:r w:rsidR="00173A27">
          <w:rPr>
            <w:webHidden/>
          </w:rPr>
        </w:r>
        <w:r w:rsidR="00173A27">
          <w:rPr>
            <w:webHidden/>
          </w:rPr>
          <w:fldChar w:fldCharType="separate"/>
        </w:r>
        <w:r w:rsidR="00173A27">
          <w:rPr>
            <w:webHidden/>
          </w:rPr>
          <w:t>26</w:t>
        </w:r>
        <w:r w:rsidR="00173A27">
          <w:rPr>
            <w:webHidden/>
          </w:rPr>
          <w:fldChar w:fldCharType="end"/>
        </w:r>
      </w:hyperlink>
    </w:p>
    <w:p w14:paraId="786261D0" w14:textId="489BEFCC" w:rsidR="00173A27" w:rsidRDefault="002E504A">
      <w:pPr>
        <w:pStyle w:val="TOC3"/>
        <w:rPr>
          <w:rFonts w:asciiTheme="minorHAnsi" w:eastAsiaTheme="minorEastAsia" w:hAnsiTheme="minorHAnsi" w:cstheme="minorBidi"/>
          <w:sz w:val="22"/>
          <w:szCs w:val="22"/>
          <w:lang w:val="de-DE" w:eastAsia="de-DE"/>
        </w:rPr>
      </w:pPr>
      <w:hyperlink w:anchor="_Toc77839738" w:history="1">
        <w:r w:rsidR="00173A27" w:rsidRPr="00984B70">
          <w:rPr>
            <w:rStyle w:val="Hyperlink"/>
          </w:rPr>
          <w:t>5.3.3</w:t>
        </w:r>
        <w:r w:rsidR="00173A27">
          <w:rPr>
            <w:rFonts w:asciiTheme="minorHAnsi" w:eastAsiaTheme="minorEastAsia" w:hAnsiTheme="minorHAnsi" w:cstheme="minorBidi"/>
            <w:sz w:val="22"/>
            <w:szCs w:val="22"/>
            <w:lang w:val="de-DE" w:eastAsia="de-DE"/>
          </w:rPr>
          <w:tab/>
        </w:r>
        <w:r w:rsidR="00173A27" w:rsidRPr="00984B70">
          <w:rPr>
            <w:rStyle w:val="Hyperlink"/>
          </w:rPr>
          <w:t>Activity</w:t>
        </w:r>
        <w:r w:rsidR="00173A27">
          <w:rPr>
            <w:webHidden/>
          </w:rPr>
          <w:tab/>
        </w:r>
        <w:r w:rsidR="00173A27">
          <w:rPr>
            <w:webHidden/>
          </w:rPr>
          <w:fldChar w:fldCharType="begin"/>
        </w:r>
        <w:r w:rsidR="00173A27">
          <w:rPr>
            <w:webHidden/>
          </w:rPr>
          <w:instrText xml:space="preserve"> PAGEREF _Toc77839738 \h </w:instrText>
        </w:r>
        <w:r w:rsidR="00173A27">
          <w:rPr>
            <w:webHidden/>
          </w:rPr>
        </w:r>
        <w:r w:rsidR="00173A27">
          <w:rPr>
            <w:webHidden/>
          </w:rPr>
          <w:fldChar w:fldCharType="separate"/>
        </w:r>
        <w:r w:rsidR="00173A27">
          <w:rPr>
            <w:webHidden/>
          </w:rPr>
          <w:t>26</w:t>
        </w:r>
        <w:r w:rsidR="00173A27">
          <w:rPr>
            <w:webHidden/>
          </w:rPr>
          <w:fldChar w:fldCharType="end"/>
        </w:r>
      </w:hyperlink>
    </w:p>
    <w:p w14:paraId="714F6D1C" w14:textId="677C63A5" w:rsidR="00173A27" w:rsidRDefault="002E504A">
      <w:pPr>
        <w:pStyle w:val="TOC2"/>
        <w:rPr>
          <w:rFonts w:asciiTheme="minorHAnsi" w:eastAsiaTheme="minorEastAsia" w:hAnsiTheme="minorHAnsi" w:cstheme="minorBidi"/>
          <w:sz w:val="22"/>
          <w:szCs w:val="22"/>
          <w:lang w:val="de-DE" w:eastAsia="de-DE"/>
        </w:rPr>
      </w:pPr>
      <w:hyperlink w:anchor="_Toc77839739" w:history="1">
        <w:r w:rsidR="00173A27" w:rsidRPr="00984B70">
          <w:rPr>
            <w:rStyle w:val="Hyperlink"/>
          </w:rPr>
          <w:t>5.4</w:t>
        </w:r>
        <w:r w:rsidR="00173A27">
          <w:rPr>
            <w:rFonts w:asciiTheme="minorHAnsi" w:eastAsiaTheme="minorEastAsia" w:hAnsiTheme="minorHAnsi" w:cstheme="minorBidi"/>
            <w:sz w:val="22"/>
            <w:szCs w:val="22"/>
            <w:lang w:val="de-DE" w:eastAsia="de-DE"/>
          </w:rPr>
          <w:tab/>
        </w:r>
        <w:r w:rsidR="00173A27" w:rsidRPr="00984B70">
          <w:rPr>
            <w:rStyle w:val="Hyperlink"/>
          </w:rPr>
          <w:t>Screen Failures</w:t>
        </w:r>
        <w:r w:rsidR="00173A27">
          <w:rPr>
            <w:webHidden/>
          </w:rPr>
          <w:tab/>
        </w:r>
        <w:r w:rsidR="00173A27">
          <w:rPr>
            <w:webHidden/>
          </w:rPr>
          <w:fldChar w:fldCharType="begin"/>
        </w:r>
        <w:r w:rsidR="00173A27">
          <w:rPr>
            <w:webHidden/>
          </w:rPr>
          <w:instrText xml:space="preserve"> PAGEREF _Toc77839739 \h </w:instrText>
        </w:r>
        <w:r w:rsidR="00173A27">
          <w:rPr>
            <w:webHidden/>
          </w:rPr>
        </w:r>
        <w:r w:rsidR="00173A27">
          <w:rPr>
            <w:webHidden/>
          </w:rPr>
          <w:fldChar w:fldCharType="separate"/>
        </w:r>
        <w:r w:rsidR="00173A27">
          <w:rPr>
            <w:webHidden/>
          </w:rPr>
          <w:t>26</w:t>
        </w:r>
        <w:r w:rsidR="00173A27">
          <w:rPr>
            <w:webHidden/>
          </w:rPr>
          <w:fldChar w:fldCharType="end"/>
        </w:r>
      </w:hyperlink>
    </w:p>
    <w:p w14:paraId="0F19B174" w14:textId="4B4FA43A" w:rsidR="00173A27" w:rsidRDefault="002E504A">
      <w:pPr>
        <w:pStyle w:val="TOC2"/>
        <w:rPr>
          <w:rFonts w:asciiTheme="minorHAnsi" w:eastAsiaTheme="minorEastAsia" w:hAnsiTheme="minorHAnsi" w:cstheme="minorBidi"/>
          <w:sz w:val="22"/>
          <w:szCs w:val="22"/>
          <w:lang w:val="de-DE" w:eastAsia="de-DE"/>
        </w:rPr>
      </w:pPr>
      <w:hyperlink w:anchor="_Toc77839740" w:history="1">
        <w:r w:rsidR="00173A27" w:rsidRPr="00984B70">
          <w:rPr>
            <w:rStyle w:val="Hyperlink"/>
          </w:rPr>
          <w:t>5.5</w:t>
        </w:r>
        <w:r w:rsidR="00173A27">
          <w:rPr>
            <w:rFonts w:asciiTheme="minorHAnsi" w:eastAsiaTheme="minorEastAsia" w:hAnsiTheme="minorHAnsi" w:cstheme="minorBidi"/>
            <w:sz w:val="22"/>
            <w:szCs w:val="22"/>
            <w:lang w:val="de-DE" w:eastAsia="de-DE"/>
          </w:rPr>
          <w:tab/>
        </w:r>
        <w:r w:rsidR="00173A27" w:rsidRPr="00984B70">
          <w:rPr>
            <w:rStyle w:val="Hyperlink"/>
          </w:rPr>
          <w:t>Criteria for Temporarily Delaying the Administration of Study Intervention</w:t>
        </w:r>
        <w:r w:rsidR="00173A27">
          <w:rPr>
            <w:webHidden/>
          </w:rPr>
          <w:tab/>
        </w:r>
        <w:r w:rsidR="00173A27">
          <w:rPr>
            <w:webHidden/>
          </w:rPr>
          <w:fldChar w:fldCharType="begin"/>
        </w:r>
        <w:r w:rsidR="00173A27">
          <w:rPr>
            <w:webHidden/>
          </w:rPr>
          <w:instrText xml:space="preserve"> PAGEREF _Toc77839740 \h </w:instrText>
        </w:r>
        <w:r w:rsidR="00173A27">
          <w:rPr>
            <w:webHidden/>
          </w:rPr>
        </w:r>
        <w:r w:rsidR="00173A27">
          <w:rPr>
            <w:webHidden/>
          </w:rPr>
          <w:fldChar w:fldCharType="separate"/>
        </w:r>
        <w:r w:rsidR="00173A27">
          <w:rPr>
            <w:webHidden/>
          </w:rPr>
          <w:t>26</w:t>
        </w:r>
        <w:r w:rsidR="00173A27">
          <w:rPr>
            <w:webHidden/>
          </w:rPr>
          <w:fldChar w:fldCharType="end"/>
        </w:r>
      </w:hyperlink>
    </w:p>
    <w:p w14:paraId="67B9605E" w14:textId="76975F67" w:rsidR="00173A27" w:rsidRDefault="002E504A">
      <w:pPr>
        <w:pStyle w:val="TOC1"/>
        <w:rPr>
          <w:rFonts w:asciiTheme="minorHAnsi" w:eastAsiaTheme="minorEastAsia" w:hAnsiTheme="minorHAnsi" w:cstheme="minorBidi"/>
          <w:sz w:val="22"/>
          <w:szCs w:val="22"/>
          <w:lang w:val="de-DE" w:eastAsia="de-DE"/>
        </w:rPr>
      </w:pPr>
      <w:hyperlink w:anchor="_Toc77839741" w:history="1">
        <w:r w:rsidR="00173A27" w:rsidRPr="00984B70">
          <w:rPr>
            <w:rStyle w:val="Hyperlink"/>
          </w:rPr>
          <w:t>6</w:t>
        </w:r>
        <w:r w:rsidR="00173A27">
          <w:rPr>
            <w:rFonts w:asciiTheme="minorHAnsi" w:eastAsiaTheme="minorEastAsia" w:hAnsiTheme="minorHAnsi" w:cstheme="minorBidi"/>
            <w:sz w:val="22"/>
            <w:szCs w:val="22"/>
            <w:lang w:val="de-DE" w:eastAsia="de-DE"/>
          </w:rPr>
          <w:tab/>
        </w:r>
        <w:r w:rsidR="00173A27" w:rsidRPr="00984B70">
          <w:rPr>
            <w:rStyle w:val="Hyperlink"/>
          </w:rPr>
          <w:t>Study Intervention(s) and Concomitant Therapies</w:t>
        </w:r>
        <w:r w:rsidR="00173A27">
          <w:rPr>
            <w:webHidden/>
          </w:rPr>
          <w:tab/>
        </w:r>
        <w:r w:rsidR="00173A27">
          <w:rPr>
            <w:webHidden/>
          </w:rPr>
          <w:fldChar w:fldCharType="begin"/>
        </w:r>
        <w:r w:rsidR="00173A27">
          <w:rPr>
            <w:webHidden/>
          </w:rPr>
          <w:instrText xml:space="preserve"> PAGEREF _Toc77839741 \h </w:instrText>
        </w:r>
        <w:r w:rsidR="00173A27">
          <w:rPr>
            <w:webHidden/>
          </w:rPr>
        </w:r>
        <w:r w:rsidR="00173A27">
          <w:rPr>
            <w:webHidden/>
          </w:rPr>
          <w:fldChar w:fldCharType="separate"/>
        </w:r>
        <w:r w:rsidR="00173A27">
          <w:rPr>
            <w:webHidden/>
          </w:rPr>
          <w:t>26</w:t>
        </w:r>
        <w:r w:rsidR="00173A27">
          <w:rPr>
            <w:webHidden/>
          </w:rPr>
          <w:fldChar w:fldCharType="end"/>
        </w:r>
      </w:hyperlink>
    </w:p>
    <w:p w14:paraId="4DB2DCF3" w14:textId="521AE15B" w:rsidR="00173A27" w:rsidRDefault="002E504A">
      <w:pPr>
        <w:pStyle w:val="TOC2"/>
        <w:rPr>
          <w:rFonts w:asciiTheme="minorHAnsi" w:eastAsiaTheme="minorEastAsia" w:hAnsiTheme="minorHAnsi" w:cstheme="minorBidi"/>
          <w:sz w:val="22"/>
          <w:szCs w:val="22"/>
          <w:lang w:val="de-DE" w:eastAsia="de-DE"/>
        </w:rPr>
      </w:pPr>
      <w:hyperlink w:anchor="_Toc77839742" w:history="1">
        <w:r w:rsidR="00173A27" w:rsidRPr="00984B70">
          <w:rPr>
            <w:rStyle w:val="Hyperlink"/>
          </w:rPr>
          <w:t>6.1</w:t>
        </w:r>
        <w:r w:rsidR="00173A27">
          <w:rPr>
            <w:rFonts w:asciiTheme="minorHAnsi" w:eastAsiaTheme="minorEastAsia" w:hAnsiTheme="minorHAnsi" w:cstheme="minorBidi"/>
            <w:sz w:val="22"/>
            <w:szCs w:val="22"/>
            <w:lang w:val="de-DE" w:eastAsia="de-DE"/>
          </w:rPr>
          <w:tab/>
        </w:r>
        <w:r w:rsidR="00173A27" w:rsidRPr="00984B70">
          <w:rPr>
            <w:rStyle w:val="Hyperlink"/>
          </w:rPr>
          <w:t>Study Intervention(s) Administration</w:t>
        </w:r>
        <w:r w:rsidR="00173A27">
          <w:rPr>
            <w:webHidden/>
          </w:rPr>
          <w:tab/>
        </w:r>
        <w:r w:rsidR="00173A27">
          <w:rPr>
            <w:webHidden/>
          </w:rPr>
          <w:fldChar w:fldCharType="begin"/>
        </w:r>
        <w:r w:rsidR="00173A27">
          <w:rPr>
            <w:webHidden/>
          </w:rPr>
          <w:instrText xml:space="preserve"> PAGEREF _Toc77839742 \h </w:instrText>
        </w:r>
        <w:r w:rsidR="00173A27">
          <w:rPr>
            <w:webHidden/>
          </w:rPr>
        </w:r>
        <w:r w:rsidR="00173A27">
          <w:rPr>
            <w:webHidden/>
          </w:rPr>
          <w:fldChar w:fldCharType="separate"/>
        </w:r>
        <w:r w:rsidR="00173A27">
          <w:rPr>
            <w:webHidden/>
          </w:rPr>
          <w:t>27</w:t>
        </w:r>
        <w:r w:rsidR="00173A27">
          <w:rPr>
            <w:webHidden/>
          </w:rPr>
          <w:fldChar w:fldCharType="end"/>
        </w:r>
      </w:hyperlink>
    </w:p>
    <w:p w14:paraId="61D33835" w14:textId="3EE26207" w:rsidR="00173A27" w:rsidRDefault="002E504A">
      <w:pPr>
        <w:pStyle w:val="TOC2"/>
        <w:rPr>
          <w:rFonts w:asciiTheme="minorHAnsi" w:eastAsiaTheme="minorEastAsia" w:hAnsiTheme="minorHAnsi" w:cstheme="minorBidi"/>
          <w:sz w:val="22"/>
          <w:szCs w:val="22"/>
          <w:lang w:val="de-DE" w:eastAsia="de-DE"/>
        </w:rPr>
      </w:pPr>
      <w:hyperlink w:anchor="_Toc77839743" w:history="1">
        <w:r w:rsidR="00173A27" w:rsidRPr="00984B70">
          <w:rPr>
            <w:rStyle w:val="Hyperlink"/>
          </w:rPr>
          <w:t>6.2</w:t>
        </w:r>
        <w:r w:rsidR="00173A27">
          <w:rPr>
            <w:rFonts w:asciiTheme="minorHAnsi" w:eastAsiaTheme="minorEastAsia" w:hAnsiTheme="minorHAnsi" w:cstheme="minorBidi"/>
            <w:sz w:val="22"/>
            <w:szCs w:val="22"/>
            <w:lang w:val="de-DE" w:eastAsia="de-DE"/>
          </w:rPr>
          <w:tab/>
        </w:r>
        <w:r w:rsidR="00173A27" w:rsidRPr="00984B70">
          <w:rPr>
            <w:rStyle w:val="Hyperlink"/>
          </w:rPr>
          <w:t>Study Intervention(s) Preparation, Handling, Storage, and Accountability</w:t>
        </w:r>
        <w:r w:rsidR="00173A27">
          <w:rPr>
            <w:webHidden/>
          </w:rPr>
          <w:tab/>
        </w:r>
        <w:r w:rsidR="00173A27">
          <w:rPr>
            <w:webHidden/>
          </w:rPr>
          <w:fldChar w:fldCharType="begin"/>
        </w:r>
        <w:r w:rsidR="00173A27">
          <w:rPr>
            <w:webHidden/>
          </w:rPr>
          <w:instrText xml:space="preserve"> PAGEREF _Toc77839743 \h </w:instrText>
        </w:r>
        <w:r w:rsidR="00173A27">
          <w:rPr>
            <w:webHidden/>
          </w:rPr>
        </w:r>
        <w:r w:rsidR="00173A27">
          <w:rPr>
            <w:webHidden/>
          </w:rPr>
          <w:fldChar w:fldCharType="separate"/>
        </w:r>
        <w:r w:rsidR="00173A27">
          <w:rPr>
            <w:webHidden/>
          </w:rPr>
          <w:t>27</w:t>
        </w:r>
        <w:r w:rsidR="00173A27">
          <w:rPr>
            <w:webHidden/>
          </w:rPr>
          <w:fldChar w:fldCharType="end"/>
        </w:r>
      </w:hyperlink>
    </w:p>
    <w:p w14:paraId="7F203299" w14:textId="68242246" w:rsidR="00173A27" w:rsidRDefault="002E504A">
      <w:pPr>
        <w:pStyle w:val="TOC2"/>
        <w:rPr>
          <w:rFonts w:asciiTheme="minorHAnsi" w:eastAsiaTheme="minorEastAsia" w:hAnsiTheme="minorHAnsi" w:cstheme="minorBidi"/>
          <w:sz w:val="22"/>
          <w:szCs w:val="22"/>
          <w:lang w:val="de-DE" w:eastAsia="de-DE"/>
        </w:rPr>
      </w:pPr>
      <w:hyperlink w:anchor="_Toc77839744" w:history="1">
        <w:r w:rsidR="00173A27" w:rsidRPr="00984B70">
          <w:rPr>
            <w:rStyle w:val="Hyperlink"/>
          </w:rPr>
          <w:t>6.3</w:t>
        </w:r>
        <w:r w:rsidR="00173A27">
          <w:rPr>
            <w:rFonts w:asciiTheme="minorHAnsi" w:eastAsiaTheme="minorEastAsia" w:hAnsiTheme="minorHAnsi" w:cstheme="minorBidi"/>
            <w:sz w:val="22"/>
            <w:szCs w:val="22"/>
            <w:lang w:val="de-DE" w:eastAsia="de-DE"/>
          </w:rPr>
          <w:tab/>
        </w:r>
        <w:r w:rsidR="00173A27" w:rsidRPr="00984B70">
          <w:rPr>
            <w:rStyle w:val="Hyperlink"/>
          </w:rPr>
          <w:t>Measures to Minimize Bias: Study Intervention Assignment and Blinding</w:t>
        </w:r>
        <w:r w:rsidR="00173A27">
          <w:rPr>
            <w:webHidden/>
          </w:rPr>
          <w:tab/>
        </w:r>
        <w:r w:rsidR="00173A27">
          <w:rPr>
            <w:webHidden/>
          </w:rPr>
          <w:fldChar w:fldCharType="begin"/>
        </w:r>
        <w:r w:rsidR="00173A27">
          <w:rPr>
            <w:webHidden/>
          </w:rPr>
          <w:instrText xml:space="preserve"> PAGEREF _Toc77839744 \h </w:instrText>
        </w:r>
        <w:r w:rsidR="00173A27">
          <w:rPr>
            <w:webHidden/>
          </w:rPr>
        </w:r>
        <w:r w:rsidR="00173A27">
          <w:rPr>
            <w:webHidden/>
          </w:rPr>
          <w:fldChar w:fldCharType="separate"/>
        </w:r>
        <w:r w:rsidR="00173A27">
          <w:rPr>
            <w:webHidden/>
          </w:rPr>
          <w:t>28</w:t>
        </w:r>
        <w:r w:rsidR="00173A27">
          <w:rPr>
            <w:webHidden/>
          </w:rPr>
          <w:fldChar w:fldCharType="end"/>
        </w:r>
      </w:hyperlink>
    </w:p>
    <w:p w14:paraId="114226A0" w14:textId="246C41EC" w:rsidR="00173A27" w:rsidRDefault="002E504A">
      <w:pPr>
        <w:pStyle w:val="TOC3"/>
        <w:rPr>
          <w:rFonts w:asciiTheme="minorHAnsi" w:eastAsiaTheme="minorEastAsia" w:hAnsiTheme="minorHAnsi" w:cstheme="minorBidi"/>
          <w:sz w:val="22"/>
          <w:szCs w:val="22"/>
          <w:lang w:val="de-DE" w:eastAsia="de-DE"/>
        </w:rPr>
      </w:pPr>
      <w:hyperlink w:anchor="_Toc77839745" w:history="1">
        <w:r w:rsidR="00173A27" w:rsidRPr="00984B70">
          <w:rPr>
            <w:rStyle w:val="Hyperlink"/>
          </w:rPr>
          <w:t>6.3.1</w:t>
        </w:r>
        <w:r w:rsidR="00173A27">
          <w:rPr>
            <w:rFonts w:asciiTheme="minorHAnsi" w:eastAsiaTheme="minorEastAsia" w:hAnsiTheme="minorHAnsi" w:cstheme="minorBidi"/>
            <w:sz w:val="22"/>
            <w:szCs w:val="22"/>
            <w:lang w:val="de-DE" w:eastAsia="de-DE"/>
          </w:rPr>
          <w:tab/>
        </w:r>
        <w:r w:rsidR="00173A27" w:rsidRPr="00984B70">
          <w:rPr>
            <w:rStyle w:val="Hyperlink"/>
          </w:rPr>
          <w:t>Study Intervention Assignment</w:t>
        </w:r>
        <w:r w:rsidR="00173A27">
          <w:rPr>
            <w:webHidden/>
          </w:rPr>
          <w:tab/>
        </w:r>
        <w:r w:rsidR="00173A27">
          <w:rPr>
            <w:webHidden/>
          </w:rPr>
          <w:fldChar w:fldCharType="begin"/>
        </w:r>
        <w:r w:rsidR="00173A27">
          <w:rPr>
            <w:webHidden/>
          </w:rPr>
          <w:instrText xml:space="preserve"> PAGEREF _Toc77839745 \h </w:instrText>
        </w:r>
        <w:r w:rsidR="00173A27">
          <w:rPr>
            <w:webHidden/>
          </w:rPr>
        </w:r>
        <w:r w:rsidR="00173A27">
          <w:rPr>
            <w:webHidden/>
          </w:rPr>
          <w:fldChar w:fldCharType="separate"/>
        </w:r>
        <w:r w:rsidR="00173A27">
          <w:rPr>
            <w:webHidden/>
          </w:rPr>
          <w:t>28</w:t>
        </w:r>
        <w:r w:rsidR="00173A27">
          <w:rPr>
            <w:webHidden/>
          </w:rPr>
          <w:fldChar w:fldCharType="end"/>
        </w:r>
      </w:hyperlink>
    </w:p>
    <w:p w14:paraId="31D07229" w14:textId="123DEAC8" w:rsidR="00173A27" w:rsidRDefault="002E504A">
      <w:pPr>
        <w:pStyle w:val="TOC3"/>
        <w:rPr>
          <w:rFonts w:asciiTheme="minorHAnsi" w:eastAsiaTheme="minorEastAsia" w:hAnsiTheme="minorHAnsi" w:cstheme="minorBidi"/>
          <w:sz w:val="22"/>
          <w:szCs w:val="22"/>
          <w:lang w:val="de-DE" w:eastAsia="de-DE"/>
        </w:rPr>
      </w:pPr>
      <w:hyperlink w:anchor="_Toc77839746" w:history="1">
        <w:r w:rsidR="00173A27" w:rsidRPr="00984B70">
          <w:rPr>
            <w:rStyle w:val="Hyperlink"/>
          </w:rPr>
          <w:t>6.3.2</w:t>
        </w:r>
        <w:r w:rsidR="00173A27">
          <w:rPr>
            <w:rFonts w:asciiTheme="minorHAnsi" w:eastAsiaTheme="minorEastAsia" w:hAnsiTheme="minorHAnsi" w:cstheme="minorBidi"/>
            <w:sz w:val="22"/>
            <w:szCs w:val="22"/>
            <w:lang w:val="de-DE" w:eastAsia="de-DE"/>
          </w:rPr>
          <w:tab/>
        </w:r>
        <w:r w:rsidR="00173A27" w:rsidRPr="00984B70">
          <w:rPr>
            <w:rStyle w:val="Hyperlink"/>
          </w:rPr>
          <w:t>Blinding</w:t>
        </w:r>
        <w:r w:rsidR="00173A27">
          <w:rPr>
            <w:webHidden/>
          </w:rPr>
          <w:tab/>
        </w:r>
        <w:r w:rsidR="00173A27">
          <w:rPr>
            <w:webHidden/>
          </w:rPr>
          <w:fldChar w:fldCharType="begin"/>
        </w:r>
        <w:r w:rsidR="00173A27">
          <w:rPr>
            <w:webHidden/>
          </w:rPr>
          <w:instrText xml:space="preserve"> PAGEREF _Toc77839746 \h </w:instrText>
        </w:r>
        <w:r w:rsidR="00173A27">
          <w:rPr>
            <w:webHidden/>
          </w:rPr>
        </w:r>
        <w:r w:rsidR="00173A27">
          <w:rPr>
            <w:webHidden/>
          </w:rPr>
          <w:fldChar w:fldCharType="separate"/>
        </w:r>
        <w:r w:rsidR="00173A27">
          <w:rPr>
            <w:webHidden/>
          </w:rPr>
          <w:t>29</w:t>
        </w:r>
        <w:r w:rsidR="00173A27">
          <w:rPr>
            <w:webHidden/>
          </w:rPr>
          <w:fldChar w:fldCharType="end"/>
        </w:r>
      </w:hyperlink>
    </w:p>
    <w:p w14:paraId="24B864EA" w14:textId="2E89E1B0" w:rsidR="00173A27" w:rsidRDefault="002E504A">
      <w:pPr>
        <w:pStyle w:val="TOC3"/>
        <w:rPr>
          <w:rFonts w:asciiTheme="minorHAnsi" w:eastAsiaTheme="minorEastAsia" w:hAnsiTheme="minorHAnsi" w:cstheme="minorBidi"/>
          <w:sz w:val="22"/>
          <w:szCs w:val="22"/>
          <w:lang w:val="de-DE" w:eastAsia="de-DE"/>
        </w:rPr>
      </w:pPr>
      <w:hyperlink w:anchor="_Toc77839747" w:history="1">
        <w:r w:rsidR="00173A27" w:rsidRPr="00984B70">
          <w:rPr>
            <w:rStyle w:val="Hyperlink"/>
          </w:rPr>
          <w:t>6.3.3</w:t>
        </w:r>
        <w:r w:rsidR="00173A27">
          <w:rPr>
            <w:rFonts w:asciiTheme="minorHAnsi" w:eastAsiaTheme="minorEastAsia" w:hAnsiTheme="minorHAnsi" w:cstheme="minorBidi"/>
            <w:sz w:val="22"/>
            <w:szCs w:val="22"/>
            <w:lang w:val="de-DE" w:eastAsia="de-DE"/>
          </w:rPr>
          <w:tab/>
        </w:r>
        <w:r w:rsidR="00173A27" w:rsidRPr="00984B70">
          <w:rPr>
            <w:rStyle w:val="Hyperlink"/>
          </w:rPr>
          <w:t>Emergency Unblinding</w:t>
        </w:r>
        <w:r w:rsidR="00173A27">
          <w:rPr>
            <w:webHidden/>
          </w:rPr>
          <w:tab/>
        </w:r>
        <w:r w:rsidR="00173A27">
          <w:rPr>
            <w:webHidden/>
          </w:rPr>
          <w:fldChar w:fldCharType="begin"/>
        </w:r>
        <w:r w:rsidR="00173A27">
          <w:rPr>
            <w:webHidden/>
          </w:rPr>
          <w:instrText xml:space="preserve"> PAGEREF _Toc77839747 \h </w:instrText>
        </w:r>
        <w:r w:rsidR="00173A27">
          <w:rPr>
            <w:webHidden/>
          </w:rPr>
        </w:r>
        <w:r w:rsidR="00173A27">
          <w:rPr>
            <w:webHidden/>
          </w:rPr>
          <w:fldChar w:fldCharType="separate"/>
        </w:r>
        <w:r w:rsidR="00173A27">
          <w:rPr>
            <w:webHidden/>
          </w:rPr>
          <w:t>29</w:t>
        </w:r>
        <w:r w:rsidR="00173A27">
          <w:rPr>
            <w:webHidden/>
          </w:rPr>
          <w:fldChar w:fldCharType="end"/>
        </w:r>
      </w:hyperlink>
    </w:p>
    <w:p w14:paraId="51042C90" w14:textId="69134D56" w:rsidR="00173A27" w:rsidRDefault="002E504A">
      <w:pPr>
        <w:pStyle w:val="TOC2"/>
        <w:rPr>
          <w:rFonts w:asciiTheme="minorHAnsi" w:eastAsiaTheme="minorEastAsia" w:hAnsiTheme="minorHAnsi" w:cstheme="minorBidi"/>
          <w:sz w:val="22"/>
          <w:szCs w:val="22"/>
          <w:lang w:val="de-DE" w:eastAsia="de-DE"/>
        </w:rPr>
      </w:pPr>
      <w:hyperlink w:anchor="_Toc77839748" w:history="1">
        <w:r w:rsidR="00173A27" w:rsidRPr="00984B70">
          <w:rPr>
            <w:rStyle w:val="Hyperlink"/>
          </w:rPr>
          <w:t>6.4</w:t>
        </w:r>
        <w:r w:rsidR="00173A27">
          <w:rPr>
            <w:rFonts w:asciiTheme="minorHAnsi" w:eastAsiaTheme="minorEastAsia" w:hAnsiTheme="minorHAnsi" w:cstheme="minorBidi"/>
            <w:sz w:val="22"/>
            <w:szCs w:val="22"/>
            <w:lang w:val="de-DE" w:eastAsia="de-DE"/>
          </w:rPr>
          <w:tab/>
        </w:r>
        <w:r w:rsidR="00173A27" w:rsidRPr="00984B70">
          <w:rPr>
            <w:rStyle w:val="Hyperlink"/>
          </w:rPr>
          <w:t>Study Intervention Compliance</w:t>
        </w:r>
        <w:r w:rsidR="00173A27">
          <w:rPr>
            <w:webHidden/>
          </w:rPr>
          <w:tab/>
        </w:r>
        <w:r w:rsidR="00173A27">
          <w:rPr>
            <w:webHidden/>
          </w:rPr>
          <w:fldChar w:fldCharType="begin"/>
        </w:r>
        <w:r w:rsidR="00173A27">
          <w:rPr>
            <w:webHidden/>
          </w:rPr>
          <w:instrText xml:space="preserve"> PAGEREF _Toc77839748 \h </w:instrText>
        </w:r>
        <w:r w:rsidR="00173A27">
          <w:rPr>
            <w:webHidden/>
          </w:rPr>
        </w:r>
        <w:r w:rsidR="00173A27">
          <w:rPr>
            <w:webHidden/>
          </w:rPr>
          <w:fldChar w:fldCharType="separate"/>
        </w:r>
        <w:r w:rsidR="00173A27">
          <w:rPr>
            <w:webHidden/>
          </w:rPr>
          <w:t>29</w:t>
        </w:r>
        <w:r w:rsidR="00173A27">
          <w:rPr>
            <w:webHidden/>
          </w:rPr>
          <w:fldChar w:fldCharType="end"/>
        </w:r>
      </w:hyperlink>
    </w:p>
    <w:p w14:paraId="282E7C10" w14:textId="1CCD76C9" w:rsidR="00173A27" w:rsidRDefault="002E504A">
      <w:pPr>
        <w:pStyle w:val="TOC2"/>
        <w:rPr>
          <w:rFonts w:asciiTheme="minorHAnsi" w:eastAsiaTheme="minorEastAsia" w:hAnsiTheme="minorHAnsi" w:cstheme="minorBidi"/>
          <w:sz w:val="22"/>
          <w:szCs w:val="22"/>
          <w:lang w:val="de-DE" w:eastAsia="de-DE"/>
        </w:rPr>
      </w:pPr>
      <w:hyperlink w:anchor="_Toc77839749" w:history="1">
        <w:r w:rsidR="00173A27" w:rsidRPr="00984B70">
          <w:rPr>
            <w:rStyle w:val="Hyperlink"/>
          </w:rPr>
          <w:t>6.5</w:t>
        </w:r>
        <w:r w:rsidR="00173A27">
          <w:rPr>
            <w:rFonts w:asciiTheme="minorHAnsi" w:eastAsiaTheme="minorEastAsia" w:hAnsiTheme="minorHAnsi" w:cstheme="minorBidi"/>
            <w:sz w:val="22"/>
            <w:szCs w:val="22"/>
            <w:lang w:val="de-DE" w:eastAsia="de-DE"/>
          </w:rPr>
          <w:tab/>
        </w:r>
        <w:r w:rsidR="00173A27" w:rsidRPr="00984B70">
          <w:rPr>
            <w:rStyle w:val="Hyperlink"/>
          </w:rPr>
          <w:t>Dose Modification</w:t>
        </w:r>
        <w:r w:rsidR="00173A27">
          <w:rPr>
            <w:webHidden/>
          </w:rPr>
          <w:tab/>
        </w:r>
        <w:r w:rsidR="00173A27">
          <w:rPr>
            <w:webHidden/>
          </w:rPr>
          <w:fldChar w:fldCharType="begin"/>
        </w:r>
        <w:r w:rsidR="00173A27">
          <w:rPr>
            <w:webHidden/>
          </w:rPr>
          <w:instrText xml:space="preserve"> PAGEREF _Toc77839749 \h </w:instrText>
        </w:r>
        <w:r w:rsidR="00173A27">
          <w:rPr>
            <w:webHidden/>
          </w:rPr>
        </w:r>
        <w:r w:rsidR="00173A27">
          <w:rPr>
            <w:webHidden/>
          </w:rPr>
          <w:fldChar w:fldCharType="separate"/>
        </w:r>
        <w:r w:rsidR="00173A27">
          <w:rPr>
            <w:webHidden/>
          </w:rPr>
          <w:t>29</w:t>
        </w:r>
        <w:r w:rsidR="00173A27">
          <w:rPr>
            <w:webHidden/>
          </w:rPr>
          <w:fldChar w:fldCharType="end"/>
        </w:r>
      </w:hyperlink>
    </w:p>
    <w:p w14:paraId="1A5A2CEF" w14:textId="0E66BD71" w:rsidR="00173A27" w:rsidRDefault="002E504A">
      <w:pPr>
        <w:pStyle w:val="TOC2"/>
        <w:rPr>
          <w:rFonts w:asciiTheme="minorHAnsi" w:eastAsiaTheme="minorEastAsia" w:hAnsiTheme="minorHAnsi" w:cstheme="minorBidi"/>
          <w:sz w:val="22"/>
          <w:szCs w:val="22"/>
          <w:lang w:val="de-DE" w:eastAsia="de-DE"/>
        </w:rPr>
      </w:pPr>
      <w:hyperlink w:anchor="_Toc77839750" w:history="1">
        <w:r w:rsidR="00173A27" w:rsidRPr="00984B70">
          <w:rPr>
            <w:rStyle w:val="Hyperlink"/>
          </w:rPr>
          <w:t>6.6</w:t>
        </w:r>
        <w:r w:rsidR="00173A27">
          <w:rPr>
            <w:rFonts w:asciiTheme="minorHAnsi" w:eastAsiaTheme="minorEastAsia" w:hAnsiTheme="minorHAnsi" w:cstheme="minorBidi"/>
            <w:sz w:val="22"/>
            <w:szCs w:val="22"/>
            <w:lang w:val="de-DE" w:eastAsia="de-DE"/>
          </w:rPr>
          <w:tab/>
        </w:r>
        <w:r w:rsidR="00173A27" w:rsidRPr="00984B70">
          <w:rPr>
            <w:rStyle w:val="Hyperlink"/>
          </w:rPr>
          <w:t>Continued Access to Study Intervention after the End of the Study</w:t>
        </w:r>
        <w:r w:rsidR="00173A27">
          <w:rPr>
            <w:webHidden/>
          </w:rPr>
          <w:tab/>
        </w:r>
        <w:r w:rsidR="00173A27">
          <w:rPr>
            <w:webHidden/>
          </w:rPr>
          <w:fldChar w:fldCharType="begin"/>
        </w:r>
        <w:r w:rsidR="00173A27">
          <w:rPr>
            <w:webHidden/>
          </w:rPr>
          <w:instrText xml:space="preserve"> PAGEREF _Toc77839750 \h </w:instrText>
        </w:r>
        <w:r w:rsidR="00173A27">
          <w:rPr>
            <w:webHidden/>
          </w:rPr>
        </w:r>
        <w:r w:rsidR="00173A27">
          <w:rPr>
            <w:webHidden/>
          </w:rPr>
          <w:fldChar w:fldCharType="separate"/>
        </w:r>
        <w:r w:rsidR="00173A27">
          <w:rPr>
            <w:webHidden/>
          </w:rPr>
          <w:t>29</w:t>
        </w:r>
        <w:r w:rsidR="00173A27">
          <w:rPr>
            <w:webHidden/>
          </w:rPr>
          <w:fldChar w:fldCharType="end"/>
        </w:r>
      </w:hyperlink>
    </w:p>
    <w:p w14:paraId="107A8C5E" w14:textId="781E28C0" w:rsidR="00173A27" w:rsidRDefault="002E504A">
      <w:pPr>
        <w:pStyle w:val="TOC2"/>
        <w:rPr>
          <w:rFonts w:asciiTheme="minorHAnsi" w:eastAsiaTheme="minorEastAsia" w:hAnsiTheme="minorHAnsi" w:cstheme="minorBidi"/>
          <w:sz w:val="22"/>
          <w:szCs w:val="22"/>
          <w:lang w:val="de-DE" w:eastAsia="de-DE"/>
        </w:rPr>
      </w:pPr>
      <w:hyperlink w:anchor="_Toc77839751" w:history="1">
        <w:r w:rsidR="00173A27" w:rsidRPr="00984B70">
          <w:rPr>
            <w:rStyle w:val="Hyperlink"/>
          </w:rPr>
          <w:t>6.7</w:t>
        </w:r>
        <w:r w:rsidR="00173A27">
          <w:rPr>
            <w:rFonts w:asciiTheme="minorHAnsi" w:eastAsiaTheme="minorEastAsia" w:hAnsiTheme="minorHAnsi" w:cstheme="minorBidi"/>
            <w:sz w:val="22"/>
            <w:szCs w:val="22"/>
            <w:lang w:val="de-DE" w:eastAsia="de-DE"/>
          </w:rPr>
          <w:tab/>
        </w:r>
        <w:r w:rsidR="00173A27" w:rsidRPr="00984B70">
          <w:rPr>
            <w:rStyle w:val="Hyperlink"/>
          </w:rPr>
          <w:t>Treatment of Overdose</w:t>
        </w:r>
        <w:r w:rsidR="00173A27">
          <w:rPr>
            <w:webHidden/>
          </w:rPr>
          <w:tab/>
        </w:r>
        <w:r w:rsidR="00173A27">
          <w:rPr>
            <w:webHidden/>
          </w:rPr>
          <w:fldChar w:fldCharType="begin"/>
        </w:r>
        <w:r w:rsidR="00173A27">
          <w:rPr>
            <w:webHidden/>
          </w:rPr>
          <w:instrText xml:space="preserve"> PAGEREF _Toc77839751 \h </w:instrText>
        </w:r>
        <w:r w:rsidR="00173A27">
          <w:rPr>
            <w:webHidden/>
          </w:rPr>
        </w:r>
        <w:r w:rsidR="00173A27">
          <w:rPr>
            <w:webHidden/>
          </w:rPr>
          <w:fldChar w:fldCharType="separate"/>
        </w:r>
        <w:r w:rsidR="00173A27">
          <w:rPr>
            <w:webHidden/>
          </w:rPr>
          <w:t>29</w:t>
        </w:r>
        <w:r w:rsidR="00173A27">
          <w:rPr>
            <w:webHidden/>
          </w:rPr>
          <w:fldChar w:fldCharType="end"/>
        </w:r>
      </w:hyperlink>
    </w:p>
    <w:p w14:paraId="4867A6D3" w14:textId="1464C41C" w:rsidR="00173A27" w:rsidRDefault="002E504A">
      <w:pPr>
        <w:pStyle w:val="TOC2"/>
        <w:rPr>
          <w:rFonts w:asciiTheme="minorHAnsi" w:eastAsiaTheme="minorEastAsia" w:hAnsiTheme="minorHAnsi" w:cstheme="minorBidi"/>
          <w:sz w:val="22"/>
          <w:szCs w:val="22"/>
          <w:lang w:val="de-DE" w:eastAsia="de-DE"/>
        </w:rPr>
      </w:pPr>
      <w:hyperlink w:anchor="_Toc77839752" w:history="1">
        <w:r w:rsidR="00173A27" w:rsidRPr="00984B70">
          <w:rPr>
            <w:rStyle w:val="Hyperlink"/>
          </w:rPr>
          <w:t>6.8</w:t>
        </w:r>
        <w:r w:rsidR="00173A27">
          <w:rPr>
            <w:rFonts w:asciiTheme="minorHAnsi" w:eastAsiaTheme="minorEastAsia" w:hAnsiTheme="minorHAnsi" w:cstheme="minorBidi"/>
            <w:sz w:val="22"/>
            <w:szCs w:val="22"/>
            <w:lang w:val="de-DE" w:eastAsia="de-DE"/>
          </w:rPr>
          <w:tab/>
        </w:r>
        <w:r w:rsidR="00173A27" w:rsidRPr="00984B70">
          <w:rPr>
            <w:rStyle w:val="Hyperlink"/>
          </w:rPr>
          <w:t>Concomitant Therapy</w:t>
        </w:r>
        <w:r w:rsidR="00173A27">
          <w:rPr>
            <w:webHidden/>
          </w:rPr>
          <w:tab/>
        </w:r>
        <w:r w:rsidR="00173A27">
          <w:rPr>
            <w:webHidden/>
          </w:rPr>
          <w:fldChar w:fldCharType="begin"/>
        </w:r>
        <w:r w:rsidR="00173A27">
          <w:rPr>
            <w:webHidden/>
          </w:rPr>
          <w:instrText xml:space="preserve"> PAGEREF _Toc77839752 \h </w:instrText>
        </w:r>
        <w:r w:rsidR="00173A27">
          <w:rPr>
            <w:webHidden/>
          </w:rPr>
        </w:r>
        <w:r w:rsidR="00173A27">
          <w:rPr>
            <w:webHidden/>
          </w:rPr>
          <w:fldChar w:fldCharType="separate"/>
        </w:r>
        <w:r w:rsidR="00173A27">
          <w:rPr>
            <w:webHidden/>
          </w:rPr>
          <w:t>29</w:t>
        </w:r>
        <w:r w:rsidR="00173A27">
          <w:rPr>
            <w:webHidden/>
          </w:rPr>
          <w:fldChar w:fldCharType="end"/>
        </w:r>
      </w:hyperlink>
    </w:p>
    <w:p w14:paraId="4B77BABA" w14:textId="60A9E676" w:rsidR="00173A27" w:rsidRDefault="002E504A">
      <w:pPr>
        <w:pStyle w:val="TOC3"/>
        <w:rPr>
          <w:rFonts w:asciiTheme="minorHAnsi" w:eastAsiaTheme="minorEastAsia" w:hAnsiTheme="minorHAnsi" w:cstheme="minorBidi"/>
          <w:sz w:val="22"/>
          <w:szCs w:val="22"/>
          <w:lang w:val="de-DE" w:eastAsia="de-DE"/>
        </w:rPr>
      </w:pPr>
      <w:hyperlink w:anchor="_Toc77839753" w:history="1">
        <w:r w:rsidR="00173A27" w:rsidRPr="00984B70">
          <w:rPr>
            <w:rStyle w:val="Hyperlink"/>
          </w:rPr>
          <w:t>6.8.1</w:t>
        </w:r>
        <w:r w:rsidR="00173A27">
          <w:rPr>
            <w:rFonts w:asciiTheme="minorHAnsi" w:eastAsiaTheme="minorEastAsia" w:hAnsiTheme="minorHAnsi" w:cstheme="minorBidi"/>
            <w:sz w:val="22"/>
            <w:szCs w:val="22"/>
            <w:lang w:val="de-DE" w:eastAsia="de-DE"/>
          </w:rPr>
          <w:tab/>
        </w:r>
        <w:r w:rsidR="00173A27" w:rsidRPr="00984B70">
          <w:rPr>
            <w:rStyle w:val="Hyperlink"/>
          </w:rPr>
          <w:t>Rescue Medicine</w:t>
        </w:r>
        <w:r w:rsidR="00173A27">
          <w:rPr>
            <w:webHidden/>
          </w:rPr>
          <w:tab/>
        </w:r>
        <w:r w:rsidR="00173A27">
          <w:rPr>
            <w:webHidden/>
          </w:rPr>
          <w:fldChar w:fldCharType="begin"/>
        </w:r>
        <w:r w:rsidR="00173A27">
          <w:rPr>
            <w:webHidden/>
          </w:rPr>
          <w:instrText xml:space="preserve"> PAGEREF _Toc77839753 \h </w:instrText>
        </w:r>
        <w:r w:rsidR="00173A27">
          <w:rPr>
            <w:webHidden/>
          </w:rPr>
        </w:r>
        <w:r w:rsidR="00173A27">
          <w:rPr>
            <w:webHidden/>
          </w:rPr>
          <w:fldChar w:fldCharType="separate"/>
        </w:r>
        <w:r w:rsidR="00173A27">
          <w:rPr>
            <w:webHidden/>
          </w:rPr>
          <w:t>30</w:t>
        </w:r>
        <w:r w:rsidR="00173A27">
          <w:rPr>
            <w:webHidden/>
          </w:rPr>
          <w:fldChar w:fldCharType="end"/>
        </w:r>
      </w:hyperlink>
    </w:p>
    <w:p w14:paraId="4B4355C0" w14:textId="060FA00E" w:rsidR="00173A27" w:rsidRDefault="002E504A">
      <w:pPr>
        <w:pStyle w:val="TOC3"/>
        <w:rPr>
          <w:rFonts w:asciiTheme="minorHAnsi" w:eastAsiaTheme="minorEastAsia" w:hAnsiTheme="minorHAnsi" w:cstheme="minorBidi"/>
          <w:sz w:val="22"/>
          <w:szCs w:val="22"/>
          <w:lang w:val="de-DE" w:eastAsia="de-DE"/>
        </w:rPr>
      </w:pPr>
      <w:hyperlink w:anchor="_Toc77839754" w:history="1">
        <w:r w:rsidR="00173A27" w:rsidRPr="00984B70">
          <w:rPr>
            <w:rStyle w:val="Hyperlink"/>
          </w:rPr>
          <w:t>6.8.2</w:t>
        </w:r>
        <w:r w:rsidR="00173A27">
          <w:rPr>
            <w:rFonts w:asciiTheme="minorHAnsi" w:eastAsiaTheme="minorEastAsia" w:hAnsiTheme="minorHAnsi" w:cstheme="minorBidi"/>
            <w:sz w:val="22"/>
            <w:szCs w:val="22"/>
            <w:lang w:val="de-DE" w:eastAsia="de-DE"/>
          </w:rPr>
          <w:tab/>
        </w:r>
        <w:r w:rsidR="00173A27" w:rsidRPr="00984B70">
          <w:rPr>
            <w:rStyle w:val="Hyperlink"/>
          </w:rPr>
          <w:t>Permitted Medicines</w:t>
        </w:r>
        <w:r w:rsidR="00173A27">
          <w:rPr>
            <w:webHidden/>
          </w:rPr>
          <w:tab/>
        </w:r>
        <w:r w:rsidR="00173A27">
          <w:rPr>
            <w:webHidden/>
          </w:rPr>
          <w:fldChar w:fldCharType="begin"/>
        </w:r>
        <w:r w:rsidR="00173A27">
          <w:rPr>
            <w:webHidden/>
          </w:rPr>
          <w:instrText xml:space="preserve"> PAGEREF _Toc77839754 \h </w:instrText>
        </w:r>
        <w:r w:rsidR="00173A27">
          <w:rPr>
            <w:webHidden/>
          </w:rPr>
        </w:r>
        <w:r w:rsidR="00173A27">
          <w:rPr>
            <w:webHidden/>
          </w:rPr>
          <w:fldChar w:fldCharType="separate"/>
        </w:r>
        <w:r w:rsidR="00173A27">
          <w:rPr>
            <w:webHidden/>
          </w:rPr>
          <w:t>30</w:t>
        </w:r>
        <w:r w:rsidR="00173A27">
          <w:rPr>
            <w:webHidden/>
          </w:rPr>
          <w:fldChar w:fldCharType="end"/>
        </w:r>
      </w:hyperlink>
    </w:p>
    <w:p w14:paraId="713D7AF7" w14:textId="3C4D5919" w:rsidR="00173A27" w:rsidRDefault="002E504A">
      <w:pPr>
        <w:pStyle w:val="TOC3"/>
        <w:rPr>
          <w:rFonts w:asciiTheme="minorHAnsi" w:eastAsiaTheme="minorEastAsia" w:hAnsiTheme="minorHAnsi" w:cstheme="minorBidi"/>
          <w:sz w:val="22"/>
          <w:szCs w:val="22"/>
          <w:lang w:val="de-DE" w:eastAsia="de-DE"/>
        </w:rPr>
      </w:pPr>
      <w:hyperlink w:anchor="_Toc77839755" w:history="1">
        <w:r w:rsidR="00173A27" w:rsidRPr="00984B70">
          <w:rPr>
            <w:rStyle w:val="Hyperlink"/>
          </w:rPr>
          <w:t>6.8.3</w:t>
        </w:r>
        <w:r w:rsidR="00173A27">
          <w:rPr>
            <w:rFonts w:asciiTheme="minorHAnsi" w:eastAsiaTheme="minorEastAsia" w:hAnsiTheme="minorHAnsi" w:cstheme="minorBidi"/>
            <w:sz w:val="22"/>
            <w:szCs w:val="22"/>
            <w:lang w:val="de-DE" w:eastAsia="de-DE"/>
          </w:rPr>
          <w:tab/>
        </w:r>
        <w:r w:rsidR="00173A27" w:rsidRPr="00984B70">
          <w:rPr>
            <w:rStyle w:val="Hyperlink"/>
          </w:rPr>
          <w:t>Prohibited Medicines</w:t>
        </w:r>
        <w:r w:rsidR="00173A27">
          <w:rPr>
            <w:webHidden/>
          </w:rPr>
          <w:tab/>
        </w:r>
        <w:r w:rsidR="00173A27">
          <w:rPr>
            <w:webHidden/>
          </w:rPr>
          <w:fldChar w:fldCharType="begin"/>
        </w:r>
        <w:r w:rsidR="00173A27">
          <w:rPr>
            <w:webHidden/>
          </w:rPr>
          <w:instrText xml:space="preserve"> PAGEREF _Toc77839755 \h </w:instrText>
        </w:r>
        <w:r w:rsidR="00173A27">
          <w:rPr>
            <w:webHidden/>
          </w:rPr>
        </w:r>
        <w:r w:rsidR="00173A27">
          <w:rPr>
            <w:webHidden/>
          </w:rPr>
          <w:fldChar w:fldCharType="separate"/>
        </w:r>
        <w:r w:rsidR="00173A27">
          <w:rPr>
            <w:webHidden/>
          </w:rPr>
          <w:t>30</w:t>
        </w:r>
        <w:r w:rsidR="00173A27">
          <w:rPr>
            <w:webHidden/>
          </w:rPr>
          <w:fldChar w:fldCharType="end"/>
        </w:r>
      </w:hyperlink>
    </w:p>
    <w:p w14:paraId="5EA35C3A" w14:textId="3CC094F7" w:rsidR="00173A27" w:rsidRDefault="002E504A">
      <w:pPr>
        <w:pStyle w:val="TOC3"/>
        <w:rPr>
          <w:rFonts w:asciiTheme="minorHAnsi" w:eastAsiaTheme="minorEastAsia" w:hAnsiTheme="minorHAnsi" w:cstheme="minorBidi"/>
          <w:sz w:val="22"/>
          <w:szCs w:val="22"/>
          <w:lang w:val="de-DE" w:eastAsia="de-DE"/>
        </w:rPr>
      </w:pPr>
      <w:hyperlink w:anchor="_Toc77839756" w:history="1">
        <w:r w:rsidR="00173A27" w:rsidRPr="00984B70">
          <w:rPr>
            <w:rStyle w:val="Hyperlink"/>
          </w:rPr>
          <w:t>6.8.4</w:t>
        </w:r>
        <w:r w:rsidR="00173A27">
          <w:rPr>
            <w:rFonts w:asciiTheme="minorHAnsi" w:eastAsiaTheme="minorEastAsia" w:hAnsiTheme="minorHAnsi" w:cstheme="minorBidi"/>
            <w:sz w:val="22"/>
            <w:szCs w:val="22"/>
            <w:lang w:val="de-DE" w:eastAsia="de-DE"/>
          </w:rPr>
          <w:tab/>
        </w:r>
        <w:r w:rsidR="00173A27" w:rsidRPr="00984B70">
          <w:rPr>
            <w:rStyle w:val="Hyperlink"/>
          </w:rPr>
          <w:t>Other Interventions</w:t>
        </w:r>
        <w:r w:rsidR="00173A27">
          <w:rPr>
            <w:webHidden/>
          </w:rPr>
          <w:tab/>
        </w:r>
        <w:r w:rsidR="00173A27">
          <w:rPr>
            <w:webHidden/>
          </w:rPr>
          <w:fldChar w:fldCharType="begin"/>
        </w:r>
        <w:r w:rsidR="00173A27">
          <w:rPr>
            <w:webHidden/>
          </w:rPr>
          <w:instrText xml:space="preserve"> PAGEREF _Toc77839756 \h </w:instrText>
        </w:r>
        <w:r w:rsidR="00173A27">
          <w:rPr>
            <w:webHidden/>
          </w:rPr>
        </w:r>
        <w:r w:rsidR="00173A27">
          <w:rPr>
            <w:webHidden/>
          </w:rPr>
          <w:fldChar w:fldCharType="separate"/>
        </w:r>
        <w:r w:rsidR="00173A27">
          <w:rPr>
            <w:webHidden/>
          </w:rPr>
          <w:t>30</w:t>
        </w:r>
        <w:r w:rsidR="00173A27">
          <w:rPr>
            <w:webHidden/>
          </w:rPr>
          <w:fldChar w:fldCharType="end"/>
        </w:r>
      </w:hyperlink>
    </w:p>
    <w:p w14:paraId="3C15F8B5" w14:textId="5BD77209" w:rsidR="00173A27" w:rsidRDefault="002E504A">
      <w:pPr>
        <w:pStyle w:val="TOC1"/>
        <w:rPr>
          <w:rFonts w:asciiTheme="minorHAnsi" w:eastAsiaTheme="minorEastAsia" w:hAnsiTheme="minorHAnsi" w:cstheme="minorBidi"/>
          <w:sz w:val="22"/>
          <w:szCs w:val="22"/>
          <w:lang w:val="de-DE" w:eastAsia="de-DE"/>
        </w:rPr>
      </w:pPr>
      <w:hyperlink w:anchor="_Toc77839757" w:history="1">
        <w:r w:rsidR="00173A27" w:rsidRPr="00984B70">
          <w:rPr>
            <w:rStyle w:val="Hyperlink"/>
          </w:rPr>
          <w:t>7</w:t>
        </w:r>
        <w:r w:rsidR="00173A27">
          <w:rPr>
            <w:rFonts w:asciiTheme="minorHAnsi" w:eastAsiaTheme="minorEastAsia" w:hAnsiTheme="minorHAnsi" w:cstheme="minorBidi"/>
            <w:sz w:val="22"/>
            <w:szCs w:val="22"/>
            <w:lang w:val="de-DE" w:eastAsia="de-DE"/>
          </w:rPr>
          <w:tab/>
        </w:r>
        <w:r w:rsidR="00173A27" w:rsidRPr="00984B70">
          <w:rPr>
            <w:rStyle w:val="Hyperlink"/>
          </w:rPr>
          <w:t>Discontinuation of Study Intervention and Participant Discontinuation/Withdrawal</w:t>
        </w:r>
        <w:r w:rsidR="00173A27">
          <w:rPr>
            <w:webHidden/>
          </w:rPr>
          <w:tab/>
        </w:r>
        <w:r w:rsidR="00173A27">
          <w:rPr>
            <w:webHidden/>
          </w:rPr>
          <w:fldChar w:fldCharType="begin"/>
        </w:r>
        <w:r w:rsidR="00173A27">
          <w:rPr>
            <w:webHidden/>
          </w:rPr>
          <w:instrText xml:space="preserve"> PAGEREF _Toc77839757 \h </w:instrText>
        </w:r>
        <w:r w:rsidR="00173A27">
          <w:rPr>
            <w:webHidden/>
          </w:rPr>
        </w:r>
        <w:r w:rsidR="00173A27">
          <w:rPr>
            <w:webHidden/>
          </w:rPr>
          <w:fldChar w:fldCharType="separate"/>
        </w:r>
        <w:r w:rsidR="00173A27">
          <w:rPr>
            <w:webHidden/>
          </w:rPr>
          <w:t>31</w:t>
        </w:r>
        <w:r w:rsidR="00173A27">
          <w:rPr>
            <w:webHidden/>
          </w:rPr>
          <w:fldChar w:fldCharType="end"/>
        </w:r>
      </w:hyperlink>
    </w:p>
    <w:p w14:paraId="31F31737" w14:textId="2BA83496" w:rsidR="00173A27" w:rsidRDefault="002E504A">
      <w:pPr>
        <w:pStyle w:val="TOC2"/>
        <w:rPr>
          <w:rFonts w:asciiTheme="minorHAnsi" w:eastAsiaTheme="minorEastAsia" w:hAnsiTheme="minorHAnsi" w:cstheme="minorBidi"/>
          <w:sz w:val="22"/>
          <w:szCs w:val="22"/>
          <w:lang w:val="de-DE" w:eastAsia="de-DE"/>
        </w:rPr>
      </w:pPr>
      <w:hyperlink w:anchor="_Toc77839758" w:history="1">
        <w:r w:rsidR="00173A27" w:rsidRPr="00984B70">
          <w:rPr>
            <w:rStyle w:val="Hyperlink"/>
          </w:rPr>
          <w:t>7.1</w:t>
        </w:r>
        <w:r w:rsidR="00173A27">
          <w:rPr>
            <w:rFonts w:asciiTheme="minorHAnsi" w:eastAsiaTheme="minorEastAsia" w:hAnsiTheme="minorHAnsi" w:cstheme="minorBidi"/>
            <w:sz w:val="22"/>
            <w:szCs w:val="22"/>
            <w:lang w:val="de-DE" w:eastAsia="de-DE"/>
          </w:rPr>
          <w:tab/>
        </w:r>
        <w:r w:rsidR="00173A27" w:rsidRPr="00984B70">
          <w:rPr>
            <w:rStyle w:val="Hyperlink"/>
          </w:rPr>
          <w:t>Discontinuation of Study Intervention</w:t>
        </w:r>
        <w:r w:rsidR="00173A27">
          <w:rPr>
            <w:webHidden/>
          </w:rPr>
          <w:tab/>
        </w:r>
        <w:r w:rsidR="00173A27">
          <w:rPr>
            <w:webHidden/>
          </w:rPr>
          <w:fldChar w:fldCharType="begin"/>
        </w:r>
        <w:r w:rsidR="00173A27">
          <w:rPr>
            <w:webHidden/>
          </w:rPr>
          <w:instrText xml:space="preserve"> PAGEREF _Toc77839758 \h </w:instrText>
        </w:r>
        <w:r w:rsidR="00173A27">
          <w:rPr>
            <w:webHidden/>
          </w:rPr>
        </w:r>
        <w:r w:rsidR="00173A27">
          <w:rPr>
            <w:webHidden/>
          </w:rPr>
          <w:fldChar w:fldCharType="separate"/>
        </w:r>
        <w:r w:rsidR="00173A27">
          <w:rPr>
            <w:webHidden/>
          </w:rPr>
          <w:t>31</w:t>
        </w:r>
        <w:r w:rsidR="00173A27">
          <w:rPr>
            <w:webHidden/>
          </w:rPr>
          <w:fldChar w:fldCharType="end"/>
        </w:r>
      </w:hyperlink>
    </w:p>
    <w:p w14:paraId="55CE5C31" w14:textId="49A60D29" w:rsidR="00173A27" w:rsidRDefault="002E504A">
      <w:pPr>
        <w:pStyle w:val="TOC2"/>
        <w:rPr>
          <w:rFonts w:asciiTheme="minorHAnsi" w:eastAsiaTheme="minorEastAsia" w:hAnsiTheme="minorHAnsi" w:cstheme="minorBidi"/>
          <w:sz w:val="22"/>
          <w:szCs w:val="22"/>
          <w:lang w:val="de-DE" w:eastAsia="de-DE"/>
        </w:rPr>
      </w:pPr>
      <w:hyperlink w:anchor="_Toc77839759" w:history="1">
        <w:r w:rsidR="00173A27" w:rsidRPr="00984B70">
          <w:rPr>
            <w:rStyle w:val="Hyperlink"/>
          </w:rPr>
          <w:t>7.2</w:t>
        </w:r>
        <w:r w:rsidR="00173A27">
          <w:rPr>
            <w:rFonts w:asciiTheme="minorHAnsi" w:eastAsiaTheme="minorEastAsia" w:hAnsiTheme="minorHAnsi" w:cstheme="minorBidi"/>
            <w:sz w:val="22"/>
            <w:szCs w:val="22"/>
            <w:lang w:val="de-DE" w:eastAsia="de-DE"/>
          </w:rPr>
          <w:tab/>
        </w:r>
        <w:r w:rsidR="00173A27" w:rsidRPr="00984B70">
          <w:rPr>
            <w:rStyle w:val="Hyperlink"/>
          </w:rPr>
          <w:t>Participant Discontinuation/Withdrawal from the Study</w:t>
        </w:r>
        <w:r w:rsidR="00173A27">
          <w:rPr>
            <w:webHidden/>
          </w:rPr>
          <w:tab/>
        </w:r>
        <w:r w:rsidR="00173A27">
          <w:rPr>
            <w:webHidden/>
          </w:rPr>
          <w:fldChar w:fldCharType="begin"/>
        </w:r>
        <w:r w:rsidR="00173A27">
          <w:rPr>
            <w:webHidden/>
          </w:rPr>
          <w:instrText xml:space="preserve"> PAGEREF _Toc77839759 \h </w:instrText>
        </w:r>
        <w:r w:rsidR="00173A27">
          <w:rPr>
            <w:webHidden/>
          </w:rPr>
        </w:r>
        <w:r w:rsidR="00173A27">
          <w:rPr>
            <w:webHidden/>
          </w:rPr>
          <w:fldChar w:fldCharType="separate"/>
        </w:r>
        <w:r w:rsidR="00173A27">
          <w:rPr>
            <w:webHidden/>
          </w:rPr>
          <w:t>31</w:t>
        </w:r>
        <w:r w:rsidR="00173A27">
          <w:rPr>
            <w:webHidden/>
          </w:rPr>
          <w:fldChar w:fldCharType="end"/>
        </w:r>
      </w:hyperlink>
    </w:p>
    <w:p w14:paraId="68B39B04" w14:textId="57A3D9E6" w:rsidR="00173A27" w:rsidRDefault="002E504A">
      <w:pPr>
        <w:pStyle w:val="TOC2"/>
        <w:rPr>
          <w:rFonts w:asciiTheme="minorHAnsi" w:eastAsiaTheme="minorEastAsia" w:hAnsiTheme="minorHAnsi" w:cstheme="minorBidi"/>
          <w:sz w:val="22"/>
          <w:szCs w:val="22"/>
          <w:lang w:val="de-DE" w:eastAsia="de-DE"/>
        </w:rPr>
      </w:pPr>
      <w:hyperlink w:anchor="_Toc77839760" w:history="1">
        <w:r w:rsidR="00173A27" w:rsidRPr="00984B70">
          <w:rPr>
            <w:rStyle w:val="Hyperlink"/>
          </w:rPr>
          <w:t>7.3</w:t>
        </w:r>
        <w:r w:rsidR="00173A27">
          <w:rPr>
            <w:rFonts w:asciiTheme="minorHAnsi" w:eastAsiaTheme="minorEastAsia" w:hAnsiTheme="minorHAnsi" w:cstheme="minorBidi"/>
            <w:sz w:val="22"/>
            <w:szCs w:val="22"/>
            <w:lang w:val="de-DE" w:eastAsia="de-DE"/>
          </w:rPr>
          <w:tab/>
        </w:r>
        <w:r w:rsidR="00173A27" w:rsidRPr="00984B70">
          <w:rPr>
            <w:rStyle w:val="Hyperlink"/>
          </w:rPr>
          <w:t>Lost to Follow-Up</w:t>
        </w:r>
        <w:r w:rsidR="00173A27">
          <w:rPr>
            <w:webHidden/>
          </w:rPr>
          <w:tab/>
        </w:r>
        <w:r w:rsidR="00173A27">
          <w:rPr>
            <w:webHidden/>
          </w:rPr>
          <w:fldChar w:fldCharType="begin"/>
        </w:r>
        <w:r w:rsidR="00173A27">
          <w:rPr>
            <w:webHidden/>
          </w:rPr>
          <w:instrText xml:space="preserve"> PAGEREF _Toc77839760 \h </w:instrText>
        </w:r>
        <w:r w:rsidR="00173A27">
          <w:rPr>
            <w:webHidden/>
          </w:rPr>
        </w:r>
        <w:r w:rsidR="00173A27">
          <w:rPr>
            <w:webHidden/>
          </w:rPr>
          <w:fldChar w:fldCharType="separate"/>
        </w:r>
        <w:r w:rsidR="00173A27">
          <w:rPr>
            <w:webHidden/>
          </w:rPr>
          <w:t>32</w:t>
        </w:r>
        <w:r w:rsidR="00173A27">
          <w:rPr>
            <w:webHidden/>
          </w:rPr>
          <w:fldChar w:fldCharType="end"/>
        </w:r>
      </w:hyperlink>
    </w:p>
    <w:p w14:paraId="4D4ED2C7" w14:textId="6498E077" w:rsidR="00173A27" w:rsidRDefault="002E504A">
      <w:pPr>
        <w:pStyle w:val="TOC1"/>
        <w:rPr>
          <w:rFonts w:asciiTheme="minorHAnsi" w:eastAsiaTheme="minorEastAsia" w:hAnsiTheme="minorHAnsi" w:cstheme="minorBidi"/>
          <w:sz w:val="22"/>
          <w:szCs w:val="22"/>
          <w:lang w:val="de-DE" w:eastAsia="de-DE"/>
        </w:rPr>
      </w:pPr>
      <w:hyperlink w:anchor="_Toc77839761" w:history="1">
        <w:r w:rsidR="00173A27" w:rsidRPr="00984B70">
          <w:rPr>
            <w:rStyle w:val="Hyperlink"/>
          </w:rPr>
          <w:t>8</w:t>
        </w:r>
        <w:r w:rsidR="00173A27">
          <w:rPr>
            <w:rFonts w:asciiTheme="minorHAnsi" w:eastAsiaTheme="minorEastAsia" w:hAnsiTheme="minorHAnsi" w:cstheme="minorBidi"/>
            <w:sz w:val="22"/>
            <w:szCs w:val="22"/>
            <w:lang w:val="de-DE" w:eastAsia="de-DE"/>
          </w:rPr>
          <w:tab/>
        </w:r>
        <w:r w:rsidR="00173A27" w:rsidRPr="00984B70">
          <w:rPr>
            <w:rStyle w:val="Hyperlink"/>
          </w:rPr>
          <w:t>Study Assessments and Procedures</w:t>
        </w:r>
        <w:r w:rsidR="00173A27">
          <w:rPr>
            <w:webHidden/>
          </w:rPr>
          <w:tab/>
        </w:r>
        <w:r w:rsidR="00173A27">
          <w:rPr>
            <w:webHidden/>
          </w:rPr>
          <w:fldChar w:fldCharType="begin"/>
        </w:r>
        <w:r w:rsidR="00173A27">
          <w:rPr>
            <w:webHidden/>
          </w:rPr>
          <w:instrText xml:space="preserve"> PAGEREF _Toc77839761 \h </w:instrText>
        </w:r>
        <w:r w:rsidR="00173A27">
          <w:rPr>
            <w:webHidden/>
          </w:rPr>
        </w:r>
        <w:r w:rsidR="00173A27">
          <w:rPr>
            <w:webHidden/>
          </w:rPr>
          <w:fldChar w:fldCharType="separate"/>
        </w:r>
        <w:r w:rsidR="00173A27">
          <w:rPr>
            <w:webHidden/>
          </w:rPr>
          <w:t>33</w:t>
        </w:r>
        <w:r w:rsidR="00173A27">
          <w:rPr>
            <w:webHidden/>
          </w:rPr>
          <w:fldChar w:fldCharType="end"/>
        </w:r>
      </w:hyperlink>
    </w:p>
    <w:p w14:paraId="63F8EC77" w14:textId="7F42CF0D" w:rsidR="00173A27" w:rsidRDefault="002E504A">
      <w:pPr>
        <w:pStyle w:val="TOC2"/>
        <w:rPr>
          <w:rFonts w:asciiTheme="minorHAnsi" w:eastAsiaTheme="minorEastAsia" w:hAnsiTheme="minorHAnsi" w:cstheme="minorBidi"/>
          <w:sz w:val="22"/>
          <w:szCs w:val="22"/>
          <w:lang w:val="de-DE" w:eastAsia="de-DE"/>
        </w:rPr>
      </w:pPr>
      <w:hyperlink w:anchor="_Toc77839762" w:history="1">
        <w:r w:rsidR="00173A27" w:rsidRPr="00984B70">
          <w:rPr>
            <w:rStyle w:val="Hyperlink"/>
          </w:rPr>
          <w:t>8.1</w:t>
        </w:r>
        <w:r w:rsidR="00173A27">
          <w:rPr>
            <w:rFonts w:asciiTheme="minorHAnsi" w:eastAsiaTheme="minorEastAsia" w:hAnsiTheme="minorHAnsi" w:cstheme="minorBidi"/>
            <w:sz w:val="22"/>
            <w:szCs w:val="22"/>
            <w:lang w:val="de-DE" w:eastAsia="de-DE"/>
          </w:rPr>
          <w:tab/>
        </w:r>
        <w:r w:rsidR="00173A27" w:rsidRPr="00984B70">
          <w:rPr>
            <w:rStyle w:val="Hyperlink"/>
          </w:rPr>
          <w:t>Efficacy Assessments and Procedures</w:t>
        </w:r>
        <w:r w:rsidR="00173A27">
          <w:rPr>
            <w:webHidden/>
          </w:rPr>
          <w:tab/>
        </w:r>
        <w:r w:rsidR="00173A27">
          <w:rPr>
            <w:webHidden/>
          </w:rPr>
          <w:fldChar w:fldCharType="begin"/>
        </w:r>
        <w:r w:rsidR="00173A27">
          <w:rPr>
            <w:webHidden/>
          </w:rPr>
          <w:instrText xml:space="preserve"> PAGEREF _Toc77839762 \h </w:instrText>
        </w:r>
        <w:r w:rsidR="00173A27">
          <w:rPr>
            <w:webHidden/>
          </w:rPr>
        </w:r>
        <w:r w:rsidR="00173A27">
          <w:rPr>
            <w:webHidden/>
          </w:rPr>
          <w:fldChar w:fldCharType="separate"/>
        </w:r>
        <w:r w:rsidR="00173A27">
          <w:rPr>
            <w:webHidden/>
          </w:rPr>
          <w:t>34</w:t>
        </w:r>
        <w:r w:rsidR="00173A27">
          <w:rPr>
            <w:webHidden/>
          </w:rPr>
          <w:fldChar w:fldCharType="end"/>
        </w:r>
      </w:hyperlink>
    </w:p>
    <w:p w14:paraId="5F9478B4" w14:textId="5119C276" w:rsidR="00173A27" w:rsidRDefault="002E504A">
      <w:pPr>
        <w:pStyle w:val="TOC2"/>
        <w:rPr>
          <w:rFonts w:asciiTheme="minorHAnsi" w:eastAsiaTheme="minorEastAsia" w:hAnsiTheme="minorHAnsi" w:cstheme="minorBidi"/>
          <w:sz w:val="22"/>
          <w:szCs w:val="22"/>
          <w:lang w:val="de-DE" w:eastAsia="de-DE"/>
        </w:rPr>
      </w:pPr>
      <w:hyperlink w:anchor="_Toc77839763" w:history="1">
        <w:r w:rsidR="00173A27" w:rsidRPr="00984B70">
          <w:rPr>
            <w:rStyle w:val="Hyperlink"/>
          </w:rPr>
          <w:t>8.2</w:t>
        </w:r>
        <w:r w:rsidR="00173A27">
          <w:rPr>
            <w:rFonts w:asciiTheme="minorHAnsi" w:eastAsiaTheme="minorEastAsia" w:hAnsiTheme="minorHAnsi" w:cstheme="minorBidi"/>
            <w:sz w:val="22"/>
            <w:szCs w:val="22"/>
            <w:lang w:val="de-DE" w:eastAsia="de-DE"/>
          </w:rPr>
          <w:tab/>
        </w:r>
        <w:r w:rsidR="00173A27" w:rsidRPr="00984B70">
          <w:rPr>
            <w:rStyle w:val="Hyperlink"/>
          </w:rPr>
          <w:t>Safety Assessments and Procedures</w:t>
        </w:r>
        <w:r w:rsidR="00173A27">
          <w:rPr>
            <w:webHidden/>
          </w:rPr>
          <w:tab/>
        </w:r>
        <w:r w:rsidR="00173A27">
          <w:rPr>
            <w:webHidden/>
          </w:rPr>
          <w:fldChar w:fldCharType="begin"/>
        </w:r>
        <w:r w:rsidR="00173A27">
          <w:rPr>
            <w:webHidden/>
          </w:rPr>
          <w:instrText xml:space="preserve"> PAGEREF _Toc77839763 \h </w:instrText>
        </w:r>
        <w:r w:rsidR="00173A27">
          <w:rPr>
            <w:webHidden/>
          </w:rPr>
        </w:r>
        <w:r w:rsidR="00173A27">
          <w:rPr>
            <w:webHidden/>
          </w:rPr>
          <w:fldChar w:fldCharType="separate"/>
        </w:r>
        <w:r w:rsidR="00173A27">
          <w:rPr>
            <w:webHidden/>
          </w:rPr>
          <w:t>34</w:t>
        </w:r>
        <w:r w:rsidR="00173A27">
          <w:rPr>
            <w:webHidden/>
          </w:rPr>
          <w:fldChar w:fldCharType="end"/>
        </w:r>
      </w:hyperlink>
    </w:p>
    <w:p w14:paraId="5DE78BAC" w14:textId="23037D60" w:rsidR="00173A27" w:rsidRDefault="002E504A">
      <w:pPr>
        <w:pStyle w:val="TOC3"/>
        <w:rPr>
          <w:rFonts w:asciiTheme="minorHAnsi" w:eastAsiaTheme="minorEastAsia" w:hAnsiTheme="minorHAnsi" w:cstheme="minorBidi"/>
          <w:sz w:val="22"/>
          <w:szCs w:val="22"/>
          <w:lang w:val="de-DE" w:eastAsia="de-DE"/>
        </w:rPr>
      </w:pPr>
      <w:hyperlink w:anchor="_Toc77839764" w:history="1">
        <w:r w:rsidR="00173A27" w:rsidRPr="00984B70">
          <w:rPr>
            <w:rStyle w:val="Hyperlink"/>
          </w:rPr>
          <w:t>8.2.1</w:t>
        </w:r>
        <w:r w:rsidR="00173A27">
          <w:rPr>
            <w:rFonts w:asciiTheme="minorHAnsi" w:eastAsiaTheme="minorEastAsia" w:hAnsiTheme="minorHAnsi" w:cstheme="minorBidi"/>
            <w:sz w:val="22"/>
            <w:szCs w:val="22"/>
            <w:lang w:val="de-DE" w:eastAsia="de-DE"/>
          </w:rPr>
          <w:tab/>
        </w:r>
        <w:r w:rsidR="00173A27" w:rsidRPr="00984B70">
          <w:rPr>
            <w:rStyle w:val="Hyperlink"/>
          </w:rPr>
          <w:t>Physical Examinations</w:t>
        </w:r>
        <w:r w:rsidR="00173A27">
          <w:rPr>
            <w:webHidden/>
          </w:rPr>
          <w:tab/>
        </w:r>
        <w:r w:rsidR="00173A27">
          <w:rPr>
            <w:webHidden/>
          </w:rPr>
          <w:fldChar w:fldCharType="begin"/>
        </w:r>
        <w:r w:rsidR="00173A27">
          <w:rPr>
            <w:webHidden/>
          </w:rPr>
          <w:instrText xml:space="preserve"> PAGEREF _Toc77839764 \h </w:instrText>
        </w:r>
        <w:r w:rsidR="00173A27">
          <w:rPr>
            <w:webHidden/>
          </w:rPr>
        </w:r>
        <w:r w:rsidR="00173A27">
          <w:rPr>
            <w:webHidden/>
          </w:rPr>
          <w:fldChar w:fldCharType="separate"/>
        </w:r>
        <w:r w:rsidR="00173A27">
          <w:rPr>
            <w:webHidden/>
          </w:rPr>
          <w:t>34</w:t>
        </w:r>
        <w:r w:rsidR="00173A27">
          <w:rPr>
            <w:webHidden/>
          </w:rPr>
          <w:fldChar w:fldCharType="end"/>
        </w:r>
      </w:hyperlink>
    </w:p>
    <w:p w14:paraId="16E6301C" w14:textId="5103C335" w:rsidR="00173A27" w:rsidRDefault="002E504A">
      <w:pPr>
        <w:pStyle w:val="TOC3"/>
        <w:rPr>
          <w:rFonts w:asciiTheme="minorHAnsi" w:eastAsiaTheme="minorEastAsia" w:hAnsiTheme="minorHAnsi" w:cstheme="minorBidi"/>
          <w:sz w:val="22"/>
          <w:szCs w:val="22"/>
          <w:lang w:val="de-DE" w:eastAsia="de-DE"/>
        </w:rPr>
      </w:pPr>
      <w:hyperlink w:anchor="_Toc77839765" w:history="1">
        <w:r w:rsidR="00173A27" w:rsidRPr="00984B70">
          <w:rPr>
            <w:rStyle w:val="Hyperlink"/>
          </w:rPr>
          <w:t>8.2.2</w:t>
        </w:r>
        <w:r w:rsidR="00173A27">
          <w:rPr>
            <w:rFonts w:asciiTheme="minorHAnsi" w:eastAsiaTheme="minorEastAsia" w:hAnsiTheme="minorHAnsi" w:cstheme="minorBidi"/>
            <w:sz w:val="22"/>
            <w:szCs w:val="22"/>
            <w:lang w:val="de-DE" w:eastAsia="de-DE"/>
          </w:rPr>
          <w:tab/>
        </w:r>
        <w:r w:rsidR="00173A27" w:rsidRPr="00984B70">
          <w:rPr>
            <w:rStyle w:val="Hyperlink"/>
          </w:rPr>
          <w:t>Vital Signs</w:t>
        </w:r>
        <w:r w:rsidR="00173A27">
          <w:rPr>
            <w:webHidden/>
          </w:rPr>
          <w:tab/>
        </w:r>
        <w:r w:rsidR="00173A27">
          <w:rPr>
            <w:webHidden/>
          </w:rPr>
          <w:fldChar w:fldCharType="begin"/>
        </w:r>
        <w:r w:rsidR="00173A27">
          <w:rPr>
            <w:webHidden/>
          </w:rPr>
          <w:instrText xml:space="preserve"> PAGEREF _Toc77839765 \h </w:instrText>
        </w:r>
        <w:r w:rsidR="00173A27">
          <w:rPr>
            <w:webHidden/>
          </w:rPr>
        </w:r>
        <w:r w:rsidR="00173A27">
          <w:rPr>
            <w:webHidden/>
          </w:rPr>
          <w:fldChar w:fldCharType="separate"/>
        </w:r>
        <w:r w:rsidR="00173A27">
          <w:rPr>
            <w:webHidden/>
          </w:rPr>
          <w:t>34</w:t>
        </w:r>
        <w:r w:rsidR="00173A27">
          <w:rPr>
            <w:webHidden/>
          </w:rPr>
          <w:fldChar w:fldCharType="end"/>
        </w:r>
      </w:hyperlink>
    </w:p>
    <w:p w14:paraId="17D067DC" w14:textId="5B338EEF" w:rsidR="00173A27" w:rsidRDefault="002E504A">
      <w:pPr>
        <w:pStyle w:val="TOC3"/>
        <w:rPr>
          <w:rFonts w:asciiTheme="minorHAnsi" w:eastAsiaTheme="minorEastAsia" w:hAnsiTheme="minorHAnsi" w:cstheme="minorBidi"/>
          <w:sz w:val="22"/>
          <w:szCs w:val="22"/>
          <w:lang w:val="de-DE" w:eastAsia="de-DE"/>
        </w:rPr>
      </w:pPr>
      <w:hyperlink w:anchor="_Toc77839766" w:history="1">
        <w:r w:rsidR="00173A27" w:rsidRPr="00984B70">
          <w:rPr>
            <w:rStyle w:val="Hyperlink"/>
          </w:rPr>
          <w:t>8.2.3</w:t>
        </w:r>
        <w:r w:rsidR="00173A27">
          <w:rPr>
            <w:rFonts w:asciiTheme="minorHAnsi" w:eastAsiaTheme="minorEastAsia" w:hAnsiTheme="minorHAnsi" w:cstheme="minorBidi"/>
            <w:sz w:val="22"/>
            <w:szCs w:val="22"/>
            <w:lang w:val="de-DE" w:eastAsia="de-DE"/>
          </w:rPr>
          <w:tab/>
        </w:r>
        <w:r w:rsidR="00173A27" w:rsidRPr="00984B70">
          <w:rPr>
            <w:rStyle w:val="Hyperlink"/>
          </w:rPr>
          <w:t>Electrocardiograms</w:t>
        </w:r>
        <w:r w:rsidR="00173A27">
          <w:rPr>
            <w:webHidden/>
          </w:rPr>
          <w:tab/>
        </w:r>
        <w:r w:rsidR="00173A27">
          <w:rPr>
            <w:webHidden/>
          </w:rPr>
          <w:fldChar w:fldCharType="begin"/>
        </w:r>
        <w:r w:rsidR="00173A27">
          <w:rPr>
            <w:webHidden/>
          </w:rPr>
          <w:instrText xml:space="preserve"> PAGEREF _Toc77839766 \h </w:instrText>
        </w:r>
        <w:r w:rsidR="00173A27">
          <w:rPr>
            <w:webHidden/>
          </w:rPr>
        </w:r>
        <w:r w:rsidR="00173A27">
          <w:rPr>
            <w:webHidden/>
          </w:rPr>
          <w:fldChar w:fldCharType="separate"/>
        </w:r>
        <w:r w:rsidR="00173A27">
          <w:rPr>
            <w:webHidden/>
          </w:rPr>
          <w:t>34</w:t>
        </w:r>
        <w:r w:rsidR="00173A27">
          <w:rPr>
            <w:webHidden/>
          </w:rPr>
          <w:fldChar w:fldCharType="end"/>
        </w:r>
      </w:hyperlink>
    </w:p>
    <w:p w14:paraId="312D138D" w14:textId="01965C15" w:rsidR="00173A27" w:rsidRDefault="002E504A">
      <w:pPr>
        <w:pStyle w:val="TOC3"/>
        <w:rPr>
          <w:rFonts w:asciiTheme="minorHAnsi" w:eastAsiaTheme="minorEastAsia" w:hAnsiTheme="minorHAnsi" w:cstheme="minorBidi"/>
          <w:sz w:val="22"/>
          <w:szCs w:val="22"/>
          <w:lang w:val="de-DE" w:eastAsia="de-DE"/>
        </w:rPr>
      </w:pPr>
      <w:hyperlink w:anchor="_Toc77839767" w:history="1">
        <w:r w:rsidR="00173A27" w:rsidRPr="00984B70">
          <w:rPr>
            <w:rStyle w:val="Hyperlink"/>
          </w:rPr>
          <w:t>8.2.4</w:t>
        </w:r>
        <w:r w:rsidR="00173A27">
          <w:rPr>
            <w:rFonts w:asciiTheme="minorHAnsi" w:eastAsiaTheme="minorEastAsia" w:hAnsiTheme="minorHAnsi" w:cstheme="minorBidi"/>
            <w:sz w:val="22"/>
            <w:szCs w:val="22"/>
            <w:lang w:val="de-DE" w:eastAsia="de-DE"/>
          </w:rPr>
          <w:tab/>
        </w:r>
        <w:r w:rsidR="00173A27" w:rsidRPr="00984B70">
          <w:rPr>
            <w:rStyle w:val="Hyperlink"/>
          </w:rPr>
          <w:t>Clinical Safety Laboratory Assessments</w:t>
        </w:r>
        <w:r w:rsidR="00173A27">
          <w:rPr>
            <w:webHidden/>
          </w:rPr>
          <w:tab/>
        </w:r>
        <w:r w:rsidR="00173A27">
          <w:rPr>
            <w:webHidden/>
          </w:rPr>
          <w:fldChar w:fldCharType="begin"/>
        </w:r>
        <w:r w:rsidR="00173A27">
          <w:rPr>
            <w:webHidden/>
          </w:rPr>
          <w:instrText xml:space="preserve"> PAGEREF _Toc77839767 \h </w:instrText>
        </w:r>
        <w:r w:rsidR="00173A27">
          <w:rPr>
            <w:webHidden/>
          </w:rPr>
        </w:r>
        <w:r w:rsidR="00173A27">
          <w:rPr>
            <w:webHidden/>
          </w:rPr>
          <w:fldChar w:fldCharType="separate"/>
        </w:r>
        <w:r w:rsidR="00173A27">
          <w:rPr>
            <w:webHidden/>
          </w:rPr>
          <w:t>34</w:t>
        </w:r>
        <w:r w:rsidR="00173A27">
          <w:rPr>
            <w:webHidden/>
          </w:rPr>
          <w:fldChar w:fldCharType="end"/>
        </w:r>
      </w:hyperlink>
    </w:p>
    <w:p w14:paraId="2953DDA5" w14:textId="6728C1E5" w:rsidR="00173A27" w:rsidRDefault="002E504A">
      <w:pPr>
        <w:pStyle w:val="TOC2"/>
        <w:rPr>
          <w:rFonts w:asciiTheme="minorHAnsi" w:eastAsiaTheme="minorEastAsia" w:hAnsiTheme="minorHAnsi" w:cstheme="minorBidi"/>
          <w:sz w:val="22"/>
          <w:szCs w:val="22"/>
          <w:lang w:val="de-DE" w:eastAsia="de-DE"/>
        </w:rPr>
      </w:pPr>
      <w:hyperlink w:anchor="_Toc77839768" w:history="1">
        <w:r w:rsidR="00173A27" w:rsidRPr="00984B70">
          <w:rPr>
            <w:rStyle w:val="Hyperlink"/>
          </w:rPr>
          <w:t>8.3</w:t>
        </w:r>
        <w:r w:rsidR="00173A27">
          <w:rPr>
            <w:rFonts w:asciiTheme="minorHAnsi" w:eastAsiaTheme="minorEastAsia" w:hAnsiTheme="minorHAnsi" w:cstheme="minorBidi"/>
            <w:sz w:val="22"/>
            <w:szCs w:val="22"/>
            <w:lang w:val="de-DE" w:eastAsia="de-DE"/>
          </w:rPr>
          <w:tab/>
        </w:r>
        <w:r w:rsidR="00173A27" w:rsidRPr="00984B70">
          <w:rPr>
            <w:rStyle w:val="Hyperlink"/>
          </w:rPr>
          <w:t>Adverse Events, Serious Adverse Events, and Other Safety Reporting</w:t>
        </w:r>
        <w:r w:rsidR="00173A27">
          <w:rPr>
            <w:webHidden/>
          </w:rPr>
          <w:tab/>
        </w:r>
        <w:r w:rsidR="00173A27">
          <w:rPr>
            <w:webHidden/>
          </w:rPr>
          <w:fldChar w:fldCharType="begin"/>
        </w:r>
        <w:r w:rsidR="00173A27">
          <w:rPr>
            <w:webHidden/>
          </w:rPr>
          <w:instrText xml:space="preserve"> PAGEREF _Toc77839768 \h </w:instrText>
        </w:r>
        <w:r w:rsidR="00173A27">
          <w:rPr>
            <w:webHidden/>
          </w:rPr>
        </w:r>
        <w:r w:rsidR="00173A27">
          <w:rPr>
            <w:webHidden/>
          </w:rPr>
          <w:fldChar w:fldCharType="separate"/>
        </w:r>
        <w:r w:rsidR="00173A27">
          <w:rPr>
            <w:webHidden/>
          </w:rPr>
          <w:t>35</w:t>
        </w:r>
        <w:r w:rsidR="00173A27">
          <w:rPr>
            <w:webHidden/>
          </w:rPr>
          <w:fldChar w:fldCharType="end"/>
        </w:r>
      </w:hyperlink>
    </w:p>
    <w:p w14:paraId="116AB91E" w14:textId="53B8F084" w:rsidR="00173A27" w:rsidRDefault="002E504A">
      <w:pPr>
        <w:pStyle w:val="TOC3"/>
        <w:rPr>
          <w:rFonts w:asciiTheme="minorHAnsi" w:eastAsiaTheme="minorEastAsia" w:hAnsiTheme="minorHAnsi" w:cstheme="minorBidi"/>
          <w:sz w:val="22"/>
          <w:szCs w:val="22"/>
          <w:lang w:val="de-DE" w:eastAsia="de-DE"/>
        </w:rPr>
      </w:pPr>
      <w:hyperlink w:anchor="_Toc77839769" w:history="1">
        <w:r w:rsidR="00173A27" w:rsidRPr="00984B70">
          <w:rPr>
            <w:rStyle w:val="Hyperlink"/>
          </w:rPr>
          <w:t>8.3.1</w:t>
        </w:r>
        <w:r w:rsidR="00173A27">
          <w:rPr>
            <w:rFonts w:asciiTheme="minorHAnsi" w:eastAsiaTheme="minorEastAsia" w:hAnsiTheme="minorHAnsi" w:cstheme="minorBidi"/>
            <w:sz w:val="22"/>
            <w:szCs w:val="22"/>
            <w:lang w:val="de-DE" w:eastAsia="de-DE"/>
          </w:rPr>
          <w:tab/>
        </w:r>
        <w:r w:rsidR="00173A27" w:rsidRPr="00984B70">
          <w:rPr>
            <w:rStyle w:val="Hyperlink"/>
          </w:rPr>
          <w:t>Method of Detecting Adverse Events and Serious Adverse Events</w:t>
        </w:r>
        <w:r w:rsidR="00173A27">
          <w:rPr>
            <w:webHidden/>
          </w:rPr>
          <w:tab/>
        </w:r>
        <w:r w:rsidR="00173A27">
          <w:rPr>
            <w:webHidden/>
          </w:rPr>
          <w:fldChar w:fldCharType="begin"/>
        </w:r>
        <w:r w:rsidR="00173A27">
          <w:rPr>
            <w:webHidden/>
          </w:rPr>
          <w:instrText xml:space="preserve"> PAGEREF _Toc77839769 \h </w:instrText>
        </w:r>
        <w:r w:rsidR="00173A27">
          <w:rPr>
            <w:webHidden/>
          </w:rPr>
        </w:r>
        <w:r w:rsidR="00173A27">
          <w:rPr>
            <w:webHidden/>
          </w:rPr>
          <w:fldChar w:fldCharType="separate"/>
        </w:r>
        <w:r w:rsidR="00173A27">
          <w:rPr>
            <w:webHidden/>
          </w:rPr>
          <w:t>36</w:t>
        </w:r>
        <w:r w:rsidR="00173A27">
          <w:rPr>
            <w:webHidden/>
          </w:rPr>
          <w:fldChar w:fldCharType="end"/>
        </w:r>
      </w:hyperlink>
    </w:p>
    <w:p w14:paraId="464C73E3" w14:textId="306C5E9A" w:rsidR="00173A27" w:rsidRDefault="002E504A">
      <w:pPr>
        <w:pStyle w:val="TOC3"/>
        <w:rPr>
          <w:rFonts w:asciiTheme="minorHAnsi" w:eastAsiaTheme="minorEastAsia" w:hAnsiTheme="minorHAnsi" w:cstheme="minorBidi"/>
          <w:sz w:val="22"/>
          <w:szCs w:val="22"/>
          <w:lang w:val="de-DE" w:eastAsia="de-DE"/>
        </w:rPr>
      </w:pPr>
      <w:hyperlink w:anchor="_Toc77839770" w:history="1">
        <w:r w:rsidR="00173A27" w:rsidRPr="00984B70">
          <w:rPr>
            <w:rStyle w:val="Hyperlink"/>
          </w:rPr>
          <w:t>8.3.2</w:t>
        </w:r>
        <w:r w:rsidR="00173A27">
          <w:rPr>
            <w:rFonts w:asciiTheme="minorHAnsi" w:eastAsiaTheme="minorEastAsia" w:hAnsiTheme="minorHAnsi" w:cstheme="minorBidi"/>
            <w:sz w:val="22"/>
            <w:szCs w:val="22"/>
            <w:lang w:val="de-DE" w:eastAsia="de-DE"/>
          </w:rPr>
          <w:tab/>
        </w:r>
        <w:r w:rsidR="00173A27" w:rsidRPr="00984B70">
          <w:rPr>
            <w:rStyle w:val="Hyperlink"/>
          </w:rPr>
          <w:t>Follow-up of Adverse Events and Serious Adverse Events</w:t>
        </w:r>
        <w:r w:rsidR="00173A27">
          <w:rPr>
            <w:webHidden/>
          </w:rPr>
          <w:tab/>
        </w:r>
        <w:r w:rsidR="00173A27">
          <w:rPr>
            <w:webHidden/>
          </w:rPr>
          <w:fldChar w:fldCharType="begin"/>
        </w:r>
        <w:r w:rsidR="00173A27">
          <w:rPr>
            <w:webHidden/>
          </w:rPr>
          <w:instrText xml:space="preserve"> PAGEREF _Toc77839770 \h </w:instrText>
        </w:r>
        <w:r w:rsidR="00173A27">
          <w:rPr>
            <w:webHidden/>
          </w:rPr>
        </w:r>
        <w:r w:rsidR="00173A27">
          <w:rPr>
            <w:webHidden/>
          </w:rPr>
          <w:fldChar w:fldCharType="separate"/>
        </w:r>
        <w:r w:rsidR="00173A27">
          <w:rPr>
            <w:webHidden/>
          </w:rPr>
          <w:t>36</w:t>
        </w:r>
        <w:r w:rsidR="00173A27">
          <w:rPr>
            <w:webHidden/>
          </w:rPr>
          <w:fldChar w:fldCharType="end"/>
        </w:r>
      </w:hyperlink>
    </w:p>
    <w:p w14:paraId="7E06A9F2" w14:textId="60AD2342" w:rsidR="00173A27" w:rsidRDefault="002E504A">
      <w:pPr>
        <w:pStyle w:val="TOC3"/>
        <w:rPr>
          <w:rFonts w:asciiTheme="minorHAnsi" w:eastAsiaTheme="minorEastAsia" w:hAnsiTheme="minorHAnsi" w:cstheme="minorBidi"/>
          <w:sz w:val="22"/>
          <w:szCs w:val="22"/>
          <w:lang w:val="de-DE" w:eastAsia="de-DE"/>
        </w:rPr>
      </w:pPr>
      <w:hyperlink w:anchor="_Toc77839771" w:history="1">
        <w:r w:rsidR="00173A27" w:rsidRPr="00984B70">
          <w:rPr>
            <w:rStyle w:val="Hyperlink"/>
          </w:rPr>
          <w:t>8.3.3</w:t>
        </w:r>
        <w:r w:rsidR="00173A27">
          <w:rPr>
            <w:rFonts w:asciiTheme="minorHAnsi" w:eastAsiaTheme="minorEastAsia" w:hAnsiTheme="minorHAnsi" w:cstheme="minorBidi"/>
            <w:sz w:val="22"/>
            <w:szCs w:val="22"/>
            <w:lang w:val="de-DE" w:eastAsia="de-DE"/>
          </w:rPr>
          <w:tab/>
        </w:r>
        <w:r w:rsidR="00173A27" w:rsidRPr="00984B70">
          <w:rPr>
            <w:rStyle w:val="Hyperlink"/>
          </w:rPr>
          <w:t>Regulatory Reporting Requirements for Serious Adverse Events</w:t>
        </w:r>
        <w:r w:rsidR="00173A27">
          <w:rPr>
            <w:webHidden/>
          </w:rPr>
          <w:tab/>
        </w:r>
        <w:r w:rsidR="00173A27">
          <w:rPr>
            <w:webHidden/>
          </w:rPr>
          <w:fldChar w:fldCharType="begin"/>
        </w:r>
        <w:r w:rsidR="00173A27">
          <w:rPr>
            <w:webHidden/>
          </w:rPr>
          <w:instrText xml:space="preserve"> PAGEREF _Toc77839771 \h </w:instrText>
        </w:r>
        <w:r w:rsidR="00173A27">
          <w:rPr>
            <w:webHidden/>
          </w:rPr>
        </w:r>
        <w:r w:rsidR="00173A27">
          <w:rPr>
            <w:webHidden/>
          </w:rPr>
          <w:fldChar w:fldCharType="separate"/>
        </w:r>
        <w:r w:rsidR="00173A27">
          <w:rPr>
            <w:webHidden/>
          </w:rPr>
          <w:t>36</w:t>
        </w:r>
        <w:r w:rsidR="00173A27">
          <w:rPr>
            <w:webHidden/>
          </w:rPr>
          <w:fldChar w:fldCharType="end"/>
        </w:r>
      </w:hyperlink>
    </w:p>
    <w:p w14:paraId="60B2AAFD" w14:textId="4E5C883E" w:rsidR="00173A27" w:rsidRDefault="002E504A">
      <w:pPr>
        <w:pStyle w:val="TOC3"/>
        <w:rPr>
          <w:rFonts w:asciiTheme="minorHAnsi" w:eastAsiaTheme="minorEastAsia" w:hAnsiTheme="minorHAnsi" w:cstheme="minorBidi"/>
          <w:sz w:val="22"/>
          <w:szCs w:val="22"/>
          <w:lang w:val="de-DE" w:eastAsia="de-DE"/>
        </w:rPr>
      </w:pPr>
      <w:hyperlink w:anchor="_Toc77839772" w:history="1">
        <w:r w:rsidR="00173A27" w:rsidRPr="00984B70">
          <w:rPr>
            <w:rStyle w:val="Hyperlink"/>
          </w:rPr>
          <w:t>8.3.4</w:t>
        </w:r>
        <w:r w:rsidR="00173A27">
          <w:rPr>
            <w:rFonts w:asciiTheme="minorHAnsi" w:eastAsiaTheme="minorEastAsia" w:hAnsiTheme="minorHAnsi" w:cstheme="minorBidi"/>
            <w:sz w:val="22"/>
            <w:szCs w:val="22"/>
            <w:lang w:val="de-DE" w:eastAsia="de-DE"/>
          </w:rPr>
          <w:tab/>
        </w:r>
        <w:r w:rsidR="00173A27" w:rsidRPr="00984B70">
          <w:rPr>
            <w:rStyle w:val="Hyperlink"/>
          </w:rPr>
          <w:t>Pregnancy</w:t>
        </w:r>
        <w:r w:rsidR="00173A27">
          <w:rPr>
            <w:webHidden/>
          </w:rPr>
          <w:tab/>
        </w:r>
        <w:r w:rsidR="00173A27">
          <w:rPr>
            <w:webHidden/>
          </w:rPr>
          <w:fldChar w:fldCharType="begin"/>
        </w:r>
        <w:r w:rsidR="00173A27">
          <w:rPr>
            <w:webHidden/>
          </w:rPr>
          <w:instrText xml:space="preserve"> PAGEREF _Toc77839772 \h </w:instrText>
        </w:r>
        <w:r w:rsidR="00173A27">
          <w:rPr>
            <w:webHidden/>
          </w:rPr>
        </w:r>
        <w:r w:rsidR="00173A27">
          <w:rPr>
            <w:webHidden/>
          </w:rPr>
          <w:fldChar w:fldCharType="separate"/>
        </w:r>
        <w:r w:rsidR="00173A27">
          <w:rPr>
            <w:webHidden/>
          </w:rPr>
          <w:t>36</w:t>
        </w:r>
        <w:r w:rsidR="00173A27">
          <w:rPr>
            <w:webHidden/>
          </w:rPr>
          <w:fldChar w:fldCharType="end"/>
        </w:r>
      </w:hyperlink>
    </w:p>
    <w:p w14:paraId="41569256" w14:textId="567FC844" w:rsidR="00173A27" w:rsidRDefault="002E504A">
      <w:pPr>
        <w:pStyle w:val="TOC3"/>
        <w:rPr>
          <w:rFonts w:asciiTheme="minorHAnsi" w:eastAsiaTheme="minorEastAsia" w:hAnsiTheme="minorHAnsi" w:cstheme="minorBidi"/>
          <w:sz w:val="22"/>
          <w:szCs w:val="22"/>
          <w:lang w:val="de-DE" w:eastAsia="de-DE"/>
        </w:rPr>
      </w:pPr>
      <w:hyperlink w:anchor="_Toc77839773" w:history="1">
        <w:r w:rsidR="00173A27" w:rsidRPr="00984B70">
          <w:rPr>
            <w:rStyle w:val="Hyperlink"/>
          </w:rPr>
          <w:t>8.3.5</w:t>
        </w:r>
        <w:r w:rsidR="00173A27">
          <w:rPr>
            <w:rFonts w:asciiTheme="minorHAnsi" w:eastAsiaTheme="minorEastAsia" w:hAnsiTheme="minorHAnsi" w:cstheme="minorBidi"/>
            <w:sz w:val="22"/>
            <w:szCs w:val="22"/>
            <w:lang w:val="de-DE" w:eastAsia="de-DE"/>
          </w:rPr>
          <w:tab/>
        </w:r>
        <w:r w:rsidR="00173A27" w:rsidRPr="00984B70">
          <w:rPr>
            <w:rStyle w:val="Hyperlink"/>
          </w:rPr>
          <w:t>Cardiovascular and Death Events</w:t>
        </w:r>
        <w:r w:rsidR="00173A27">
          <w:rPr>
            <w:webHidden/>
          </w:rPr>
          <w:tab/>
        </w:r>
        <w:r w:rsidR="00173A27">
          <w:rPr>
            <w:webHidden/>
          </w:rPr>
          <w:fldChar w:fldCharType="begin"/>
        </w:r>
        <w:r w:rsidR="00173A27">
          <w:rPr>
            <w:webHidden/>
          </w:rPr>
          <w:instrText xml:space="preserve"> PAGEREF _Toc77839773 \h </w:instrText>
        </w:r>
        <w:r w:rsidR="00173A27">
          <w:rPr>
            <w:webHidden/>
          </w:rPr>
        </w:r>
        <w:r w:rsidR="00173A27">
          <w:rPr>
            <w:webHidden/>
          </w:rPr>
          <w:fldChar w:fldCharType="separate"/>
        </w:r>
        <w:r w:rsidR="00173A27">
          <w:rPr>
            <w:webHidden/>
          </w:rPr>
          <w:t>37</w:t>
        </w:r>
        <w:r w:rsidR="00173A27">
          <w:rPr>
            <w:webHidden/>
          </w:rPr>
          <w:fldChar w:fldCharType="end"/>
        </w:r>
      </w:hyperlink>
    </w:p>
    <w:p w14:paraId="3138D2B2" w14:textId="64DFA753" w:rsidR="00173A27" w:rsidRDefault="002E504A">
      <w:pPr>
        <w:pStyle w:val="TOC3"/>
        <w:rPr>
          <w:rFonts w:asciiTheme="minorHAnsi" w:eastAsiaTheme="minorEastAsia" w:hAnsiTheme="minorHAnsi" w:cstheme="minorBidi"/>
          <w:sz w:val="22"/>
          <w:szCs w:val="22"/>
          <w:lang w:val="de-DE" w:eastAsia="de-DE"/>
        </w:rPr>
      </w:pPr>
      <w:hyperlink w:anchor="_Toc77839774" w:history="1">
        <w:r w:rsidR="00173A27" w:rsidRPr="00984B70">
          <w:rPr>
            <w:rStyle w:val="Hyperlink"/>
          </w:rPr>
          <w:t>8.3.6</w:t>
        </w:r>
        <w:r w:rsidR="00173A27">
          <w:rPr>
            <w:rFonts w:asciiTheme="minorHAnsi" w:eastAsiaTheme="minorEastAsia" w:hAnsiTheme="minorHAnsi" w:cstheme="minorBidi"/>
            <w:sz w:val="22"/>
            <w:szCs w:val="22"/>
            <w:lang w:val="de-DE" w:eastAsia="de-DE"/>
          </w:rPr>
          <w:tab/>
        </w:r>
        <w:r w:rsidR="00173A27" w:rsidRPr="00984B70">
          <w:rPr>
            <w:rStyle w:val="Hyperlink"/>
          </w:rPr>
          <w:t>Disease-Related Events and/or Disease-Related Outcomes Not Qualifying as AEs or SAEs</w:t>
        </w:r>
        <w:r w:rsidR="00173A27">
          <w:rPr>
            <w:webHidden/>
          </w:rPr>
          <w:tab/>
        </w:r>
        <w:r w:rsidR="00173A27">
          <w:rPr>
            <w:webHidden/>
          </w:rPr>
          <w:fldChar w:fldCharType="begin"/>
        </w:r>
        <w:r w:rsidR="00173A27">
          <w:rPr>
            <w:webHidden/>
          </w:rPr>
          <w:instrText xml:space="preserve"> PAGEREF _Toc77839774 \h </w:instrText>
        </w:r>
        <w:r w:rsidR="00173A27">
          <w:rPr>
            <w:webHidden/>
          </w:rPr>
        </w:r>
        <w:r w:rsidR="00173A27">
          <w:rPr>
            <w:webHidden/>
          </w:rPr>
          <w:fldChar w:fldCharType="separate"/>
        </w:r>
        <w:r w:rsidR="00173A27">
          <w:rPr>
            <w:webHidden/>
          </w:rPr>
          <w:t>37</w:t>
        </w:r>
        <w:r w:rsidR="00173A27">
          <w:rPr>
            <w:webHidden/>
          </w:rPr>
          <w:fldChar w:fldCharType="end"/>
        </w:r>
      </w:hyperlink>
    </w:p>
    <w:p w14:paraId="6BF7CE41" w14:textId="090A0F99" w:rsidR="00173A27" w:rsidRDefault="002E504A">
      <w:pPr>
        <w:pStyle w:val="TOC3"/>
        <w:rPr>
          <w:rFonts w:asciiTheme="minorHAnsi" w:eastAsiaTheme="minorEastAsia" w:hAnsiTheme="minorHAnsi" w:cstheme="minorBidi"/>
          <w:sz w:val="22"/>
          <w:szCs w:val="22"/>
          <w:lang w:val="de-DE" w:eastAsia="de-DE"/>
        </w:rPr>
      </w:pPr>
      <w:hyperlink w:anchor="_Toc77839775" w:history="1">
        <w:r w:rsidR="00173A27" w:rsidRPr="00984B70">
          <w:rPr>
            <w:rStyle w:val="Hyperlink"/>
          </w:rPr>
          <w:t>8.3.7</w:t>
        </w:r>
        <w:r w:rsidR="00173A27">
          <w:rPr>
            <w:rFonts w:asciiTheme="minorHAnsi" w:eastAsiaTheme="minorEastAsia" w:hAnsiTheme="minorHAnsi" w:cstheme="minorBidi"/>
            <w:sz w:val="22"/>
            <w:szCs w:val="22"/>
            <w:lang w:val="de-DE" w:eastAsia="de-DE"/>
          </w:rPr>
          <w:tab/>
        </w:r>
        <w:r w:rsidR="00173A27" w:rsidRPr="00984B70">
          <w:rPr>
            <w:rStyle w:val="Hyperlink"/>
          </w:rPr>
          <w:t>Adverse Events of Special Interest</w:t>
        </w:r>
        <w:r w:rsidR="00173A27">
          <w:rPr>
            <w:webHidden/>
          </w:rPr>
          <w:tab/>
        </w:r>
        <w:r w:rsidR="00173A27">
          <w:rPr>
            <w:webHidden/>
          </w:rPr>
          <w:fldChar w:fldCharType="begin"/>
        </w:r>
        <w:r w:rsidR="00173A27">
          <w:rPr>
            <w:webHidden/>
          </w:rPr>
          <w:instrText xml:space="preserve"> PAGEREF _Toc77839775 \h </w:instrText>
        </w:r>
        <w:r w:rsidR="00173A27">
          <w:rPr>
            <w:webHidden/>
          </w:rPr>
        </w:r>
        <w:r w:rsidR="00173A27">
          <w:rPr>
            <w:webHidden/>
          </w:rPr>
          <w:fldChar w:fldCharType="separate"/>
        </w:r>
        <w:r w:rsidR="00173A27">
          <w:rPr>
            <w:webHidden/>
          </w:rPr>
          <w:t>37</w:t>
        </w:r>
        <w:r w:rsidR="00173A27">
          <w:rPr>
            <w:webHidden/>
          </w:rPr>
          <w:fldChar w:fldCharType="end"/>
        </w:r>
      </w:hyperlink>
    </w:p>
    <w:p w14:paraId="1CB07A6B" w14:textId="47E5FE41" w:rsidR="00173A27" w:rsidRDefault="002E504A">
      <w:pPr>
        <w:pStyle w:val="TOC2"/>
        <w:rPr>
          <w:rFonts w:asciiTheme="minorHAnsi" w:eastAsiaTheme="minorEastAsia" w:hAnsiTheme="minorHAnsi" w:cstheme="minorBidi"/>
          <w:sz w:val="22"/>
          <w:szCs w:val="22"/>
          <w:lang w:val="de-DE" w:eastAsia="de-DE"/>
        </w:rPr>
      </w:pPr>
      <w:hyperlink w:anchor="_Toc77839776" w:history="1">
        <w:r w:rsidR="00173A27" w:rsidRPr="00984B70">
          <w:rPr>
            <w:rStyle w:val="Hyperlink"/>
          </w:rPr>
          <w:t>8.4</w:t>
        </w:r>
        <w:r w:rsidR="00173A27">
          <w:rPr>
            <w:rFonts w:asciiTheme="minorHAnsi" w:eastAsiaTheme="minorEastAsia" w:hAnsiTheme="minorHAnsi" w:cstheme="minorBidi"/>
            <w:sz w:val="22"/>
            <w:szCs w:val="22"/>
            <w:lang w:val="de-DE" w:eastAsia="de-DE"/>
          </w:rPr>
          <w:tab/>
        </w:r>
        <w:r w:rsidR="00173A27" w:rsidRPr="00984B70">
          <w:rPr>
            <w:rStyle w:val="Hyperlink"/>
          </w:rPr>
          <w:t>Pharmacokinetics</w:t>
        </w:r>
        <w:r w:rsidR="00173A27">
          <w:rPr>
            <w:webHidden/>
          </w:rPr>
          <w:tab/>
        </w:r>
        <w:r w:rsidR="00173A27">
          <w:rPr>
            <w:webHidden/>
          </w:rPr>
          <w:fldChar w:fldCharType="begin"/>
        </w:r>
        <w:r w:rsidR="00173A27">
          <w:rPr>
            <w:webHidden/>
          </w:rPr>
          <w:instrText xml:space="preserve"> PAGEREF _Toc77839776 \h </w:instrText>
        </w:r>
        <w:r w:rsidR="00173A27">
          <w:rPr>
            <w:webHidden/>
          </w:rPr>
        </w:r>
        <w:r w:rsidR="00173A27">
          <w:rPr>
            <w:webHidden/>
          </w:rPr>
          <w:fldChar w:fldCharType="separate"/>
        </w:r>
        <w:r w:rsidR="00173A27">
          <w:rPr>
            <w:webHidden/>
          </w:rPr>
          <w:t>38</w:t>
        </w:r>
        <w:r w:rsidR="00173A27">
          <w:rPr>
            <w:webHidden/>
          </w:rPr>
          <w:fldChar w:fldCharType="end"/>
        </w:r>
      </w:hyperlink>
    </w:p>
    <w:p w14:paraId="39551671" w14:textId="51A7E7CB" w:rsidR="00173A27" w:rsidRDefault="002E504A">
      <w:pPr>
        <w:pStyle w:val="TOC2"/>
        <w:rPr>
          <w:rFonts w:asciiTheme="minorHAnsi" w:eastAsiaTheme="minorEastAsia" w:hAnsiTheme="minorHAnsi" w:cstheme="minorBidi"/>
          <w:sz w:val="22"/>
          <w:szCs w:val="22"/>
          <w:lang w:val="de-DE" w:eastAsia="de-DE"/>
        </w:rPr>
      </w:pPr>
      <w:hyperlink w:anchor="_Toc77839777" w:history="1">
        <w:r w:rsidR="00173A27" w:rsidRPr="00984B70">
          <w:rPr>
            <w:rStyle w:val="Hyperlink"/>
          </w:rPr>
          <w:t>8.5</w:t>
        </w:r>
        <w:r w:rsidR="00173A27">
          <w:rPr>
            <w:rFonts w:asciiTheme="minorHAnsi" w:eastAsiaTheme="minorEastAsia" w:hAnsiTheme="minorHAnsi" w:cstheme="minorBidi"/>
            <w:sz w:val="22"/>
            <w:szCs w:val="22"/>
            <w:lang w:val="de-DE" w:eastAsia="de-DE"/>
          </w:rPr>
          <w:tab/>
        </w:r>
        <w:r w:rsidR="00173A27" w:rsidRPr="00984B70">
          <w:rPr>
            <w:rStyle w:val="Hyperlink"/>
          </w:rPr>
          <w:t>Pharmacogenetics</w:t>
        </w:r>
        <w:r w:rsidR="00173A27">
          <w:rPr>
            <w:webHidden/>
          </w:rPr>
          <w:tab/>
        </w:r>
        <w:r w:rsidR="00173A27">
          <w:rPr>
            <w:webHidden/>
          </w:rPr>
          <w:fldChar w:fldCharType="begin"/>
        </w:r>
        <w:r w:rsidR="00173A27">
          <w:rPr>
            <w:webHidden/>
          </w:rPr>
          <w:instrText xml:space="preserve"> PAGEREF _Toc77839777 \h </w:instrText>
        </w:r>
        <w:r w:rsidR="00173A27">
          <w:rPr>
            <w:webHidden/>
          </w:rPr>
        </w:r>
        <w:r w:rsidR="00173A27">
          <w:rPr>
            <w:webHidden/>
          </w:rPr>
          <w:fldChar w:fldCharType="separate"/>
        </w:r>
        <w:r w:rsidR="00173A27">
          <w:rPr>
            <w:webHidden/>
          </w:rPr>
          <w:t>40</w:t>
        </w:r>
        <w:r w:rsidR="00173A27">
          <w:rPr>
            <w:webHidden/>
          </w:rPr>
          <w:fldChar w:fldCharType="end"/>
        </w:r>
      </w:hyperlink>
    </w:p>
    <w:p w14:paraId="104AB00A" w14:textId="0488D9C3" w:rsidR="00173A27" w:rsidRDefault="002E504A">
      <w:pPr>
        <w:pStyle w:val="TOC2"/>
        <w:rPr>
          <w:rFonts w:asciiTheme="minorHAnsi" w:eastAsiaTheme="minorEastAsia" w:hAnsiTheme="minorHAnsi" w:cstheme="minorBidi"/>
          <w:sz w:val="22"/>
          <w:szCs w:val="22"/>
          <w:lang w:val="de-DE" w:eastAsia="de-DE"/>
        </w:rPr>
      </w:pPr>
      <w:hyperlink w:anchor="_Toc77839778" w:history="1">
        <w:r w:rsidR="00173A27" w:rsidRPr="00984B70">
          <w:rPr>
            <w:rStyle w:val="Hyperlink"/>
          </w:rPr>
          <w:t>8.6</w:t>
        </w:r>
        <w:r w:rsidR="00173A27">
          <w:rPr>
            <w:rFonts w:asciiTheme="minorHAnsi" w:eastAsiaTheme="minorEastAsia" w:hAnsiTheme="minorHAnsi" w:cstheme="minorBidi"/>
            <w:sz w:val="22"/>
            <w:szCs w:val="22"/>
            <w:lang w:val="de-DE" w:eastAsia="de-DE"/>
          </w:rPr>
          <w:tab/>
        </w:r>
        <w:r w:rsidR="00173A27" w:rsidRPr="00984B70">
          <w:rPr>
            <w:rStyle w:val="Hyperlink"/>
          </w:rPr>
          <w:t>Biomarkers</w:t>
        </w:r>
        <w:r w:rsidR="00173A27">
          <w:rPr>
            <w:webHidden/>
          </w:rPr>
          <w:tab/>
        </w:r>
        <w:r w:rsidR="00173A27">
          <w:rPr>
            <w:webHidden/>
          </w:rPr>
          <w:fldChar w:fldCharType="begin"/>
        </w:r>
        <w:r w:rsidR="00173A27">
          <w:rPr>
            <w:webHidden/>
          </w:rPr>
          <w:instrText xml:space="preserve"> PAGEREF _Toc77839778 \h </w:instrText>
        </w:r>
        <w:r w:rsidR="00173A27">
          <w:rPr>
            <w:webHidden/>
          </w:rPr>
        </w:r>
        <w:r w:rsidR="00173A27">
          <w:rPr>
            <w:webHidden/>
          </w:rPr>
          <w:fldChar w:fldCharType="separate"/>
        </w:r>
        <w:r w:rsidR="00173A27">
          <w:rPr>
            <w:webHidden/>
          </w:rPr>
          <w:t>40</w:t>
        </w:r>
        <w:r w:rsidR="00173A27">
          <w:rPr>
            <w:webHidden/>
          </w:rPr>
          <w:fldChar w:fldCharType="end"/>
        </w:r>
      </w:hyperlink>
    </w:p>
    <w:p w14:paraId="1C5031F2" w14:textId="4F67273F" w:rsidR="00173A27" w:rsidRDefault="002E504A">
      <w:pPr>
        <w:pStyle w:val="TOC2"/>
        <w:rPr>
          <w:rFonts w:asciiTheme="minorHAnsi" w:eastAsiaTheme="minorEastAsia" w:hAnsiTheme="minorHAnsi" w:cstheme="minorBidi"/>
          <w:sz w:val="22"/>
          <w:szCs w:val="22"/>
          <w:lang w:val="de-DE" w:eastAsia="de-DE"/>
        </w:rPr>
      </w:pPr>
      <w:hyperlink w:anchor="_Toc77839779" w:history="1">
        <w:r w:rsidR="00173A27" w:rsidRPr="00984B70">
          <w:rPr>
            <w:rStyle w:val="Hyperlink"/>
          </w:rPr>
          <w:t>8.7</w:t>
        </w:r>
        <w:r w:rsidR="00173A27">
          <w:rPr>
            <w:rFonts w:asciiTheme="minorHAnsi" w:eastAsiaTheme="minorEastAsia" w:hAnsiTheme="minorHAnsi" w:cstheme="minorBidi"/>
            <w:sz w:val="22"/>
            <w:szCs w:val="22"/>
            <w:lang w:val="de-DE" w:eastAsia="de-DE"/>
          </w:rPr>
          <w:tab/>
        </w:r>
        <w:r w:rsidR="00173A27" w:rsidRPr="00984B70">
          <w:rPr>
            <w:rStyle w:val="Hyperlink"/>
          </w:rPr>
          <w:t>Immunogenicity Assessments</w:t>
        </w:r>
        <w:r w:rsidR="00173A27">
          <w:rPr>
            <w:webHidden/>
          </w:rPr>
          <w:tab/>
        </w:r>
        <w:r w:rsidR="00173A27">
          <w:rPr>
            <w:webHidden/>
          </w:rPr>
          <w:fldChar w:fldCharType="begin"/>
        </w:r>
        <w:r w:rsidR="00173A27">
          <w:rPr>
            <w:webHidden/>
          </w:rPr>
          <w:instrText xml:space="preserve"> PAGEREF _Toc77839779 \h </w:instrText>
        </w:r>
        <w:r w:rsidR="00173A27">
          <w:rPr>
            <w:webHidden/>
          </w:rPr>
        </w:r>
        <w:r w:rsidR="00173A27">
          <w:rPr>
            <w:webHidden/>
          </w:rPr>
          <w:fldChar w:fldCharType="separate"/>
        </w:r>
        <w:r w:rsidR="00173A27">
          <w:rPr>
            <w:webHidden/>
          </w:rPr>
          <w:t>40</w:t>
        </w:r>
        <w:r w:rsidR="00173A27">
          <w:rPr>
            <w:webHidden/>
          </w:rPr>
          <w:fldChar w:fldCharType="end"/>
        </w:r>
      </w:hyperlink>
    </w:p>
    <w:p w14:paraId="4B98E13D" w14:textId="13C996CE" w:rsidR="00173A27" w:rsidRDefault="002E504A">
      <w:pPr>
        <w:pStyle w:val="TOC1"/>
        <w:rPr>
          <w:rFonts w:asciiTheme="minorHAnsi" w:eastAsiaTheme="minorEastAsia" w:hAnsiTheme="minorHAnsi" w:cstheme="minorBidi"/>
          <w:sz w:val="22"/>
          <w:szCs w:val="22"/>
          <w:lang w:val="de-DE" w:eastAsia="de-DE"/>
        </w:rPr>
      </w:pPr>
      <w:hyperlink w:anchor="_Toc77839780" w:history="1">
        <w:r w:rsidR="00173A27" w:rsidRPr="00984B70">
          <w:rPr>
            <w:rStyle w:val="Hyperlink"/>
          </w:rPr>
          <w:t>9</w:t>
        </w:r>
        <w:r w:rsidR="00173A27">
          <w:rPr>
            <w:rFonts w:asciiTheme="minorHAnsi" w:eastAsiaTheme="minorEastAsia" w:hAnsiTheme="minorHAnsi" w:cstheme="minorBidi"/>
            <w:sz w:val="22"/>
            <w:szCs w:val="22"/>
            <w:lang w:val="de-DE" w:eastAsia="de-DE"/>
          </w:rPr>
          <w:tab/>
        </w:r>
        <w:r w:rsidR="00173A27" w:rsidRPr="00984B70">
          <w:rPr>
            <w:rStyle w:val="Hyperlink"/>
          </w:rPr>
          <w:t>Statistical Considerations</w:t>
        </w:r>
        <w:r w:rsidR="00173A27">
          <w:rPr>
            <w:webHidden/>
          </w:rPr>
          <w:tab/>
        </w:r>
        <w:r w:rsidR="00173A27">
          <w:rPr>
            <w:webHidden/>
          </w:rPr>
          <w:fldChar w:fldCharType="begin"/>
        </w:r>
        <w:r w:rsidR="00173A27">
          <w:rPr>
            <w:webHidden/>
          </w:rPr>
          <w:instrText xml:space="preserve"> PAGEREF _Toc77839780 \h </w:instrText>
        </w:r>
        <w:r w:rsidR="00173A27">
          <w:rPr>
            <w:webHidden/>
          </w:rPr>
        </w:r>
        <w:r w:rsidR="00173A27">
          <w:rPr>
            <w:webHidden/>
          </w:rPr>
          <w:fldChar w:fldCharType="separate"/>
        </w:r>
        <w:r w:rsidR="00173A27">
          <w:rPr>
            <w:webHidden/>
          </w:rPr>
          <w:t>40</w:t>
        </w:r>
        <w:r w:rsidR="00173A27">
          <w:rPr>
            <w:webHidden/>
          </w:rPr>
          <w:fldChar w:fldCharType="end"/>
        </w:r>
      </w:hyperlink>
    </w:p>
    <w:p w14:paraId="4305B036" w14:textId="02297AAB" w:rsidR="00173A27" w:rsidRDefault="002E504A">
      <w:pPr>
        <w:pStyle w:val="TOC2"/>
        <w:rPr>
          <w:rFonts w:asciiTheme="minorHAnsi" w:eastAsiaTheme="minorEastAsia" w:hAnsiTheme="minorHAnsi" w:cstheme="minorBidi"/>
          <w:sz w:val="22"/>
          <w:szCs w:val="22"/>
          <w:lang w:val="de-DE" w:eastAsia="de-DE"/>
        </w:rPr>
      </w:pPr>
      <w:hyperlink w:anchor="_Toc77839781" w:history="1">
        <w:r w:rsidR="00173A27" w:rsidRPr="00984B70">
          <w:rPr>
            <w:rStyle w:val="Hyperlink"/>
          </w:rPr>
          <w:t>9.1</w:t>
        </w:r>
        <w:r w:rsidR="00173A27">
          <w:rPr>
            <w:rFonts w:asciiTheme="minorHAnsi" w:eastAsiaTheme="minorEastAsia" w:hAnsiTheme="minorHAnsi" w:cstheme="minorBidi"/>
            <w:sz w:val="22"/>
            <w:szCs w:val="22"/>
            <w:lang w:val="de-DE" w:eastAsia="de-DE"/>
          </w:rPr>
          <w:tab/>
        </w:r>
        <w:r w:rsidR="00173A27" w:rsidRPr="00984B70">
          <w:rPr>
            <w:rStyle w:val="Hyperlink"/>
          </w:rPr>
          <w:t>Statistical Hypotheses</w:t>
        </w:r>
        <w:r w:rsidR="00173A27">
          <w:rPr>
            <w:webHidden/>
          </w:rPr>
          <w:tab/>
        </w:r>
        <w:r w:rsidR="00173A27">
          <w:rPr>
            <w:webHidden/>
          </w:rPr>
          <w:fldChar w:fldCharType="begin"/>
        </w:r>
        <w:r w:rsidR="00173A27">
          <w:rPr>
            <w:webHidden/>
          </w:rPr>
          <w:instrText xml:space="preserve"> PAGEREF _Toc77839781 \h </w:instrText>
        </w:r>
        <w:r w:rsidR="00173A27">
          <w:rPr>
            <w:webHidden/>
          </w:rPr>
        </w:r>
        <w:r w:rsidR="00173A27">
          <w:rPr>
            <w:webHidden/>
          </w:rPr>
          <w:fldChar w:fldCharType="separate"/>
        </w:r>
        <w:r w:rsidR="00173A27">
          <w:rPr>
            <w:webHidden/>
          </w:rPr>
          <w:t>40</w:t>
        </w:r>
        <w:r w:rsidR="00173A27">
          <w:rPr>
            <w:webHidden/>
          </w:rPr>
          <w:fldChar w:fldCharType="end"/>
        </w:r>
      </w:hyperlink>
    </w:p>
    <w:p w14:paraId="4C45D34B" w14:textId="0D2BC0B4" w:rsidR="00173A27" w:rsidRDefault="002E504A">
      <w:pPr>
        <w:pStyle w:val="TOC2"/>
        <w:rPr>
          <w:rFonts w:asciiTheme="minorHAnsi" w:eastAsiaTheme="minorEastAsia" w:hAnsiTheme="minorHAnsi" w:cstheme="minorBidi"/>
          <w:sz w:val="22"/>
          <w:szCs w:val="22"/>
          <w:lang w:val="de-DE" w:eastAsia="de-DE"/>
        </w:rPr>
      </w:pPr>
      <w:hyperlink w:anchor="_Toc77839782" w:history="1">
        <w:r w:rsidR="00173A27" w:rsidRPr="00984B70">
          <w:rPr>
            <w:rStyle w:val="Hyperlink"/>
          </w:rPr>
          <w:t>9.2</w:t>
        </w:r>
        <w:r w:rsidR="00173A27">
          <w:rPr>
            <w:rFonts w:asciiTheme="minorHAnsi" w:eastAsiaTheme="minorEastAsia" w:hAnsiTheme="minorHAnsi" w:cstheme="minorBidi"/>
            <w:sz w:val="22"/>
            <w:szCs w:val="22"/>
            <w:lang w:val="de-DE" w:eastAsia="de-DE"/>
          </w:rPr>
          <w:tab/>
        </w:r>
        <w:r w:rsidR="00173A27" w:rsidRPr="00984B70">
          <w:rPr>
            <w:rStyle w:val="Hyperlink"/>
          </w:rPr>
          <w:t>Sample Size Determination</w:t>
        </w:r>
        <w:r w:rsidR="00173A27">
          <w:rPr>
            <w:webHidden/>
          </w:rPr>
          <w:tab/>
        </w:r>
        <w:r w:rsidR="00173A27">
          <w:rPr>
            <w:webHidden/>
          </w:rPr>
          <w:fldChar w:fldCharType="begin"/>
        </w:r>
        <w:r w:rsidR="00173A27">
          <w:rPr>
            <w:webHidden/>
          </w:rPr>
          <w:instrText xml:space="preserve"> PAGEREF _Toc77839782 \h </w:instrText>
        </w:r>
        <w:r w:rsidR="00173A27">
          <w:rPr>
            <w:webHidden/>
          </w:rPr>
        </w:r>
        <w:r w:rsidR="00173A27">
          <w:rPr>
            <w:webHidden/>
          </w:rPr>
          <w:fldChar w:fldCharType="separate"/>
        </w:r>
        <w:r w:rsidR="00173A27">
          <w:rPr>
            <w:webHidden/>
          </w:rPr>
          <w:t>40</w:t>
        </w:r>
        <w:r w:rsidR="00173A27">
          <w:rPr>
            <w:webHidden/>
          </w:rPr>
          <w:fldChar w:fldCharType="end"/>
        </w:r>
      </w:hyperlink>
    </w:p>
    <w:p w14:paraId="2DC7CF9F" w14:textId="51C4B34A" w:rsidR="00173A27" w:rsidRDefault="002E504A">
      <w:pPr>
        <w:pStyle w:val="TOC2"/>
        <w:rPr>
          <w:rFonts w:asciiTheme="minorHAnsi" w:eastAsiaTheme="minorEastAsia" w:hAnsiTheme="minorHAnsi" w:cstheme="minorBidi"/>
          <w:sz w:val="22"/>
          <w:szCs w:val="22"/>
          <w:lang w:val="de-DE" w:eastAsia="de-DE"/>
        </w:rPr>
      </w:pPr>
      <w:hyperlink w:anchor="_Toc77839783" w:history="1">
        <w:r w:rsidR="00173A27" w:rsidRPr="00984B70">
          <w:rPr>
            <w:rStyle w:val="Hyperlink"/>
          </w:rPr>
          <w:t>9.3</w:t>
        </w:r>
        <w:r w:rsidR="00173A27">
          <w:rPr>
            <w:rFonts w:asciiTheme="minorHAnsi" w:eastAsiaTheme="minorEastAsia" w:hAnsiTheme="minorHAnsi" w:cstheme="minorBidi"/>
            <w:sz w:val="22"/>
            <w:szCs w:val="22"/>
            <w:lang w:val="de-DE" w:eastAsia="de-DE"/>
          </w:rPr>
          <w:tab/>
        </w:r>
        <w:r w:rsidR="00173A27" w:rsidRPr="00984B70">
          <w:rPr>
            <w:rStyle w:val="Hyperlink"/>
          </w:rPr>
          <w:t>Analyses Sets</w:t>
        </w:r>
        <w:r w:rsidR="00173A27">
          <w:rPr>
            <w:webHidden/>
          </w:rPr>
          <w:tab/>
        </w:r>
        <w:r w:rsidR="00173A27">
          <w:rPr>
            <w:webHidden/>
          </w:rPr>
          <w:fldChar w:fldCharType="begin"/>
        </w:r>
        <w:r w:rsidR="00173A27">
          <w:rPr>
            <w:webHidden/>
          </w:rPr>
          <w:instrText xml:space="preserve"> PAGEREF _Toc77839783 \h </w:instrText>
        </w:r>
        <w:r w:rsidR="00173A27">
          <w:rPr>
            <w:webHidden/>
          </w:rPr>
        </w:r>
        <w:r w:rsidR="00173A27">
          <w:rPr>
            <w:webHidden/>
          </w:rPr>
          <w:fldChar w:fldCharType="separate"/>
        </w:r>
        <w:r w:rsidR="00173A27">
          <w:rPr>
            <w:webHidden/>
          </w:rPr>
          <w:t>42</w:t>
        </w:r>
        <w:r w:rsidR="00173A27">
          <w:rPr>
            <w:webHidden/>
          </w:rPr>
          <w:fldChar w:fldCharType="end"/>
        </w:r>
      </w:hyperlink>
    </w:p>
    <w:p w14:paraId="6574C566" w14:textId="759C748D" w:rsidR="00173A27" w:rsidRDefault="002E504A">
      <w:pPr>
        <w:pStyle w:val="TOC2"/>
        <w:rPr>
          <w:rFonts w:asciiTheme="minorHAnsi" w:eastAsiaTheme="minorEastAsia" w:hAnsiTheme="minorHAnsi" w:cstheme="minorBidi"/>
          <w:sz w:val="22"/>
          <w:szCs w:val="22"/>
          <w:lang w:val="de-DE" w:eastAsia="de-DE"/>
        </w:rPr>
      </w:pPr>
      <w:hyperlink w:anchor="_Toc77839784" w:history="1">
        <w:r w:rsidR="00173A27" w:rsidRPr="00984B70">
          <w:rPr>
            <w:rStyle w:val="Hyperlink"/>
          </w:rPr>
          <w:t>9.4</w:t>
        </w:r>
        <w:r w:rsidR="00173A27">
          <w:rPr>
            <w:rFonts w:asciiTheme="minorHAnsi" w:eastAsiaTheme="minorEastAsia" w:hAnsiTheme="minorHAnsi" w:cstheme="minorBidi"/>
            <w:sz w:val="22"/>
            <w:szCs w:val="22"/>
            <w:lang w:val="de-DE" w:eastAsia="de-DE"/>
          </w:rPr>
          <w:tab/>
        </w:r>
        <w:r w:rsidR="00173A27" w:rsidRPr="00984B70">
          <w:rPr>
            <w:rStyle w:val="Hyperlink"/>
          </w:rPr>
          <w:t>Statistical Analyses</w:t>
        </w:r>
        <w:r w:rsidR="00173A27">
          <w:rPr>
            <w:webHidden/>
          </w:rPr>
          <w:tab/>
        </w:r>
        <w:r w:rsidR="00173A27">
          <w:rPr>
            <w:webHidden/>
          </w:rPr>
          <w:fldChar w:fldCharType="begin"/>
        </w:r>
        <w:r w:rsidR="00173A27">
          <w:rPr>
            <w:webHidden/>
          </w:rPr>
          <w:instrText xml:space="preserve"> PAGEREF _Toc77839784 \h </w:instrText>
        </w:r>
        <w:r w:rsidR="00173A27">
          <w:rPr>
            <w:webHidden/>
          </w:rPr>
        </w:r>
        <w:r w:rsidR="00173A27">
          <w:rPr>
            <w:webHidden/>
          </w:rPr>
          <w:fldChar w:fldCharType="separate"/>
        </w:r>
        <w:r w:rsidR="00173A27">
          <w:rPr>
            <w:webHidden/>
          </w:rPr>
          <w:t>43</w:t>
        </w:r>
        <w:r w:rsidR="00173A27">
          <w:rPr>
            <w:webHidden/>
          </w:rPr>
          <w:fldChar w:fldCharType="end"/>
        </w:r>
      </w:hyperlink>
    </w:p>
    <w:p w14:paraId="4BC5D490" w14:textId="0213EF1E" w:rsidR="00173A27" w:rsidRDefault="002E504A">
      <w:pPr>
        <w:pStyle w:val="TOC3"/>
        <w:rPr>
          <w:rFonts w:asciiTheme="minorHAnsi" w:eastAsiaTheme="minorEastAsia" w:hAnsiTheme="minorHAnsi" w:cstheme="minorBidi"/>
          <w:sz w:val="22"/>
          <w:szCs w:val="22"/>
          <w:lang w:val="de-DE" w:eastAsia="de-DE"/>
        </w:rPr>
      </w:pPr>
      <w:hyperlink w:anchor="_Toc77839785" w:history="1">
        <w:r w:rsidR="00173A27" w:rsidRPr="00984B70">
          <w:rPr>
            <w:rStyle w:val="Hyperlink"/>
          </w:rPr>
          <w:t>9.4.1</w:t>
        </w:r>
        <w:r w:rsidR="00173A27">
          <w:rPr>
            <w:rFonts w:asciiTheme="minorHAnsi" w:eastAsiaTheme="minorEastAsia" w:hAnsiTheme="minorHAnsi" w:cstheme="minorBidi"/>
            <w:sz w:val="22"/>
            <w:szCs w:val="22"/>
            <w:lang w:val="de-DE" w:eastAsia="de-DE"/>
          </w:rPr>
          <w:tab/>
        </w:r>
        <w:r w:rsidR="00173A27" w:rsidRPr="00984B70">
          <w:rPr>
            <w:rStyle w:val="Hyperlink"/>
          </w:rPr>
          <w:t>Efficacy Analyses</w:t>
        </w:r>
        <w:r w:rsidR="00173A27">
          <w:rPr>
            <w:webHidden/>
          </w:rPr>
          <w:tab/>
        </w:r>
        <w:r w:rsidR="00173A27">
          <w:rPr>
            <w:webHidden/>
          </w:rPr>
          <w:fldChar w:fldCharType="begin"/>
        </w:r>
        <w:r w:rsidR="00173A27">
          <w:rPr>
            <w:webHidden/>
          </w:rPr>
          <w:instrText xml:space="preserve"> PAGEREF _Toc77839785 \h </w:instrText>
        </w:r>
        <w:r w:rsidR="00173A27">
          <w:rPr>
            <w:webHidden/>
          </w:rPr>
        </w:r>
        <w:r w:rsidR="00173A27">
          <w:rPr>
            <w:webHidden/>
          </w:rPr>
          <w:fldChar w:fldCharType="separate"/>
        </w:r>
        <w:r w:rsidR="00173A27">
          <w:rPr>
            <w:webHidden/>
          </w:rPr>
          <w:t>43</w:t>
        </w:r>
        <w:r w:rsidR="00173A27">
          <w:rPr>
            <w:webHidden/>
          </w:rPr>
          <w:fldChar w:fldCharType="end"/>
        </w:r>
      </w:hyperlink>
    </w:p>
    <w:p w14:paraId="7F787179" w14:textId="78C20635" w:rsidR="00173A27" w:rsidRDefault="002E504A">
      <w:pPr>
        <w:pStyle w:val="TOC3"/>
        <w:rPr>
          <w:rFonts w:asciiTheme="minorHAnsi" w:eastAsiaTheme="minorEastAsia" w:hAnsiTheme="minorHAnsi" w:cstheme="minorBidi"/>
          <w:sz w:val="22"/>
          <w:szCs w:val="22"/>
          <w:lang w:val="de-DE" w:eastAsia="de-DE"/>
        </w:rPr>
      </w:pPr>
      <w:hyperlink w:anchor="_Toc77839786" w:history="1">
        <w:r w:rsidR="00173A27" w:rsidRPr="00984B70">
          <w:rPr>
            <w:rStyle w:val="Hyperlink"/>
          </w:rPr>
          <w:t>9.4.2</w:t>
        </w:r>
        <w:r w:rsidR="00173A27">
          <w:rPr>
            <w:rFonts w:asciiTheme="minorHAnsi" w:eastAsiaTheme="minorEastAsia" w:hAnsiTheme="minorHAnsi" w:cstheme="minorBidi"/>
            <w:sz w:val="22"/>
            <w:szCs w:val="22"/>
            <w:lang w:val="de-DE" w:eastAsia="de-DE"/>
          </w:rPr>
          <w:tab/>
        </w:r>
        <w:r w:rsidR="00173A27" w:rsidRPr="00984B70">
          <w:rPr>
            <w:rStyle w:val="Hyperlink"/>
          </w:rPr>
          <w:t>Safety Analyses</w:t>
        </w:r>
        <w:r w:rsidR="00173A27">
          <w:rPr>
            <w:webHidden/>
          </w:rPr>
          <w:tab/>
        </w:r>
        <w:r w:rsidR="00173A27">
          <w:rPr>
            <w:webHidden/>
          </w:rPr>
          <w:fldChar w:fldCharType="begin"/>
        </w:r>
        <w:r w:rsidR="00173A27">
          <w:rPr>
            <w:webHidden/>
          </w:rPr>
          <w:instrText xml:space="preserve"> PAGEREF _Toc77839786 \h </w:instrText>
        </w:r>
        <w:r w:rsidR="00173A27">
          <w:rPr>
            <w:webHidden/>
          </w:rPr>
        </w:r>
        <w:r w:rsidR="00173A27">
          <w:rPr>
            <w:webHidden/>
          </w:rPr>
          <w:fldChar w:fldCharType="separate"/>
        </w:r>
        <w:r w:rsidR="00173A27">
          <w:rPr>
            <w:webHidden/>
          </w:rPr>
          <w:t>44</w:t>
        </w:r>
        <w:r w:rsidR="00173A27">
          <w:rPr>
            <w:webHidden/>
          </w:rPr>
          <w:fldChar w:fldCharType="end"/>
        </w:r>
      </w:hyperlink>
    </w:p>
    <w:p w14:paraId="4AA63501" w14:textId="64242AD5" w:rsidR="00173A27" w:rsidRDefault="002E504A">
      <w:pPr>
        <w:pStyle w:val="TOC3"/>
        <w:rPr>
          <w:rFonts w:asciiTheme="minorHAnsi" w:eastAsiaTheme="minorEastAsia" w:hAnsiTheme="minorHAnsi" w:cstheme="minorBidi"/>
          <w:sz w:val="22"/>
          <w:szCs w:val="22"/>
          <w:lang w:val="de-DE" w:eastAsia="de-DE"/>
        </w:rPr>
      </w:pPr>
      <w:hyperlink w:anchor="_Toc77839787" w:history="1">
        <w:r w:rsidR="00173A27" w:rsidRPr="00984B70">
          <w:rPr>
            <w:rStyle w:val="Hyperlink"/>
          </w:rPr>
          <w:t>9.4.3</w:t>
        </w:r>
        <w:r w:rsidR="00173A27">
          <w:rPr>
            <w:rFonts w:asciiTheme="minorHAnsi" w:eastAsiaTheme="minorEastAsia" w:hAnsiTheme="minorHAnsi" w:cstheme="minorBidi"/>
            <w:sz w:val="22"/>
            <w:szCs w:val="22"/>
            <w:lang w:val="de-DE" w:eastAsia="de-DE"/>
          </w:rPr>
          <w:tab/>
        </w:r>
        <w:r w:rsidR="00173A27" w:rsidRPr="00984B70">
          <w:rPr>
            <w:rStyle w:val="Hyperlink"/>
          </w:rPr>
          <w:t>Other Analyses</w:t>
        </w:r>
        <w:r w:rsidR="00173A27">
          <w:rPr>
            <w:webHidden/>
          </w:rPr>
          <w:tab/>
        </w:r>
        <w:r w:rsidR="00173A27">
          <w:rPr>
            <w:webHidden/>
          </w:rPr>
          <w:fldChar w:fldCharType="begin"/>
        </w:r>
        <w:r w:rsidR="00173A27">
          <w:rPr>
            <w:webHidden/>
          </w:rPr>
          <w:instrText xml:space="preserve"> PAGEREF _Toc77839787 \h </w:instrText>
        </w:r>
        <w:r w:rsidR="00173A27">
          <w:rPr>
            <w:webHidden/>
          </w:rPr>
        </w:r>
        <w:r w:rsidR="00173A27">
          <w:rPr>
            <w:webHidden/>
          </w:rPr>
          <w:fldChar w:fldCharType="separate"/>
        </w:r>
        <w:r w:rsidR="00173A27">
          <w:rPr>
            <w:webHidden/>
          </w:rPr>
          <w:t>44</w:t>
        </w:r>
        <w:r w:rsidR="00173A27">
          <w:rPr>
            <w:webHidden/>
          </w:rPr>
          <w:fldChar w:fldCharType="end"/>
        </w:r>
      </w:hyperlink>
    </w:p>
    <w:p w14:paraId="654C3F8D" w14:textId="0A8F1A60" w:rsidR="00173A27" w:rsidRDefault="002E504A">
      <w:pPr>
        <w:pStyle w:val="TOC3"/>
        <w:rPr>
          <w:rFonts w:asciiTheme="minorHAnsi" w:eastAsiaTheme="minorEastAsia" w:hAnsiTheme="minorHAnsi" w:cstheme="minorBidi"/>
          <w:sz w:val="22"/>
          <w:szCs w:val="22"/>
          <w:lang w:val="de-DE" w:eastAsia="de-DE"/>
        </w:rPr>
      </w:pPr>
      <w:hyperlink w:anchor="_Toc77839788" w:history="1">
        <w:r w:rsidR="00173A27" w:rsidRPr="00984B70">
          <w:rPr>
            <w:rStyle w:val="Hyperlink"/>
          </w:rPr>
          <w:t>9.4.4</w:t>
        </w:r>
        <w:r w:rsidR="00173A27">
          <w:rPr>
            <w:rFonts w:asciiTheme="minorHAnsi" w:eastAsiaTheme="minorEastAsia" w:hAnsiTheme="minorHAnsi" w:cstheme="minorBidi"/>
            <w:sz w:val="22"/>
            <w:szCs w:val="22"/>
            <w:lang w:val="de-DE" w:eastAsia="de-DE"/>
          </w:rPr>
          <w:tab/>
        </w:r>
        <w:r w:rsidR="00173A27" w:rsidRPr="00984B70">
          <w:rPr>
            <w:rStyle w:val="Hyperlink"/>
          </w:rPr>
          <w:t>Sequence of Analyses</w:t>
        </w:r>
        <w:r w:rsidR="00173A27">
          <w:rPr>
            <w:webHidden/>
          </w:rPr>
          <w:tab/>
        </w:r>
        <w:r w:rsidR="00173A27">
          <w:rPr>
            <w:webHidden/>
          </w:rPr>
          <w:fldChar w:fldCharType="begin"/>
        </w:r>
        <w:r w:rsidR="00173A27">
          <w:rPr>
            <w:webHidden/>
          </w:rPr>
          <w:instrText xml:space="preserve"> PAGEREF _Toc77839788 \h </w:instrText>
        </w:r>
        <w:r w:rsidR="00173A27">
          <w:rPr>
            <w:webHidden/>
          </w:rPr>
        </w:r>
        <w:r w:rsidR="00173A27">
          <w:rPr>
            <w:webHidden/>
          </w:rPr>
          <w:fldChar w:fldCharType="separate"/>
        </w:r>
        <w:r w:rsidR="00173A27">
          <w:rPr>
            <w:webHidden/>
          </w:rPr>
          <w:t>45</w:t>
        </w:r>
        <w:r w:rsidR="00173A27">
          <w:rPr>
            <w:webHidden/>
          </w:rPr>
          <w:fldChar w:fldCharType="end"/>
        </w:r>
      </w:hyperlink>
    </w:p>
    <w:p w14:paraId="392EFC69" w14:textId="42CB0FFF" w:rsidR="00173A27" w:rsidRDefault="002E504A">
      <w:pPr>
        <w:pStyle w:val="TOC1"/>
        <w:rPr>
          <w:rFonts w:asciiTheme="minorHAnsi" w:eastAsiaTheme="minorEastAsia" w:hAnsiTheme="minorHAnsi" w:cstheme="minorBidi"/>
          <w:sz w:val="22"/>
          <w:szCs w:val="22"/>
          <w:lang w:val="de-DE" w:eastAsia="de-DE"/>
        </w:rPr>
      </w:pPr>
      <w:hyperlink w:anchor="_Toc77839789" w:history="1">
        <w:r w:rsidR="00173A27" w:rsidRPr="00984B70">
          <w:rPr>
            <w:rStyle w:val="Hyperlink"/>
          </w:rPr>
          <w:t>10</w:t>
        </w:r>
        <w:r w:rsidR="00173A27">
          <w:rPr>
            <w:rFonts w:asciiTheme="minorHAnsi" w:eastAsiaTheme="minorEastAsia" w:hAnsiTheme="minorHAnsi" w:cstheme="minorBidi"/>
            <w:sz w:val="22"/>
            <w:szCs w:val="22"/>
            <w:lang w:val="de-DE" w:eastAsia="de-DE"/>
          </w:rPr>
          <w:tab/>
        </w:r>
        <w:r w:rsidR="00173A27" w:rsidRPr="00984B70">
          <w:rPr>
            <w:rStyle w:val="Hyperlink"/>
          </w:rPr>
          <w:t>References</w:t>
        </w:r>
        <w:r w:rsidR="00173A27">
          <w:rPr>
            <w:webHidden/>
          </w:rPr>
          <w:tab/>
        </w:r>
        <w:r w:rsidR="00173A27">
          <w:rPr>
            <w:webHidden/>
          </w:rPr>
          <w:fldChar w:fldCharType="begin"/>
        </w:r>
        <w:r w:rsidR="00173A27">
          <w:rPr>
            <w:webHidden/>
          </w:rPr>
          <w:instrText xml:space="preserve"> PAGEREF _Toc77839789 \h </w:instrText>
        </w:r>
        <w:r w:rsidR="00173A27">
          <w:rPr>
            <w:webHidden/>
          </w:rPr>
        </w:r>
        <w:r w:rsidR="00173A27">
          <w:rPr>
            <w:webHidden/>
          </w:rPr>
          <w:fldChar w:fldCharType="separate"/>
        </w:r>
        <w:r w:rsidR="00173A27">
          <w:rPr>
            <w:webHidden/>
          </w:rPr>
          <w:t>46</w:t>
        </w:r>
        <w:r w:rsidR="00173A27">
          <w:rPr>
            <w:webHidden/>
          </w:rPr>
          <w:fldChar w:fldCharType="end"/>
        </w:r>
      </w:hyperlink>
    </w:p>
    <w:p w14:paraId="5A96091B" w14:textId="6EF0E51A" w:rsidR="00173A27" w:rsidRDefault="002E504A">
      <w:pPr>
        <w:pStyle w:val="TOC1"/>
        <w:rPr>
          <w:rFonts w:asciiTheme="minorHAnsi" w:eastAsiaTheme="minorEastAsia" w:hAnsiTheme="minorHAnsi" w:cstheme="minorBidi"/>
          <w:sz w:val="22"/>
          <w:szCs w:val="22"/>
          <w:lang w:val="de-DE" w:eastAsia="de-DE"/>
        </w:rPr>
      </w:pPr>
      <w:hyperlink w:anchor="_Toc77839790" w:history="1">
        <w:r w:rsidR="00173A27" w:rsidRPr="00984B70">
          <w:rPr>
            <w:rStyle w:val="Hyperlink"/>
          </w:rPr>
          <w:t>11</w:t>
        </w:r>
        <w:r w:rsidR="00173A27">
          <w:rPr>
            <w:rFonts w:asciiTheme="minorHAnsi" w:eastAsiaTheme="minorEastAsia" w:hAnsiTheme="minorHAnsi" w:cstheme="minorBidi"/>
            <w:sz w:val="22"/>
            <w:szCs w:val="22"/>
            <w:lang w:val="de-DE" w:eastAsia="de-DE"/>
          </w:rPr>
          <w:tab/>
        </w:r>
        <w:r w:rsidR="00173A27" w:rsidRPr="00984B70">
          <w:rPr>
            <w:rStyle w:val="Hyperlink"/>
          </w:rPr>
          <w:t>Appendices</w:t>
        </w:r>
        <w:r w:rsidR="00173A27">
          <w:rPr>
            <w:webHidden/>
          </w:rPr>
          <w:tab/>
        </w:r>
        <w:r w:rsidR="00173A27">
          <w:rPr>
            <w:webHidden/>
          </w:rPr>
          <w:fldChar w:fldCharType="begin"/>
        </w:r>
        <w:r w:rsidR="00173A27">
          <w:rPr>
            <w:webHidden/>
          </w:rPr>
          <w:instrText xml:space="preserve"> PAGEREF _Toc77839790 \h </w:instrText>
        </w:r>
        <w:r w:rsidR="00173A27">
          <w:rPr>
            <w:webHidden/>
          </w:rPr>
        </w:r>
        <w:r w:rsidR="00173A27">
          <w:rPr>
            <w:webHidden/>
          </w:rPr>
          <w:fldChar w:fldCharType="separate"/>
        </w:r>
        <w:r w:rsidR="00173A27">
          <w:rPr>
            <w:webHidden/>
          </w:rPr>
          <w:t>48</w:t>
        </w:r>
        <w:r w:rsidR="00173A27">
          <w:rPr>
            <w:webHidden/>
          </w:rPr>
          <w:fldChar w:fldCharType="end"/>
        </w:r>
      </w:hyperlink>
    </w:p>
    <w:p w14:paraId="48E83D28" w14:textId="02654BE2" w:rsidR="00173A27" w:rsidRDefault="002E504A">
      <w:pPr>
        <w:pStyle w:val="TOC1"/>
        <w:rPr>
          <w:rFonts w:asciiTheme="minorHAnsi" w:eastAsiaTheme="minorEastAsia" w:hAnsiTheme="minorHAnsi" w:cstheme="minorBidi"/>
          <w:sz w:val="22"/>
          <w:szCs w:val="22"/>
          <w:lang w:val="de-DE" w:eastAsia="de-DE"/>
        </w:rPr>
      </w:pPr>
      <w:hyperlink w:anchor="_Toc77839791" w:history="1">
        <w:r w:rsidR="00173A27" w:rsidRPr="00984B70">
          <w:rPr>
            <w:rStyle w:val="Hyperlink"/>
          </w:rPr>
          <w:t>Appendix 1</w:t>
        </w:r>
        <w:r w:rsidR="00173A27">
          <w:rPr>
            <w:rFonts w:asciiTheme="minorHAnsi" w:eastAsiaTheme="minorEastAsia" w:hAnsiTheme="minorHAnsi" w:cstheme="minorBidi"/>
            <w:sz w:val="22"/>
            <w:szCs w:val="22"/>
            <w:lang w:val="de-DE" w:eastAsia="de-DE"/>
          </w:rPr>
          <w:tab/>
        </w:r>
        <w:r w:rsidR="00173A27" w:rsidRPr="00984B70">
          <w:rPr>
            <w:rStyle w:val="Hyperlink"/>
          </w:rPr>
          <w:t>Abbreviations</w:t>
        </w:r>
        <w:r w:rsidR="00173A27">
          <w:rPr>
            <w:webHidden/>
          </w:rPr>
          <w:tab/>
        </w:r>
        <w:r w:rsidR="00173A27">
          <w:rPr>
            <w:webHidden/>
          </w:rPr>
          <w:fldChar w:fldCharType="begin"/>
        </w:r>
        <w:r w:rsidR="00173A27">
          <w:rPr>
            <w:webHidden/>
          </w:rPr>
          <w:instrText xml:space="preserve"> PAGEREF _Toc77839791 \h </w:instrText>
        </w:r>
        <w:r w:rsidR="00173A27">
          <w:rPr>
            <w:webHidden/>
          </w:rPr>
        </w:r>
        <w:r w:rsidR="00173A27">
          <w:rPr>
            <w:webHidden/>
          </w:rPr>
          <w:fldChar w:fldCharType="separate"/>
        </w:r>
        <w:r w:rsidR="00173A27">
          <w:rPr>
            <w:webHidden/>
          </w:rPr>
          <w:t>49</w:t>
        </w:r>
        <w:r w:rsidR="00173A27">
          <w:rPr>
            <w:webHidden/>
          </w:rPr>
          <w:fldChar w:fldCharType="end"/>
        </w:r>
      </w:hyperlink>
    </w:p>
    <w:p w14:paraId="107EF409" w14:textId="2D405E27" w:rsidR="00173A27" w:rsidRDefault="002E504A">
      <w:pPr>
        <w:pStyle w:val="TOC1"/>
        <w:rPr>
          <w:rFonts w:asciiTheme="minorHAnsi" w:eastAsiaTheme="minorEastAsia" w:hAnsiTheme="minorHAnsi" w:cstheme="minorBidi"/>
          <w:sz w:val="22"/>
          <w:szCs w:val="22"/>
          <w:lang w:val="de-DE" w:eastAsia="de-DE"/>
        </w:rPr>
      </w:pPr>
      <w:hyperlink w:anchor="_Toc77839792" w:history="1">
        <w:r w:rsidR="00173A27" w:rsidRPr="00984B70">
          <w:rPr>
            <w:rStyle w:val="Hyperlink"/>
          </w:rPr>
          <w:t>Appendix 2</w:t>
        </w:r>
        <w:r w:rsidR="00173A27">
          <w:rPr>
            <w:rFonts w:asciiTheme="minorHAnsi" w:eastAsiaTheme="minorEastAsia" w:hAnsiTheme="minorHAnsi" w:cstheme="minorBidi"/>
            <w:sz w:val="22"/>
            <w:szCs w:val="22"/>
            <w:lang w:val="de-DE" w:eastAsia="de-DE"/>
          </w:rPr>
          <w:tab/>
        </w:r>
        <w:r w:rsidR="00173A27" w:rsidRPr="00984B70">
          <w:rPr>
            <w:rStyle w:val="Hyperlink"/>
          </w:rPr>
          <w:t>Study Governance</w:t>
        </w:r>
        <w:r w:rsidR="00173A27">
          <w:rPr>
            <w:webHidden/>
          </w:rPr>
          <w:tab/>
        </w:r>
        <w:r w:rsidR="00173A27">
          <w:rPr>
            <w:webHidden/>
          </w:rPr>
          <w:fldChar w:fldCharType="begin"/>
        </w:r>
        <w:r w:rsidR="00173A27">
          <w:rPr>
            <w:webHidden/>
          </w:rPr>
          <w:instrText xml:space="preserve"> PAGEREF _Toc77839792 \h </w:instrText>
        </w:r>
        <w:r w:rsidR="00173A27">
          <w:rPr>
            <w:webHidden/>
          </w:rPr>
        </w:r>
        <w:r w:rsidR="00173A27">
          <w:rPr>
            <w:webHidden/>
          </w:rPr>
          <w:fldChar w:fldCharType="separate"/>
        </w:r>
        <w:r w:rsidR="00173A27">
          <w:rPr>
            <w:webHidden/>
          </w:rPr>
          <w:t>52</w:t>
        </w:r>
        <w:r w:rsidR="00173A27">
          <w:rPr>
            <w:webHidden/>
          </w:rPr>
          <w:fldChar w:fldCharType="end"/>
        </w:r>
      </w:hyperlink>
    </w:p>
    <w:p w14:paraId="7164C233" w14:textId="2CD4D831" w:rsidR="00173A27" w:rsidRDefault="002E504A">
      <w:pPr>
        <w:pStyle w:val="TOC1"/>
        <w:rPr>
          <w:rFonts w:asciiTheme="minorHAnsi" w:eastAsiaTheme="minorEastAsia" w:hAnsiTheme="minorHAnsi" w:cstheme="minorBidi"/>
          <w:sz w:val="22"/>
          <w:szCs w:val="22"/>
          <w:lang w:val="de-DE" w:eastAsia="de-DE"/>
        </w:rPr>
      </w:pPr>
      <w:hyperlink w:anchor="_Toc77839793" w:history="1">
        <w:r w:rsidR="00173A27" w:rsidRPr="00984B70">
          <w:rPr>
            <w:rStyle w:val="Hyperlink"/>
          </w:rPr>
          <w:t>Appendix 3</w:t>
        </w:r>
        <w:r w:rsidR="00173A27">
          <w:rPr>
            <w:rFonts w:asciiTheme="minorHAnsi" w:eastAsiaTheme="minorEastAsia" w:hAnsiTheme="minorHAnsi" w:cstheme="minorBidi"/>
            <w:sz w:val="22"/>
            <w:szCs w:val="22"/>
            <w:lang w:val="de-DE" w:eastAsia="de-DE"/>
          </w:rPr>
          <w:tab/>
        </w:r>
        <w:r w:rsidR="00173A27" w:rsidRPr="00984B70">
          <w:rPr>
            <w:rStyle w:val="Hyperlink"/>
          </w:rPr>
          <w:t>Contraception and Barrier Requirements</w:t>
        </w:r>
        <w:r w:rsidR="00173A27">
          <w:rPr>
            <w:webHidden/>
          </w:rPr>
          <w:tab/>
        </w:r>
        <w:r w:rsidR="00173A27">
          <w:rPr>
            <w:webHidden/>
          </w:rPr>
          <w:fldChar w:fldCharType="begin"/>
        </w:r>
        <w:r w:rsidR="00173A27">
          <w:rPr>
            <w:webHidden/>
          </w:rPr>
          <w:instrText xml:space="preserve"> PAGEREF _Toc77839793 \h </w:instrText>
        </w:r>
        <w:r w:rsidR="00173A27">
          <w:rPr>
            <w:webHidden/>
          </w:rPr>
        </w:r>
        <w:r w:rsidR="00173A27">
          <w:rPr>
            <w:webHidden/>
          </w:rPr>
          <w:fldChar w:fldCharType="separate"/>
        </w:r>
        <w:r w:rsidR="00173A27">
          <w:rPr>
            <w:webHidden/>
          </w:rPr>
          <w:t>57</w:t>
        </w:r>
        <w:r w:rsidR="00173A27">
          <w:rPr>
            <w:webHidden/>
          </w:rPr>
          <w:fldChar w:fldCharType="end"/>
        </w:r>
      </w:hyperlink>
    </w:p>
    <w:p w14:paraId="417B22ED" w14:textId="39F4A9DC" w:rsidR="00173A27" w:rsidRDefault="002E504A">
      <w:pPr>
        <w:pStyle w:val="TOC1"/>
        <w:rPr>
          <w:rFonts w:asciiTheme="minorHAnsi" w:eastAsiaTheme="minorEastAsia" w:hAnsiTheme="minorHAnsi" w:cstheme="minorBidi"/>
          <w:sz w:val="22"/>
          <w:szCs w:val="22"/>
          <w:lang w:val="de-DE" w:eastAsia="de-DE"/>
        </w:rPr>
      </w:pPr>
      <w:hyperlink w:anchor="_Toc77839794" w:history="1">
        <w:r w:rsidR="00173A27" w:rsidRPr="00984B70">
          <w:rPr>
            <w:rStyle w:val="Hyperlink"/>
          </w:rPr>
          <w:t>Appendix 4</w:t>
        </w:r>
        <w:r w:rsidR="00173A27">
          <w:rPr>
            <w:rFonts w:asciiTheme="minorHAnsi" w:eastAsiaTheme="minorEastAsia" w:hAnsiTheme="minorHAnsi" w:cstheme="minorBidi"/>
            <w:sz w:val="22"/>
            <w:szCs w:val="22"/>
            <w:lang w:val="de-DE" w:eastAsia="de-DE"/>
          </w:rPr>
          <w:tab/>
        </w:r>
        <w:r w:rsidR="00173A27" w:rsidRPr="00984B70">
          <w:rPr>
            <w:rStyle w:val="Hyperlink"/>
          </w:rPr>
          <w:t>Adverse Events: Definitions and Procedures for Recording, Evaluating, Follow-up, and Reporting</w:t>
        </w:r>
        <w:r w:rsidR="00173A27">
          <w:rPr>
            <w:webHidden/>
          </w:rPr>
          <w:tab/>
        </w:r>
        <w:r w:rsidR="00173A27">
          <w:rPr>
            <w:webHidden/>
          </w:rPr>
          <w:fldChar w:fldCharType="begin"/>
        </w:r>
        <w:r w:rsidR="00173A27">
          <w:rPr>
            <w:webHidden/>
          </w:rPr>
          <w:instrText xml:space="preserve"> PAGEREF _Toc77839794 \h </w:instrText>
        </w:r>
        <w:r w:rsidR="00173A27">
          <w:rPr>
            <w:webHidden/>
          </w:rPr>
        </w:r>
        <w:r w:rsidR="00173A27">
          <w:rPr>
            <w:webHidden/>
          </w:rPr>
          <w:fldChar w:fldCharType="separate"/>
        </w:r>
        <w:r w:rsidR="00173A27">
          <w:rPr>
            <w:webHidden/>
          </w:rPr>
          <w:t>59</w:t>
        </w:r>
        <w:r w:rsidR="00173A27">
          <w:rPr>
            <w:webHidden/>
          </w:rPr>
          <w:fldChar w:fldCharType="end"/>
        </w:r>
      </w:hyperlink>
    </w:p>
    <w:p w14:paraId="2BF7B671" w14:textId="35DCC153" w:rsidR="00173A27" w:rsidRDefault="002E504A">
      <w:pPr>
        <w:pStyle w:val="TOC1"/>
        <w:rPr>
          <w:rFonts w:asciiTheme="minorHAnsi" w:eastAsiaTheme="minorEastAsia" w:hAnsiTheme="minorHAnsi" w:cstheme="minorBidi"/>
          <w:sz w:val="22"/>
          <w:szCs w:val="22"/>
          <w:lang w:val="de-DE" w:eastAsia="de-DE"/>
        </w:rPr>
      </w:pPr>
      <w:hyperlink w:anchor="_Toc77839795" w:history="1">
        <w:r w:rsidR="00173A27" w:rsidRPr="00984B70">
          <w:rPr>
            <w:rStyle w:val="Hyperlink"/>
          </w:rPr>
          <w:t>Appendix 5</w:t>
        </w:r>
        <w:r w:rsidR="00173A27">
          <w:rPr>
            <w:rFonts w:asciiTheme="minorHAnsi" w:eastAsiaTheme="minorEastAsia" w:hAnsiTheme="minorHAnsi" w:cstheme="minorBidi"/>
            <w:sz w:val="22"/>
            <w:szCs w:val="22"/>
            <w:lang w:val="de-DE" w:eastAsia="de-DE"/>
          </w:rPr>
          <w:tab/>
        </w:r>
        <w:r w:rsidR="00173A27" w:rsidRPr="00984B70">
          <w:rPr>
            <w:rStyle w:val="Hyperlink"/>
          </w:rPr>
          <w:t>Clinical Laboratory Tests</w:t>
        </w:r>
        <w:r w:rsidR="00173A27">
          <w:rPr>
            <w:webHidden/>
          </w:rPr>
          <w:tab/>
        </w:r>
        <w:r w:rsidR="00173A27">
          <w:rPr>
            <w:webHidden/>
          </w:rPr>
          <w:fldChar w:fldCharType="begin"/>
        </w:r>
        <w:r w:rsidR="00173A27">
          <w:rPr>
            <w:webHidden/>
          </w:rPr>
          <w:instrText xml:space="preserve"> PAGEREF _Toc77839795 \h </w:instrText>
        </w:r>
        <w:r w:rsidR="00173A27">
          <w:rPr>
            <w:webHidden/>
          </w:rPr>
        </w:r>
        <w:r w:rsidR="00173A27">
          <w:rPr>
            <w:webHidden/>
          </w:rPr>
          <w:fldChar w:fldCharType="separate"/>
        </w:r>
        <w:r w:rsidR="00173A27">
          <w:rPr>
            <w:webHidden/>
          </w:rPr>
          <w:t>65</w:t>
        </w:r>
        <w:r w:rsidR="00173A27">
          <w:rPr>
            <w:webHidden/>
          </w:rPr>
          <w:fldChar w:fldCharType="end"/>
        </w:r>
      </w:hyperlink>
    </w:p>
    <w:p w14:paraId="591EC672" w14:textId="58DFF75B" w:rsidR="00173A27" w:rsidRDefault="002E504A">
      <w:pPr>
        <w:pStyle w:val="TOC1"/>
        <w:rPr>
          <w:rFonts w:asciiTheme="minorHAnsi" w:eastAsiaTheme="minorEastAsia" w:hAnsiTheme="minorHAnsi" w:cstheme="minorBidi"/>
          <w:sz w:val="22"/>
          <w:szCs w:val="22"/>
          <w:lang w:val="de-DE" w:eastAsia="de-DE"/>
        </w:rPr>
      </w:pPr>
      <w:hyperlink w:anchor="_Toc77839796" w:history="1">
        <w:r w:rsidR="00173A27" w:rsidRPr="00984B70">
          <w:rPr>
            <w:rStyle w:val="Hyperlink"/>
          </w:rPr>
          <w:t>Appendix 6</w:t>
        </w:r>
        <w:r w:rsidR="00173A27">
          <w:rPr>
            <w:rFonts w:asciiTheme="minorHAnsi" w:eastAsiaTheme="minorEastAsia" w:hAnsiTheme="minorHAnsi" w:cstheme="minorBidi"/>
            <w:sz w:val="22"/>
            <w:szCs w:val="22"/>
            <w:lang w:val="de-DE" w:eastAsia="de-DE"/>
          </w:rPr>
          <w:tab/>
        </w:r>
        <w:r w:rsidR="00173A27" w:rsidRPr="00984B70">
          <w:rPr>
            <w:rStyle w:val="Hyperlink"/>
          </w:rPr>
          <w:t>Pharmacogenetics</w:t>
        </w:r>
        <w:r w:rsidR="00173A27">
          <w:rPr>
            <w:webHidden/>
          </w:rPr>
          <w:tab/>
        </w:r>
        <w:r w:rsidR="00173A27">
          <w:rPr>
            <w:webHidden/>
          </w:rPr>
          <w:fldChar w:fldCharType="begin"/>
        </w:r>
        <w:r w:rsidR="00173A27">
          <w:rPr>
            <w:webHidden/>
          </w:rPr>
          <w:instrText xml:space="preserve"> PAGEREF _Toc77839796 \h </w:instrText>
        </w:r>
        <w:r w:rsidR="00173A27">
          <w:rPr>
            <w:webHidden/>
          </w:rPr>
        </w:r>
        <w:r w:rsidR="00173A27">
          <w:rPr>
            <w:webHidden/>
          </w:rPr>
          <w:fldChar w:fldCharType="separate"/>
        </w:r>
        <w:r w:rsidR="00173A27">
          <w:rPr>
            <w:webHidden/>
          </w:rPr>
          <w:t>66</w:t>
        </w:r>
        <w:r w:rsidR="00173A27">
          <w:rPr>
            <w:webHidden/>
          </w:rPr>
          <w:fldChar w:fldCharType="end"/>
        </w:r>
      </w:hyperlink>
    </w:p>
    <w:p w14:paraId="0CAFE280" w14:textId="7EE9D079" w:rsidR="00173A27" w:rsidRDefault="002E504A">
      <w:pPr>
        <w:pStyle w:val="TOC1"/>
        <w:rPr>
          <w:rFonts w:asciiTheme="minorHAnsi" w:eastAsiaTheme="minorEastAsia" w:hAnsiTheme="minorHAnsi" w:cstheme="minorBidi"/>
          <w:sz w:val="22"/>
          <w:szCs w:val="22"/>
          <w:lang w:val="de-DE" w:eastAsia="de-DE"/>
        </w:rPr>
      </w:pPr>
      <w:hyperlink w:anchor="_Toc77839797" w:history="1">
        <w:r w:rsidR="00173A27" w:rsidRPr="00984B70">
          <w:rPr>
            <w:rStyle w:val="Hyperlink"/>
          </w:rPr>
          <w:t>Appendix 7</w:t>
        </w:r>
        <w:r w:rsidR="00173A27">
          <w:rPr>
            <w:rFonts w:asciiTheme="minorHAnsi" w:eastAsiaTheme="minorEastAsia" w:hAnsiTheme="minorHAnsi" w:cstheme="minorBidi"/>
            <w:sz w:val="22"/>
            <w:szCs w:val="22"/>
            <w:lang w:val="de-DE" w:eastAsia="de-DE"/>
          </w:rPr>
          <w:tab/>
        </w:r>
        <w:r w:rsidR="00173A27" w:rsidRPr="00984B70">
          <w:rPr>
            <w:rStyle w:val="Hyperlink"/>
          </w:rPr>
          <w:t>Sponsor Signature Page</w:t>
        </w:r>
        <w:r w:rsidR="00173A27">
          <w:rPr>
            <w:webHidden/>
          </w:rPr>
          <w:tab/>
        </w:r>
        <w:r w:rsidR="00173A27">
          <w:rPr>
            <w:webHidden/>
          </w:rPr>
          <w:fldChar w:fldCharType="begin"/>
        </w:r>
        <w:r w:rsidR="00173A27">
          <w:rPr>
            <w:webHidden/>
          </w:rPr>
          <w:instrText xml:space="preserve"> PAGEREF _Toc77839797 \h </w:instrText>
        </w:r>
        <w:r w:rsidR="00173A27">
          <w:rPr>
            <w:webHidden/>
          </w:rPr>
        </w:r>
        <w:r w:rsidR="00173A27">
          <w:rPr>
            <w:webHidden/>
          </w:rPr>
          <w:fldChar w:fldCharType="separate"/>
        </w:r>
        <w:r w:rsidR="00173A27">
          <w:rPr>
            <w:webHidden/>
          </w:rPr>
          <w:t>67</w:t>
        </w:r>
        <w:r w:rsidR="00173A27">
          <w:rPr>
            <w:webHidden/>
          </w:rPr>
          <w:fldChar w:fldCharType="end"/>
        </w:r>
      </w:hyperlink>
    </w:p>
    <w:p w14:paraId="52910F3B" w14:textId="48A92258" w:rsidR="00173A27" w:rsidRDefault="002E504A">
      <w:pPr>
        <w:pStyle w:val="TOC1"/>
        <w:rPr>
          <w:rFonts w:asciiTheme="minorHAnsi" w:eastAsiaTheme="minorEastAsia" w:hAnsiTheme="minorHAnsi" w:cstheme="minorBidi"/>
          <w:sz w:val="22"/>
          <w:szCs w:val="22"/>
          <w:lang w:val="de-DE" w:eastAsia="de-DE"/>
        </w:rPr>
      </w:pPr>
      <w:hyperlink w:anchor="_Toc77839798" w:history="1">
        <w:r w:rsidR="00173A27" w:rsidRPr="00984B70">
          <w:rPr>
            <w:rStyle w:val="Hyperlink"/>
          </w:rPr>
          <w:t>Appendix 8</w:t>
        </w:r>
        <w:r w:rsidR="00173A27">
          <w:rPr>
            <w:rFonts w:asciiTheme="minorHAnsi" w:eastAsiaTheme="minorEastAsia" w:hAnsiTheme="minorHAnsi" w:cstheme="minorBidi"/>
            <w:sz w:val="22"/>
            <w:szCs w:val="22"/>
            <w:lang w:val="de-DE" w:eastAsia="de-DE"/>
          </w:rPr>
          <w:tab/>
        </w:r>
        <w:r w:rsidR="00173A27" w:rsidRPr="00984B70">
          <w:rPr>
            <w:rStyle w:val="Hyperlink"/>
          </w:rPr>
          <w:t>Principal Investigator Signature Page</w:t>
        </w:r>
        <w:r w:rsidR="00173A27">
          <w:rPr>
            <w:webHidden/>
          </w:rPr>
          <w:tab/>
        </w:r>
        <w:r w:rsidR="00173A27">
          <w:rPr>
            <w:webHidden/>
          </w:rPr>
          <w:fldChar w:fldCharType="begin"/>
        </w:r>
        <w:r w:rsidR="00173A27">
          <w:rPr>
            <w:webHidden/>
          </w:rPr>
          <w:instrText xml:space="preserve"> PAGEREF _Toc77839798 \h </w:instrText>
        </w:r>
        <w:r w:rsidR="00173A27">
          <w:rPr>
            <w:webHidden/>
          </w:rPr>
        </w:r>
        <w:r w:rsidR="00173A27">
          <w:rPr>
            <w:webHidden/>
          </w:rPr>
          <w:fldChar w:fldCharType="separate"/>
        </w:r>
        <w:r w:rsidR="00173A27">
          <w:rPr>
            <w:webHidden/>
          </w:rPr>
          <w:t>68</w:t>
        </w:r>
        <w:r w:rsidR="00173A27">
          <w:rPr>
            <w:webHidden/>
          </w:rPr>
          <w:fldChar w:fldCharType="end"/>
        </w:r>
      </w:hyperlink>
    </w:p>
    <w:p w14:paraId="601A7C6C" w14:textId="22023642" w:rsidR="00BA43ED" w:rsidRPr="00D326F8" w:rsidRDefault="003E23E4" w:rsidP="0099601C">
      <w:pPr>
        <w:pStyle w:val="BodyText"/>
      </w:pPr>
      <w:r w:rsidRPr="00D326F8">
        <w:fldChar w:fldCharType="end"/>
      </w:r>
    </w:p>
    <w:p w14:paraId="601A7C6D" w14:textId="77777777" w:rsidR="00F25168" w:rsidRPr="00D326F8" w:rsidRDefault="003E23E4" w:rsidP="00F25168">
      <w:pPr>
        <w:pStyle w:val="Heading1unnumbered"/>
        <w:pageBreakBefore/>
      </w:pPr>
      <w:bookmarkStart w:id="11" w:name="_Toc77839714"/>
      <w:r w:rsidRPr="00D326F8">
        <w:lastRenderedPageBreak/>
        <w:t>Table of Tables</w:t>
      </w:r>
      <w:bookmarkEnd w:id="11"/>
    </w:p>
    <w:p w14:paraId="59C38A86" w14:textId="07C58221" w:rsidR="00173A27" w:rsidRDefault="003E23E4">
      <w:pPr>
        <w:pStyle w:val="TableofFigures"/>
        <w:rPr>
          <w:rFonts w:asciiTheme="minorHAnsi" w:eastAsiaTheme="minorEastAsia" w:hAnsiTheme="minorHAnsi" w:cstheme="minorBidi"/>
          <w:sz w:val="22"/>
          <w:szCs w:val="22"/>
          <w:lang w:val="de-DE" w:eastAsia="de-DE"/>
        </w:rPr>
      </w:pPr>
      <w:r w:rsidRPr="00D326F8">
        <w:fldChar w:fldCharType="begin"/>
      </w:r>
      <w:r w:rsidRPr="00D326F8">
        <w:instrText xml:space="preserve"> TOC \h \z \c "Table" </w:instrText>
      </w:r>
      <w:r w:rsidRPr="00D326F8">
        <w:fldChar w:fldCharType="separate"/>
      </w:r>
      <w:hyperlink w:anchor="_Toc77839799" w:history="1">
        <w:r w:rsidR="00173A27" w:rsidRPr="00FC0035">
          <w:rPr>
            <w:rStyle w:val="Hyperlink"/>
          </w:rPr>
          <w:t>Table 1</w:t>
        </w:r>
        <w:r w:rsidR="00173A27">
          <w:rPr>
            <w:rFonts w:asciiTheme="minorHAnsi" w:eastAsiaTheme="minorEastAsia" w:hAnsiTheme="minorHAnsi" w:cstheme="minorBidi"/>
            <w:sz w:val="22"/>
            <w:szCs w:val="22"/>
            <w:lang w:val="de-DE" w:eastAsia="de-DE"/>
          </w:rPr>
          <w:tab/>
        </w:r>
        <w:r w:rsidR="00173A27" w:rsidRPr="00FC0035">
          <w:rPr>
            <w:rStyle w:val="Hyperlink"/>
          </w:rPr>
          <w:t>Carbamazepine and Metabolite PK Sampling Schema</w:t>
        </w:r>
        <w:r w:rsidR="00173A27">
          <w:rPr>
            <w:webHidden/>
          </w:rPr>
          <w:tab/>
        </w:r>
        <w:r w:rsidR="00173A27">
          <w:rPr>
            <w:webHidden/>
          </w:rPr>
          <w:fldChar w:fldCharType="begin"/>
        </w:r>
        <w:r w:rsidR="00173A27">
          <w:rPr>
            <w:webHidden/>
          </w:rPr>
          <w:instrText xml:space="preserve"> PAGEREF _Toc77839799 \h </w:instrText>
        </w:r>
        <w:r w:rsidR="00173A27">
          <w:rPr>
            <w:webHidden/>
          </w:rPr>
        </w:r>
        <w:r w:rsidR="00173A27">
          <w:rPr>
            <w:webHidden/>
          </w:rPr>
          <w:fldChar w:fldCharType="separate"/>
        </w:r>
        <w:r w:rsidR="00173A27">
          <w:rPr>
            <w:webHidden/>
          </w:rPr>
          <w:t>10</w:t>
        </w:r>
        <w:r w:rsidR="00173A27">
          <w:rPr>
            <w:webHidden/>
          </w:rPr>
          <w:fldChar w:fldCharType="end"/>
        </w:r>
      </w:hyperlink>
    </w:p>
    <w:p w14:paraId="3DA61FBB" w14:textId="4EFE638D" w:rsidR="00173A27" w:rsidRDefault="002E504A">
      <w:pPr>
        <w:pStyle w:val="TableofFigures"/>
        <w:rPr>
          <w:rFonts w:asciiTheme="minorHAnsi" w:eastAsiaTheme="minorEastAsia" w:hAnsiTheme="minorHAnsi" w:cstheme="minorBidi"/>
          <w:sz w:val="22"/>
          <w:szCs w:val="22"/>
          <w:lang w:val="de-DE" w:eastAsia="de-DE"/>
        </w:rPr>
      </w:pPr>
      <w:hyperlink w:anchor="_Toc77839800" w:history="1">
        <w:r w:rsidR="00173A27" w:rsidRPr="00FC0035">
          <w:rPr>
            <w:rStyle w:val="Hyperlink"/>
          </w:rPr>
          <w:t>Table 2</w:t>
        </w:r>
        <w:r w:rsidR="00173A27">
          <w:rPr>
            <w:rFonts w:asciiTheme="minorHAnsi" w:eastAsiaTheme="minorEastAsia" w:hAnsiTheme="minorHAnsi" w:cstheme="minorBidi"/>
            <w:sz w:val="22"/>
            <w:szCs w:val="22"/>
            <w:lang w:val="de-DE" w:eastAsia="de-DE"/>
          </w:rPr>
          <w:tab/>
        </w:r>
        <w:r w:rsidR="00173A27" w:rsidRPr="00FC0035">
          <w:rPr>
            <w:rStyle w:val="Hyperlink"/>
          </w:rPr>
          <w:t>Tepotinib and Metabolites PK Sampling Schema</w:t>
        </w:r>
        <w:r w:rsidR="00173A27">
          <w:rPr>
            <w:webHidden/>
          </w:rPr>
          <w:tab/>
        </w:r>
        <w:r w:rsidR="00173A27">
          <w:rPr>
            <w:webHidden/>
          </w:rPr>
          <w:fldChar w:fldCharType="begin"/>
        </w:r>
        <w:r w:rsidR="00173A27">
          <w:rPr>
            <w:webHidden/>
          </w:rPr>
          <w:instrText xml:space="preserve"> PAGEREF _Toc77839800 \h </w:instrText>
        </w:r>
        <w:r w:rsidR="00173A27">
          <w:rPr>
            <w:webHidden/>
          </w:rPr>
        </w:r>
        <w:r w:rsidR="00173A27">
          <w:rPr>
            <w:webHidden/>
          </w:rPr>
          <w:fldChar w:fldCharType="separate"/>
        </w:r>
        <w:r w:rsidR="00173A27">
          <w:rPr>
            <w:webHidden/>
          </w:rPr>
          <w:t>10</w:t>
        </w:r>
        <w:r w:rsidR="00173A27">
          <w:rPr>
            <w:webHidden/>
          </w:rPr>
          <w:fldChar w:fldCharType="end"/>
        </w:r>
      </w:hyperlink>
    </w:p>
    <w:p w14:paraId="291C15BD" w14:textId="37EEC337" w:rsidR="00173A27" w:rsidRDefault="002E504A">
      <w:pPr>
        <w:pStyle w:val="TableofFigures"/>
        <w:rPr>
          <w:rFonts w:asciiTheme="minorHAnsi" w:eastAsiaTheme="minorEastAsia" w:hAnsiTheme="minorHAnsi" w:cstheme="minorBidi"/>
          <w:sz w:val="22"/>
          <w:szCs w:val="22"/>
          <w:lang w:val="de-DE" w:eastAsia="de-DE"/>
        </w:rPr>
      </w:pPr>
      <w:hyperlink w:anchor="_Toc77839801" w:history="1">
        <w:r w:rsidR="00173A27" w:rsidRPr="00FC0035">
          <w:rPr>
            <w:rStyle w:val="Hyperlink"/>
          </w:rPr>
          <w:t>Table 3</w:t>
        </w:r>
        <w:r w:rsidR="00173A27">
          <w:rPr>
            <w:rFonts w:asciiTheme="minorHAnsi" w:eastAsiaTheme="minorEastAsia" w:hAnsiTheme="minorHAnsi" w:cstheme="minorBidi"/>
            <w:sz w:val="22"/>
            <w:szCs w:val="22"/>
            <w:lang w:val="de-DE" w:eastAsia="de-DE"/>
          </w:rPr>
          <w:tab/>
        </w:r>
        <w:r w:rsidR="00173A27" w:rsidRPr="00FC0035">
          <w:rPr>
            <w:rStyle w:val="Hyperlink"/>
          </w:rPr>
          <w:t>PK Sampling Time Windows</w:t>
        </w:r>
        <w:r w:rsidR="00173A27">
          <w:rPr>
            <w:webHidden/>
          </w:rPr>
          <w:tab/>
        </w:r>
        <w:r w:rsidR="00173A27">
          <w:rPr>
            <w:webHidden/>
          </w:rPr>
          <w:fldChar w:fldCharType="begin"/>
        </w:r>
        <w:r w:rsidR="00173A27">
          <w:rPr>
            <w:webHidden/>
          </w:rPr>
          <w:instrText xml:space="preserve"> PAGEREF _Toc77839801 \h </w:instrText>
        </w:r>
        <w:r w:rsidR="00173A27">
          <w:rPr>
            <w:webHidden/>
          </w:rPr>
        </w:r>
        <w:r w:rsidR="00173A27">
          <w:rPr>
            <w:webHidden/>
          </w:rPr>
          <w:fldChar w:fldCharType="separate"/>
        </w:r>
        <w:r w:rsidR="00173A27">
          <w:rPr>
            <w:webHidden/>
          </w:rPr>
          <w:t>39</w:t>
        </w:r>
        <w:r w:rsidR="00173A27">
          <w:rPr>
            <w:webHidden/>
          </w:rPr>
          <w:fldChar w:fldCharType="end"/>
        </w:r>
      </w:hyperlink>
    </w:p>
    <w:p w14:paraId="357AAE1B" w14:textId="2395DE67" w:rsidR="00173A27" w:rsidRDefault="002E504A">
      <w:pPr>
        <w:pStyle w:val="TableofFigures"/>
        <w:rPr>
          <w:rFonts w:asciiTheme="minorHAnsi" w:eastAsiaTheme="minorEastAsia" w:hAnsiTheme="minorHAnsi" w:cstheme="minorBidi"/>
          <w:sz w:val="22"/>
          <w:szCs w:val="22"/>
          <w:lang w:val="de-DE" w:eastAsia="de-DE"/>
        </w:rPr>
      </w:pPr>
      <w:hyperlink w:anchor="_Toc77839802" w:history="1">
        <w:r w:rsidR="00173A27" w:rsidRPr="00FC0035">
          <w:rPr>
            <w:rStyle w:val="Hyperlink"/>
          </w:rPr>
          <w:t>Table 4</w:t>
        </w:r>
        <w:r w:rsidR="00173A27">
          <w:rPr>
            <w:rFonts w:asciiTheme="minorHAnsi" w:eastAsiaTheme="minorEastAsia" w:hAnsiTheme="minorHAnsi" w:cstheme="minorBidi"/>
            <w:sz w:val="22"/>
            <w:szCs w:val="22"/>
            <w:lang w:val="de-DE" w:eastAsia="de-DE"/>
          </w:rPr>
          <w:tab/>
        </w:r>
        <w:r w:rsidR="00173A27" w:rsidRPr="00FC0035">
          <w:rPr>
            <w:rStyle w:val="Hyperlink"/>
          </w:rPr>
          <w:t>Overview of Observed Intraparticipant Variability of Tepotinib Pharmacokinetic Parameters</w:t>
        </w:r>
        <w:r w:rsidR="00173A27">
          <w:rPr>
            <w:webHidden/>
          </w:rPr>
          <w:tab/>
        </w:r>
        <w:r w:rsidR="00173A27">
          <w:rPr>
            <w:webHidden/>
          </w:rPr>
          <w:fldChar w:fldCharType="begin"/>
        </w:r>
        <w:r w:rsidR="00173A27">
          <w:rPr>
            <w:webHidden/>
          </w:rPr>
          <w:instrText xml:space="preserve"> PAGEREF _Toc77839802 \h </w:instrText>
        </w:r>
        <w:r w:rsidR="00173A27">
          <w:rPr>
            <w:webHidden/>
          </w:rPr>
        </w:r>
        <w:r w:rsidR="00173A27">
          <w:rPr>
            <w:webHidden/>
          </w:rPr>
          <w:fldChar w:fldCharType="separate"/>
        </w:r>
        <w:r w:rsidR="00173A27">
          <w:rPr>
            <w:webHidden/>
          </w:rPr>
          <w:t>41</w:t>
        </w:r>
        <w:r w:rsidR="00173A27">
          <w:rPr>
            <w:webHidden/>
          </w:rPr>
          <w:fldChar w:fldCharType="end"/>
        </w:r>
      </w:hyperlink>
    </w:p>
    <w:p w14:paraId="3E760F5C" w14:textId="12B927E1" w:rsidR="00173A27" w:rsidRDefault="002E504A">
      <w:pPr>
        <w:pStyle w:val="TableofFigures"/>
        <w:rPr>
          <w:rFonts w:asciiTheme="minorHAnsi" w:eastAsiaTheme="minorEastAsia" w:hAnsiTheme="minorHAnsi" w:cstheme="minorBidi"/>
          <w:sz w:val="22"/>
          <w:szCs w:val="22"/>
          <w:lang w:val="de-DE" w:eastAsia="de-DE"/>
        </w:rPr>
      </w:pPr>
      <w:hyperlink w:anchor="_Toc77839803" w:history="1">
        <w:r w:rsidR="00173A27" w:rsidRPr="00FC0035">
          <w:rPr>
            <w:rStyle w:val="Hyperlink"/>
          </w:rPr>
          <w:t>Table 5</w:t>
        </w:r>
        <w:r w:rsidR="00173A27">
          <w:rPr>
            <w:rFonts w:asciiTheme="minorHAnsi" w:eastAsiaTheme="minorEastAsia" w:hAnsiTheme="minorHAnsi" w:cstheme="minorBidi"/>
            <w:sz w:val="22"/>
            <w:szCs w:val="22"/>
            <w:lang w:val="de-DE" w:eastAsia="de-DE"/>
          </w:rPr>
          <w:tab/>
        </w:r>
        <w:r w:rsidR="00173A27" w:rsidRPr="00FC0035">
          <w:rPr>
            <w:rStyle w:val="Hyperlink"/>
          </w:rPr>
          <w:t>Width of the 90% CI for the Ratio of PK Parameters, for Different Geometric Mean Ratios, Sample Sizes and Within-Participant CVs</w:t>
        </w:r>
        <w:r w:rsidR="00173A27">
          <w:rPr>
            <w:webHidden/>
          </w:rPr>
          <w:tab/>
        </w:r>
        <w:r w:rsidR="00173A27">
          <w:rPr>
            <w:webHidden/>
          </w:rPr>
          <w:fldChar w:fldCharType="begin"/>
        </w:r>
        <w:r w:rsidR="00173A27">
          <w:rPr>
            <w:webHidden/>
          </w:rPr>
          <w:instrText xml:space="preserve"> PAGEREF _Toc77839803 \h </w:instrText>
        </w:r>
        <w:r w:rsidR="00173A27">
          <w:rPr>
            <w:webHidden/>
          </w:rPr>
        </w:r>
        <w:r w:rsidR="00173A27">
          <w:rPr>
            <w:webHidden/>
          </w:rPr>
          <w:fldChar w:fldCharType="separate"/>
        </w:r>
        <w:r w:rsidR="00173A27">
          <w:rPr>
            <w:webHidden/>
          </w:rPr>
          <w:t>42</w:t>
        </w:r>
        <w:r w:rsidR="00173A27">
          <w:rPr>
            <w:webHidden/>
          </w:rPr>
          <w:fldChar w:fldCharType="end"/>
        </w:r>
      </w:hyperlink>
    </w:p>
    <w:p w14:paraId="601A7C73" w14:textId="5238162F" w:rsidR="00F25168" w:rsidRPr="00D326F8" w:rsidRDefault="003E23E4" w:rsidP="0099601C">
      <w:pPr>
        <w:pStyle w:val="BodyText"/>
      </w:pPr>
      <w:r w:rsidRPr="00D326F8">
        <w:fldChar w:fldCharType="end"/>
      </w:r>
    </w:p>
    <w:p w14:paraId="601A7C74" w14:textId="77777777" w:rsidR="00F25168" w:rsidRPr="00D326F8" w:rsidRDefault="00F25168" w:rsidP="0099601C">
      <w:pPr>
        <w:pStyle w:val="BodyText"/>
      </w:pPr>
    </w:p>
    <w:p w14:paraId="601A7C75" w14:textId="77777777" w:rsidR="00BA43ED" w:rsidRPr="00D326F8" w:rsidRDefault="003E23E4" w:rsidP="00186A80">
      <w:pPr>
        <w:pStyle w:val="Heading1"/>
        <w:pageBreakBefore/>
      </w:pPr>
      <w:bookmarkStart w:id="12" w:name="_Toc77839715"/>
      <w:r w:rsidRPr="00D326F8">
        <w:lastRenderedPageBreak/>
        <w:t>Protocol Summary</w:t>
      </w:r>
      <w:bookmarkEnd w:id="12"/>
    </w:p>
    <w:p w14:paraId="601A7C76" w14:textId="77777777" w:rsidR="00BA43ED" w:rsidRPr="00D326F8" w:rsidRDefault="003E23E4" w:rsidP="00131574">
      <w:pPr>
        <w:pStyle w:val="Heading2"/>
        <w:tabs>
          <w:tab w:val="clear" w:pos="4896"/>
          <w:tab w:val="num" w:pos="5310"/>
        </w:tabs>
        <w:ind w:left="1980" w:hanging="1980"/>
      </w:pPr>
      <w:bookmarkStart w:id="13" w:name="_Toc77839716"/>
      <w:r w:rsidRPr="00D326F8">
        <w:t>Synopsis</w:t>
      </w:r>
      <w:bookmarkEnd w:id="13"/>
    </w:p>
    <w:p w14:paraId="601A7C77" w14:textId="77777777" w:rsidR="00BA43ED" w:rsidRPr="00D326F8" w:rsidRDefault="003E23E4" w:rsidP="00BA43ED">
      <w:pPr>
        <w:pStyle w:val="BodyText"/>
        <w:rPr>
          <w:b/>
        </w:rPr>
      </w:pPr>
      <w:r w:rsidRPr="00D326F8">
        <w:rPr>
          <w:b/>
        </w:rPr>
        <w:t xml:space="preserve">Protocol Title: </w:t>
      </w:r>
      <w:r w:rsidR="00912AEF" w:rsidRPr="00D326F8">
        <w:t>Phase I, Open-Label, Single-sequence, Cross-Over Study of the Effect of Multiple Doses of Carbamazepine on Single-Dose Tepotinib Pharmacokinetics in Healthy Participants</w:t>
      </w:r>
    </w:p>
    <w:p w14:paraId="601A7C78" w14:textId="1CF8781F" w:rsidR="00BA43ED" w:rsidRPr="00D326F8" w:rsidRDefault="003E23E4" w:rsidP="00BA43ED">
      <w:pPr>
        <w:pStyle w:val="BodyText"/>
        <w:rPr>
          <w:b/>
        </w:rPr>
      </w:pPr>
      <w:r w:rsidRPr="00D326F8">
        <w:rPr>
          <w:b/>
        </w:rPr>
        <w:t xml:space="preserve">Short Title: </w:t>
      </w:r>
      <w:r w:rsidR="00912AEF" w:rsidRPr="00D326F8">
        <w:t xml:space="preserve">Tepotinib </w:t>
      </w:r>
      <w:r w:rsidR="00671982" w:rsidRPr="00D326F8">
        <w:t>D</w:t>
      </w:r>
      <w:r w:rsidR="00912AEF" w:rsidRPr="00D326F8">
        <w:t>rug-</w:t>
      </w:r>
      <w:r w:rsidR="00671982" w:rsidRPr="00D326F8">
        <w:t>D</w:t>
      </w:r>
      <w:r w:rsidR="00912AEF" w:rsidRPr="00D326F8">
        <w:t xml:space="preserve">rug </w:t>
      </w:r>
      <w:r w:rsidR="00671982" w:rsidRPr="00D326F8">
        <w:t>I</w:t>
      </w:r>
      <w:r w:rsidR="00912AEF" w:rsidRPr="00D326F8">
        <w:t xml:space="preserve">nteraction </w:t>
      </w:r>
      <w:r w:rsidR="00671982" w:rsidRPr="00D326F8">
        <w:t>S</w:t>
      </w:r>
      <w:r w:rsidR="00912AEF" w:rsidRPr="00D326F8">
        <w:t xml:space="preserve">tudy with </w:t>
      </w:r>
      <w:r w:rsidR="00671982" w:rsidRPr="00D326F8">
        <w:t>C</w:t>
      </w:r>
      <w:r w:rsidR="00912AEF" w:rsidRPr="00D326F8">
        <w:t xml:space="preserve">arbamazepine in </w:t>
      </w:r>
      <w:r w:rsidR="00671982" w:rsidRPr="00D326F8">
        <w:t>H</w:t>
      </w:r>
      <w:r w:rsidR="00912AEF" w:rsidRPr="00D326F8">
        <w:t xml:space="preserve">ealthy </w:t>
      </w:r>
      <w:r w:rsidR="00671982" w:rsidRPr="00D326F8">
        <w:t>P</w:t>
      </w:r>
      <w:r w:rsidR="00912AEF" w:rsidRPr="00D326F8">
        <w:t>articipants</w:t>
      </w:r>
    </w:p>
    <w:p w14:paraId="601A7C79" w14:textId="06F41988" w:rsidR="000273EB" w:rsidRPr="00D326F8" w:rsidRDefault="003E23E4" w:rsidP="000273EB">
      <w:pPr>
        <w:pStyle w:val="BodyText"/>
        <w:rPr>
          <w:rFonts w:eastAsia="Calibri" w:cs="Cordia New"/>
          <w:szCs w:val="22"/>
        </w:rPr>
      </w:pPr>
      <w:r w:rsidRPr="00D326F8">
        <w:rPr>
          <w:b/>
        </w:rPr>
        <w:t xml:space="preserve">Rationale: </w:t>
      </w:r>
      <w:r w:rsidRPr="00D326F8">
        <w:rPr>
          <w:rFonts w:eastAsia="Calibri" w:cs="Cordia New"/>
          <w:szCs w:val="22"/>
        </w:rPr>
        <w:t xml:space="preserve">The intent of this postapproval </w:t>
      </w:r>
      <w:r w:rsidR="00671982" w:rsidRPr="00D326F8">
        <w:rPr>
          <w:rFonts w:eastAsia="Calibri" w:cs="Cordia New"/>
          <w:szCs w:val="22"/>
        </w:rPr>
        <w:t>drug-drug interaction (</w:t>
      </w:r>
      <w:r w:rsidRPr="00D326F8">
        <w:rPr>
          <w:rFonts w:eastAsia="Calibri" w:cs="Cordia New"/>
          <w:szCs w:val="22"/>
        </w:rPr>
        <w:t>DDI</w:t>
      </w:r>
      <w:r w:rsidR="00671982" w:rsidRPr="00D326F8">
        <w:rPr>
          <w:rFonts w:eastAsia="Calibri" w:cs="Cordia New"/>
          <w:szCs w:val="22"/>
        </w:rPr>
        <w:t>)</w:t>
      </w:r>
      <w:r w:rsidRPr="00D326F8">
        <w:rPr>
          <w:rFonts w:eastAsia="Calibri" w:cs="Cordia New"/>
          <w:szCs w:val="22"/>
        </w:rPr>
        <w:t xml:space="preserve"> study is to provide information pertaining to the effect of induction of CYP3A4 and CYP2C8 on tepotinib </w:t>
      </w:r>
      <w:r w:rsidR="001E611B" w:rsidRPr="00D326F8">
        <w:rPr>
          <w:rFonts w:eastAsia="Calibri" w:cs="Cordia New"/>
          <w:szCs w:val="22"/>
        </w:rPr>
        <w:t>pharmacokinetics (</w:t>
      </w:r>
      <w:r w:rsidRPr="00D326F8">
        <w:rPr>
          <w:rFonts w:eastAsia="Calibri" w:cs="Cordia New"/>
          <w:szCs w:val="22"/>
        </w:rPr>
        <w:t>PK</w:t>
      </w:r>
      <w:r w:rsidR="001E611B" w:rsidRPr="00D326F8">
        <w:rPr>
          <w:rFonts w:eastAsia="Calibri" w:cs="Cordia New"/>
          <w:szCs w:val="22"/>
        </w:rPr>
        <w:t>)</w:t>
      </w:r>
      <w:r w:rsidRPr="00D326F8">
        <w:rPr>
          <w:rFonts w:eastAsia="Calibri" w:cs="Cordia New"/>
          <w:szCs w:val="22"/>
        </w:rPr>
        <w:t xml:space="preserve"> in humans. </w:t>
      </w:r>
    </w:p>
    <w:p w14:paraId="601A7C7A" w14:textId="14771382" w:rsidR="00F25168" w:rsidRPr="00D326F8" w:rsidRDefault="003E23E4" w:rsidP="000273EB">
      <w:pPr>
        <w:pStyle w:val="BodyText"/>
        <w:rPr>
          <w:rFonts w:eastAsia="Calibri" w:cs="Cordia New"/>
          <w:szCs w:val="22"/>
        </w:rPr>
      </w:pPr>
      <w:r w:rsidRPr="00D326F8">
        <w:rPr>
          <w:rFonts w:eastAsia="Calibri" w:cs="Cordia New"/>
          <w:szCs w:val="22"/>
        </w:rPr>
        <w:t xml:space="preserve">Nonclinical studies have indicated that tepotinib is a substrate for metabolism by CYP3A4 and CYP2C8, and a substrate for transport by </w:t>
      </w:r>
      <w:r w:rsidR="001E611B" w:rsidRPr="00D326F8">
        <w:rPr>
          <w:rFonts w:eastAsia="Calibri" w:cs="Cordia New"/>
          <w:szCs w:val="22"/>
        </w:rPr>
        <w:t>P-glycoprotein (</w:t>
      </w:r>
      <w:r w:rsidRPr="00D326F8">
        <w:rPr>
          <w:rFonts w:eastAsia="Calibri" w:cs="Cordia New"/>
          <w:szCs w:val="22"/>
        </w:rPr>
        <w:t>P-gp</w:t>
      </w:r>
      <w:r w:rsidR="001E611B" w:rsidRPr="00D326F8">
        <w:rPr>
          <w:rFonts w:eastAsia="Calibri" w:cs="Cordia New"/>
          <w:szCs w:val="22"/>
        </w:rPr>
        <w:t>)</w:t>
      </w:r>
      <w:r w:rsidRPr="00D326F8">
        <w:rPr>
          <w:rFonts w:eastAsia="Calibri" w:cs="Cordia New"/>
          <w:szCs w:val="22"/>
        </w:rPr>
        <w:t xml:space="preserve">. Carbamazepine is a strong inducer of CYP3A4 and like many inducers of </w:t>
      </w:r>
      <w:r w:rsidR="00733B65" w:rsidRPr="00D326F8">
        <w:rPr>
          <w:rFonts w:eastAsia="Calibri" w:cs="Cordia New"/>
          <w:szCs w:val="22"/>
        </w:rPr>
        <w:t>CYP3A</w:t>
      </w:r>
      <w:r w:rsidRPr="00D326F8">
        <w:rPr>
          <w:rFonts w:eastAsia="Calibri" w:cs="Cordia New"/>
          <w:szCs w:val="22"/>
        </w:rPr>
        <w:t xml:space="preserve"> exerts pleiotropic inducing effects on the metabolism and disposition of substrates of multiple CYP enzymes and transport proteins including P</w:t>
      </w:r>
      <w:r w:rsidR="00F824DE" w:rsidRPr="00D326F8">
        <w:rPr>
          <w:rFonts w:eastAsia="Calibri" w:cs="Cordia New"/>
          <w:szCs w:val="22"/>
        </w:rPr>
        <w:noBreakHyphen/>
      </w:r>
      <w:r w:rsidRPr="00D326F8">
        <w:rPr>
          <w:rFonts w:eastAsia="Calibri" w:cs="Cordia New"/>
          <w:szCs w:val="22"/>
        </w:rPr>
        <w:t xml:space="preserve">gp. Accordingly, this study will evaluate the effect of multiple-dose administration of carbamazepine on tepotinib PK and assess the impact of strong </w:t>
      </w:r>
      <w:r w:rsidR="00733B65" w:rsidRPr="00D326F8">
        <w:rPr>
          <w:rFonts w:eastAsia="Calibri" w:cs="Cordia New"/>
          <w:szCs w:val="22"/>
        </w:rPr>
        <w:t>CYP3A</w:t>
      </w:r>
      <w:r w:rsidRPr="00D326F8">
        <w:rPr>
          <w:rFonts w:eastAsia="Calibri" w:cs="Cordia New"/>
          <w:szCs w:val="22"/>
        </w:rPr>
        <w:t xml:space="preserve"> induction and P</w:t>
      </w:r>
      <w:r w:rsidR="00F824DE" w:rsidRPr="00D326F8">
        <w:rPr>
          <w:rFonts w:eastAsia="Calibri" w:cs="Cordia New"/>
          <w:szCs w:val="22"/>
        </w:rPr>
        <w:noBreakHyphen/>
      </w:r>
      <w:r w:rsidRPr="00D326F8">
        <w:rPr>
          <w:rFonts w:eastAsia="Calibri" w:cs="Cordia New"/>
          <w:szCs w:val="22"/>
        </w:rPr>
        <w:t xml:space="preserve">gp induction on the PK of </w:t>
      </w:r>
      <w:r w:rsidR="00F824DE" w:rsidRPr="00D326F8">
        <w:rPr>
          <w:rFonts w:eastAsia="Calibri" w:cs="Cordia New"/>
          <w:szCs w:val="22"/>
        </w:rPr>
        <w:t>t</w:t>
      </w:r>
      <w:r w:rsidRPr="00D326F8">
        <w:rPr>
          <w:rFonts w:eastAsia="Calibri" w:cs="Cordia New"/>
          <w:szCs w:val="22"/>
        </w:rPr>
        <w:t xml:space="preserve">epotinib. </w:t>
      </w:r>
    </w:p>
    <w:p w14:paraId="601A7C7B" w14:textId="373421FE" w:rsidR="00BA43ED" w:rsidRPr="00D326F8" w:rsidRDefault="003E23E4" w:rsidP="000273EB">
      <w:pPr>
        <w:pStyle w:val="BodyText"/>
        <w:rPr>
          <w:b/>
        </w:rPr>
      </w:pPr>
      <w:r w:rsidRPr="00D326F8">
        <w:rPr>
          <w:rFonts w:eastAsia="Calibri" w:cs="Cordia New"/>
          <w:szCs w:val="22"/>
        </w:rPr>
        <w:t xml:space="preserve">The study’s data will inform appropriate dosing recommendations </w:t>
      </w:r>
      <w:r w:rsidR="000F0E7C" w:rsidRPr="00D326F8">
        <w:rPr>
          <w:rFonts w:eastAsia="Calibri" w:cs="Cordia New"/>
          <w:szCs w:val="22"/>
        </w:rPr>
        <w:t xml:space="preserve">for tepotinib </w:t>
      </w:r>
      <w:r w:rsidRPr="00D326F8">
        <w:rPr>
          <w:rFonts w:eastAsia="Calibri" w:cs="Cordia New"/>
          <w:szCs w:val="22"/>
        </w:rPr>
        <w:t>when coadministered with such inducers.</w:t>
      </w:r>
    </w:p>
    <w:p w14:paraId="601A7C7C" w14:textId="77777777" w:rsidR="00BA43ED" w:rsidRPr="00D326F8" w:rsidRDefault="003E23E4" w:rsidP="00BA43ED">
      <w:pPr>
        <w:pStyle w:val="BodyText"/>
        <w:rPr>
          <w:b/>
        </w:rPr>
      </w:pPr>
      <w:r w:rsidRPr="00D326F8">
        <w:rPr>
          <w:b/>
        </w:rPr>
        <w:t>Objectives and Endpoint</w:t>
      </w:r>
      <w:r w:rsidR="00155C7C" w:rsidRPr="00D326F8">
        <w:rPr>
          <w:b/>
        </w:rPr>
        <w:t>s</w:t>
      </w:r>
      <w:r w:rsidRPr="00D326F8">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4948"/>
        <w:gridCol w:w="516"/>
        <w:gridCol w:w="173"/>
      </w:tblGrid>
      <w:tr w:rsidR="003B74AE" w:rsidRPr="00D326F8" w14:paraId="601A7C80" w14:textId="77777777" w:rsidTr="00340D32">
        <w:trPr>
          <w:cantSplit/>
          <w:tblHeader/>
        </w:trPr>
        <w:tc>
          <w:tcPr>
            <w:tcW w:w="1874" w:type="pct"/>
            <w:tcBorders>
              <w:top w:val="single" w:sz="4" w:space="0" w:color="auto"/>
              <w:left w:val="single" w:sz="4" w:space="0" w:color="auto"/>
              <w:bottom w:val="single" w:sz="4" w:space="0" w:color="auto"/>
              <w:right w:val="single" w:sz="4" w:space="0" w:color="auto"/>
            </w:tcBorders>
            <w:hideMark/>
          </w:tcPr>
          <w:p w14:paraId="601A7C7D" w14:textId="77777777" w:rsidR="00155C7C" w:rsidRPr="00D326F8" w:rsidRDefault="003E23E4" w:rsidP="00340D32">
            <w:pPr>
              <w:keepNext/>
              <w:spacing w:before="40" w:after="40"/>
              <w:jc w:val="left"/>
              <w:rPr>
                <w:rFonts w:ascii="Arial" w:eastAsia="MS Mincho" w:hAnsi="Arial" w:cs="Arial"/>
                <w:b/>
                <w:bCs/>
                <w:sz w:val="18"/>
              </w:rPr>
            </w:pPr>
            <w:r w:rsidRPr="00D326F8">
              <w:rPr>
                <w:rFonts w:ascii="Arial" w:eastAsia="MS Mincho" w:hAnsi="Arial" w:cs="Arial"/>
                <w:b/>
                <w:bCs/>
                <w:sz w:val="18"/>
              </w:rPr>
              <w:t>Objectives</w:t>
            </w:r>
          </w:p>
        </w:tc>
        <w:tc>
          <w:tcPr>
            <w:tcW w:w="2744" w:type="pct"/>
            <w:tcBorders>
              <w:top w:val="single" w:sz="4" w:space="0" w:color="auto"/>
              <w:left w:val="single" w:sz="4" w:space="0" w:color="auto"/>
              <w:bottom w:val="single" w:sz="4" w:space="0" w:color="auto"/>
              <w:right w:val="single" w:sz="4" w:space="0" w:color="auto"/>
            </w:tcBorders>
            <w:hideMark/>
          </w:tcPr>
          <w:p w14:paraId="601A7C7E" w14:textId="77777777" w:rsidR="00155C7C" w:rsidRPr="00D326F8" w:rsidRDefault="003E23E4" w:rsidP="00340D32">
            <w:pPr>
              <w:keepNext/>
              <w:spacing w:before="40" w:after="40"/>
              <w:jc w:val="left"/>
              <w:rPr>
                <w:rFonts w:ascii="Arial" w:eastAsia="MS Mincho" w:hAnsi="Arial" w:cs="Arial"/>
                <w:b/>
                <w:bCs/>
                <w:sz w:val="18"/>
              </w:rPr>
            </w:pPr>
            <w:r w:rsidRPr="00D326F8">
              <w:rPr>
                <w:rFonts w:ascii="Arial" w:eastAsia="MS Mincho" w:hAnsi="Arial" w:cs="Arial"/>
                <w:b/>
                <w:bCs/>
                <w:sz w:val="18"/>
              </w:rPr>
              <w:t xml:space="preserve">Endpoints </w:t>
            </w:r>
          </w:p>
        </w:tc>
        <w:tc>
          <w:tcPr>
            <w:tcW w:w="382" w:type="pct"/>
            <w:gridSpan w:val="2"/>
            <w:tcBorders>
              <w:top w:val="single" w:sz="4" w:space="0" w:color="auto"/>
              <w:left w:val="single" w:sz="4" w:space="0" w:color="auto"/>
              <w:bottom w:val="single" w:sz="4" w:space="0" w:color="auto"/>
              <w:right w:val="single" w:sz="4" w:space="0" w:color="auto"/>
            </w:tcBorders>
            <w:hideMark/>
          </w:tcPr>
          <w:p w14:paraId="601A7C7F" w14:textId="77777777" w:rsidR="00155C7C" w:rsidRPr="00D326F8" w:rsidRDefault="003E23E4" w:rsidP="00340D32">
            <w:pPr>
              <w:keepNext/>
              <w:spacing w:before="40" w:after="40"/>
              <w:jc w:val="left"/>
              <w:rPr>
                <w:rFonts w:ascii="Arial" w:eastAsia="MS Mincho" w:hAnsi="Arial" w:cs="Arial"/>
                <w:b/>
                <w:bCs/>
                <w:sz w:val="18"/>
              </w:rPr>
            </w:pPr>
            <w:r w:rsidRPr="00D326F8">
              <w:rPr>
                <w:rFonts w:ascii="Arial" w:eastAsia="MS Mincho" w:hAnsi="Arial" w:cs="Arial"/>
                <w:b/>
                <w:bCs/>
                <w:sz w:val="18"/>
              </w:rPr>
              <w:t>Ref #</w:t>
            </w:r>
          </w:p>
        </w:tc>
      </w:tr>
      <w:tr w:rsidR="003B74AE" w:rsidRPr="00D326F8" w14:paraId="601A7C84" w14:textId="77777777" w:rsidTr="00340D32">
        <w:trPr>
          <w:cantSplit/>
        </w:trPr>
        <w:tc>
          <w:tcPr>
            <w:tcW w:w="187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A7C81" w14:textId="77777777" w:rsidR="00155C7C" w:rsidRPr="00D326F8" w:rsidRDefault="003E23E4" w:rsidP="00340D32">
            <w:pPr>
              <w:keepNext/>
              <w:spacing w:before="40" w:after="40"/>
              <w:jc w:val="left"/>
              <w:rPr>
                <w:rFonts w:ascii="Arial" w:eastAsia="MS Mincho" w:hAnsi="Arial" w:cs="Arial"/>
                <w:b/>
                <w:bCs/>
                <w:sz w:val="18"/>
              </w:rPr>
            </w:pPr>
            <w:r w:rsidRPr="00D326F8">
              <w:rPr>
                <w:rFonts w:ascii="Arial" w:eastAsia="MS Mincho" w:hAnsi="Arial" w:cs="Arial"/>
                <w:b/>
                <w:bCs/>
                <w:sz w:val="18"/>
              </w:rPr>
              <w:t>Primary</w:t>
            </w:r>
          </w:p>
        </w:tc>
        <w:tc>
          <w:tcPr>
            <w:tcW w:w="27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C82" w14:textId="77777777" w:rsidR="00155C7C" w:rsidRPr="00D326F8" w:rsidRDefault="00155C7C" w:rsidP="00340D32">
            <w:pPr>
              <w:keepNext/>
              <w:spacing w:before="40" w:after="40"/>
              <w:jc w:val="left"/>
              <w:rPr>
                <w:rFonts w:ascii="Arial" w:eastAsia="MS Mincho" w:hAnsi="Arial" w:cs="Arial"/>
                <w:b/>
                <w:bCs/>
                <w:sz w:val="18"/>
                <w:lang w:val="en-GB"/>
              </w:rPr>
            </w:pPr>
          </w:p>
        </w:tc>
        <w:tc>
          <w:tcPr>
            <w:tcW w:w="38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C83" w14:textId="77777777" w:rsidR="00155C7C" w:rsidRPr="00D326F8" w:rsidRDefault="00155C7C" w:rsidP="00340D32">
            <w:pPr>
              <w:keepNext/>
              <w:spacing w:before="40" w:after="40"/>
              <w:jc w:val="left"/>
              <w:rPr>
                <w:rFonts w:ascii="Arial" w:eastAsia="MS Mincho" w:hAnsi="Arial" w:cs="Arial"/>
                <w:b/>
                <w:bCs/>
                <w:sz w:val="18"/>
              </w:rPr>
            </w:pPr>
          </w:p>
        </w:tc>
      </w:tr>
      <w:tr w:rsidR="003B74AE" w:rsidRPr="00D326F8" w14:paraId="601A7C88" w14:textId="77777777" w:rsidTr="00340D32">
        <w:trPr>
          <w:cantSplit/>
        </w:trPr>
        <w:tc>
          <w:tcPr>
            <w:tcW w:w="1874" w:type="pct"/>
            <w:tcBorders>
              <w:top w:val="single" w:sz="4" w:space="0" w:color="auto"/>
              <w:left w:val="single" w:sz="4" w:space="0" w:color="auto"/>
              <w:bottom w:val="single" w:sz="4" w:space="0" w:color="auto"/>
              <w:right w:val="single" w:sz="4" w:space="0" w:color="auto"/>
            </w:tcBorders>
            <w:hideMark/>
          </w:tcPr>
          <w:p w14:paraId="601A7C85" w14:textId="77777777" w:rsidR="00155C7C" w:rsidRPr="00D326F8" w:rsidRDefault="003E23E4" w:rsidP="00340D32">
            <w:pPr>
              <w:keepNext/>
              <w:spacing w:before="40" w:after="40"/>
              <w:jc w:val="left"/>
              <w:rPr>
                <w:rFonts w:ascii="Arial" w:eastAsia="MS Mincho" w:hAnsi="Arial" w:cs="Arial"/>
                <w:sz w:val="18"/>
              </w:rPr>
            </w:pPr>
            <w:r w:rsidRPr="00D326F8">
              <w:rPr>
                <w:rFonts w:ascii="Arial" w:eastAsia="MS Mincho" w:hAnsi="Arial" w:cs="Arial"/>
                <w:sz w:val="18"/>
              </w:rPr>
              <w:t>To investigate the effect of multiple doses of carbamazepine on the PK of a single dose of tepotinib in healthy participants</w:t>
            </w:r>
          </w:p>
        </w:tc>
        <w:tc>
          <w:tcPr>
            <w:tcW w:w="2744" w:type="pct"/>
            <w:tcBorders>
              <w:top w:val="single" w:sz="4" w:space="0" w:color="auto"/>
              <w:left w:val="single" w:sz="4" w:space="0" w:color="auto"/>
              <w:bottom w:val="single" w:sz="4" w:space="0" w:color="auto"/>
              <w:right w:val="single" w:sz="4" w:space="0" w:color="auto"/>
            </w:tcBorders>
            <w:hideMark/>
          </w:tcPr>
          <w:p w14:paraId="601A7C86" w14:textId="1F397465" w:rsidR="00155C7C" w:rsidRPr="00D326F8" w:rsidRDefault="003E23E4" w:rsidP="00BC2888">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Plasma tepotinib AUC</w:t>
            </w:r>
            <w:r w:rsidRPr="00D326F8">
              <w:rPr>
                <w:rFonts w:ascii="Arial" w:eastAsia="MS Mincho" w:hAnsi="Arial" w:cs="Arial"/>
                <w:sz w:val="18"/>
                <w:vertAlign w:val="subscript"/>
              </w:rPr>
              <w:t>0-∞</w:t>
            </w:r>
            <w:r w:rsidRPr="00D326F8">
              <w:rPr>
                <w:rFonts w:ascii="Arial" w:eastAsia="MS Mincho" w:hAnsi="Arial" w:cs="Arial"/>
                <w:sz w:val="18"/>
              </w:rPr>
              <w:t>, AUC</w:t>
            </w:r>
            <w:r w:rsidRPr="00D326F8">
              <w:rPr>
                <w:rFonts w:ascii="Arial" w:eastAsia="MS Mincho" w:hAnsi="Arial" w:cs="Arial"/>
                <w:sz w:val="18"/>
                <w:vertAlign w:val="subscript"/>
              </w:rPr>
              <w:t>0</w:t>
            </w:r>
            <w:r w:rsidRPr="00D326F8">
              <w:rPr>
                <w:rFonts w:ascii="Arial" w:eastAsia="MS Mincho" w:hAnsi="Arial" w:cs="Arial"/>
                <w:sz w:val="18"/>
                <w:vertAlign w:val="subscript"/>
              </w:rPr>
              <w:noBreakHyphen/>
              <w:t>tlast</w:t>
            </w:r>
            <w:r w:rsidR="00BC2888" w:rsidRPr="00BC2888">
              <w:rPr>
                <w:rFonts w:ascii="Arial" w:eastAsia="MS Mincho" w:hAnsi="Arial" w:cs="Arial"/>
                <w:sz w:val="18"/>
              </w:rPr>
              <w:t>,</w:t>
            </w:r>
            <w:r w:rsidR="00BC2888">
              <w:rPr>
                <w:rFonts w:ascii="Arial" w:eastAsia="MS Mincho" w:hAnsi="Arial" w:cs="Arial"/>
                <w:sz w:val="18"/>
                <w:vertAlign w:val="subscript"/>
              </w:rPr>
              <w:t xml:space="preserve"> </w:t>
            </w:r>
            <w:r w:rsidRPr="00D326F8">
              <w:rPr>
                <w:rFonts w:ascii="Arial" w:eastAsia="MS Mincho" w:hAnsi="Arial" w:cs="Arial"/>
                <w:sz w:val="18"/>
              </w:rPr>
              <w:t>and C</w:t>
            </w:r>
            <w:r w:rsidRPr="00D326F8">
              <w:rPr>
                <w:rFonts w:ascii="Arial" w:eastAsia="MS Mincho" w:hAnsi="Arial" w:cs="Arial"/>
                <w:sz w:val="18"/>
                <w:vertAlign w:val="subscript"/>
              </w:rPr>
              <w:t>max</w:t>
            </w:r>
          </w:p>
        </w:tc>
        <w:tc>
          <w:tcPr>
            <w:tcW w:w="382" w:type="pct"/>
            <w:gridSpan w:val="2"/>
            <w:tcBorders>
              <w:top w:val="single" w:sz="4" w:space="0" w:color="auto"/>
              <w:left w:val="single" w:sz="4" w:space="0" w:color="auto"/>
              <w:bottom w:val="single" w:sz="4" w:space="0" w:color="auto"/>
              <w:right w:val="single" w:sz="4" w:space="0" w:color="auto"/>
            </w:tcBorders>
            <w:hideMark/>
          </w:tcPr>
          <w:p w14:paraId="601A7C87" w14:textId="77777777" w:rsidR="00155C7C" w:rsidRPr="00D326F8" w:rsidRDefault="003E23E4" w:rsidP="00340D32">
            <w:pPr>
              <w:keepNext/>
              <w:spacing w:before="40" w:after="40"/>
              <w:jc w:val="left"/>
              <w:rPr>
                <w:rFonts w:ascii="Arial" w:eastAsia="MS Mincho" w:hAnsi="Arial" w:cs="Arial"/>
                <w:sz w:val="18"/>
              </w:rPr>
            </w:pPr>
            <w:r w:rsidRPr="00D326F8">
              <w:rPr>
                <w:rFonts w:ascii="Arial" w:eastAsia="MS Mincho" w:hAnsi="Arial" w:cs="Arial"/>
                <w:sz w:val="18"/>
              </w:rPr>
              <w:t>1</w:t>
            </w:r>
          </w:p>
        </w:tc>
      </w:tr>
      <w:tr w:rsidR="003B74AE" w:rsidRPr="00D326F8" w14:paraId="601A7C8C" w14:textId="77777777" w:rsidTr="00340D32">
        <w:trPr>
          <w:cantSplit/>
        </w:trPr>
        <w:tc>
          <w:tcPr>
            <w:tcW w:w="187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A7C89" w14:textId="77777777" w:rsidR="00155C7C" w:rsidRPr="00D326F8" w:rsidRDefault="003E23E4" w:rsidP="00340D32">
            <w:pPr>
              <w:keepNext/>
              <w:spacing w:before="40" w:after="40"/>
              <w:jc w:val="left"/>
              <w:rPr>
                <w:rFonts w:ascii="Arial" w:eastAsia="MS Mincho" w:hAnsi="Arial" w:cs="Arial"/>
                <w:b/>
                <w:bCs/>
                <w:sz w:val="18"/>
              </w:rPr>
            </w:pPr>
            <w:r w:rsidRPr="00D326F8">
              <w:rPr>
                <w:rFonts w:ascii="Arial" w:eastAsia="MS Mincho" w:hAnsi="Arial" w:cs="Arial"/>
                <w:b/>
                <w:bCs/>
                <w:sz w:val="18"/>
              </w:rPr>
              <w:t>Secondary</w:t>
            </w:r>
          </w:p>
        </w:tc>
        <w:tc>
          <w:tcPr>
            <w:tcW w:w="27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C8A" w14:textId="77777777" w:rsidR="00155C7C" w:rsidRPr="00D326F8" w:rsidRDefault="00155C7C" w:rsidP="00340D32">
            <w:pPr>
              <w:keepNext/>
              <w:spacing w:before="40" w:after="40"/>
              <w:jc w:val="left"/>
              <w:rPr>
                <w:rFonts w:ascii="Arial" w:eastAsia="MS Mincho" w:hAnsi="Arial" w:cs="Arial"/>
                <w:b/>
                <w:bCs/>
                <w:sz w:val="18"/>
                <w:lang w:val="en-GB"/>
              </w:rPr>
            </w:pPr>
          </w:p>
        </w:tc>
        <w:tc>
          <w:tcPr>
            <w:tcW w:w="38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C8B" w14:textId="77777777" w:rsidR="00155C7C" w:rsidRPr="00D326F8" w:rsidRDefault="00155C7C" w:rsidP="00340D32">
            <w:pPr>
              <w:keepNext/>
              <w:spacing w:before="40" w:after="40"/>
              <w:jc w:val="left"/>
              <w:rPr>
                <w:rFonts w:ascii="Arial" w:eastAsia="MS Mincho" w:hAnsi="Arial" w:cs="Arial"/>
                <w:b/>
                <w:bCs/>
                <w:sz w:val="18"/>
              </w:rPr>
            </w:pPr>
          </w:p>
        </w:tc>
      </w:tr>
      <w:tr w:rsidR="003B74AE" w:rsidRPr="00D326F8" w14:paraId="601A7C93" w14:textId="77777777" w:rsidTr="00340D32">
        <w:trPr>
          <w:cantSplit/>
        </w:trPr>
        <w:tc>
          <w:tcPr>
            <w:tcW w:w="1874" w:type="pct"/>
            <w:tcBorders>
              <w:top w:val="single" w:sz="4" w:space="0" w:color="auto"/>
              <w:left w:val="single" w:sz="4" w:space="0" w:color="auto"/>
              <w:bottom w:val="single" w:sz="4" w:space="0" w:color="auto"/>
              <w:right w:val="single" w:sz="4" w:space="0" w:color="auto"/>
            </w:tcBorders>
            <w:hideMark/>
          </w:tcPr>
          <w:p w14:paraId="601A7C8D" w14:textId="77777777" w:rsidR="00155C7C" w:rsidRPr="00D326F8" w:rsidRDefault="003E23E4" w:rsidP="00340D32">
            <w:pPr>
              <w:keepNext/>
              <w:spacing w:before="40" w:after="40"/>
              <w:jc w:val="left"/>
              <w:rPr>
                <w:rFonts w:ascii="Arial" w:eastAsia="MS Mincho" w:hAnsi="Arial" w:cs="Arial"/>
                <w:sz w:val="18"/>
              </w:rPr>
            </w:pPr>
            <w:r w:rsidRPr="00D326F8">
              <w:rPr>
                <w:rFonts w:ascii="Arial" w:eastAsia="MS Mincho" w:hAnsi="Arial" w:cs="Arial"/>
                <w:sz w:val="18"/>
              </w:rPr>
              <w:t>To assess the safety and tolerability of tepotinib when administered together with carbamazepine in healthy participants</w:t>
            </w:r>
          </w:p>
        </w:tc>
        <w:tc>
          <w:tcPr>
            <w:tcW w:w="2744" w:type="pct"/>
            <w:tcBorders>
              <w:top w:val="single" w:sz="4" w:space="0" w:color="auto"/>
              <w:left w:val="single" w:sz="4" w:space="0" w:color="auto"/>
              <w:bottom w:val="single" w:sz="4" w:space="0" w:color="auto"/>
              <w:right w:val="single" w:sz="4" w:space="0" w:color="auto"/>
            </w:tcBorders>
            <w:hideMark/>
          </w:tcPr>
          <w:p w14:paraId="601A7C8E" w14:textId="77777777" w:rsidR="00155C7C" w:rsidRPr="00D326F8" w:rsidRDefault="003E23E4" w:rsidP="0057019A">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Nature, occurrence, severity, and seriousness of TEAEs</w:t>
            </w:r>
          </w:p>
          <w:p w14:paraId="601A7C8F" w14:textId="77777777" w:rsidR="00155C7C" w:rsidRPr="00D326F8" w:rsidRDefault="003E23E4" w:rsidP="0057019A">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Absolute values and changes in safety laboratory tests</w:t>
            </w:r>
          </w:p>
          <w:p w14:paraId="601A7C90" w14:textId="77777777" w:rsidR="00155C7C" w:rsidRPr="00D326F8" w:rsidRDefault="003E23E4" w:rsidP="0057019A">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Single 12</w:t>
            </w:r>
            <w:r w:rsidRPr="00D326F8">
              <w:rPr>
                <w:rFonts w:ascii="Arial" w:eastAsia="MS Mincho" w:hAnsi="Arial" w:cs="Arial"/>
                <w:sz w:val="18"/>
              </w:rPr>
              <w:noBreakHyphen/>
              <w:t>lead ECGs evaluated by Investigator</w:t>
            </w:r>
          </w:p>
          <w:p w14:paraId="601A7C91" w14:textId="77777777" w:rsidR="00155C7C" w:rsidRPr="00D326F8" w:rsidRDefault="003E23E4" w:rsidP="0057019A">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Vital signs assessed from time of first dose to end of study participation</w:t>
            </w:r>
          </w:p>
        </w:tc>
        <w:tc>
          <w:tcPr>
            <w:tcW w:w="382" w:type="pct"/>
            <w:gridSpan w:val="2"/>
            <w:tcBorders>
              <w:top w:val="single" w:sz="4" w:space="0" w:color="auto"/>
              <w:left w:val="single" w:sz="4" w:space="0" w:color="auto"/>
              <w:bottom w:val="single" w:sz="4" w:space="0" w:color="auto"/>
              <w:right w:val="single" w:sz="4" w:space="0" w:color="auto"/>
            </w:tcBorders>
            <w:hideMark/>
          </w:tcPr>
          <w:p w14:paraId="601A7C92" w14:textId="77777777" w:rsidR="00155C7C" w:rsidRPr="00D326F8" w:rsidRDefault="003E23E4" w:rsidP="00340D32">
            <w:pPr>
              <w:keepNext/>
              <w:spacing w:before="40" w:after="40"/>
              <w:jc w:val="left"/>
              <w:rPr>
                <w:rFonts w:ascii="Arial" w:eastAsia="MS Mincho" w:hAnsi="Arial" w:cs="Arial"/>
                <w:sz w:val="18"/>
              </w:rPr>
            </w:pPr>
            <w:r w:rsidRPr="00D326F8">
              <w:rPr>
                <w:rFonts w:ascii="Arial" w:eastAsia="MS Mincho" w:hAnsi="Arial" w:cs="Arial"/>
                <w:sz w:val="18"/>
              </w:rPr>
              <w:t>2</w:t>
            </w:r>
          </w:p>
        </w:tc>
      </w:tr>
      <w:tr w:rsidR="003B74AE" w:rsidRPr="00D326F8" w14:paraId="601A7C97" w14:textId="77777777" w:rsidTr="00340D32">
        <w:trPr>
          <w:cantSplit/>
        </w:trPr>
        <w:tc>
          <w:tcPr>
            <w:tcW w:w="1874" w:type="pct"/>
            <w:tcBorders>
              <w:top w:val="single" w:sz="4" w:space="0" w:color="auto"/>
              <w:left w:val="single" w:sz="4" w:space="0" w:color="auto"/>
              <w:bottom w:val="single" w:sz="4" w:space="0" w:color="auto"/>
              <w:right w:val="single" w:sz="4" w:space="0" w:color="auto"/>
            </w:tcBorders>
            <w:hideMark/>
          </w:tcPr>
          <w:p w14:paraId="601A7C94" w14:textId="77777777" w:rsidR="00155C7C" w:rsidRPr="00D326F8" w:rsidRDefault="003E23E4" w:rsidP="00340D32">
            <w:pPr>
              <w:keepNext/>
              <w:spacing w:before="40" w:after="40"/>
              <w:jc w:val="left"/>
              <w:rPr>
                <w:rFonts w:ascii="Arial" w:eastAsia="MS Mincho" w:hAnsi="Arial" w:cs="Arial"/>
                <w:sz w:val="18"/>
              </w:rPr>
            </w:pPr>
            <w:r w:rsidRPr="00D326F8">
              <w:rPr>
                <w:rFonts w:ascii="Arial" w:eastAsia="MS Mincho" w:hAnsi="Arial" w:cs="Arial"/>
                <w:sz w:val="18"/>
              </w:rPr>
              <w:t>To characterize the effect of carbamazepine on additional tepotinib PK parameters in healthy participants</w:t>
            </w:r>
          </w:p>
        </w:tc>
        <w:tc>
          <w:tcPr>
            <w:tcW w:w="2744" w:type="pct"/>
            <w:tcBorders>
              <w:top w:val="single" w:sz="4" w:space="0" w:color="auto"/>
              <w:left w:val="single" w:sz="4" w:space="0" w:color="auto"/>
              <w:bottom w:val="single" w:sz="4" w:space="0" w:color="auto"/>
              <w:right w:val="single" w:sz="4" w:space="0" w:color="auto"/>
            </w:tcBorders>
            <w:hideMark/>
          </w:tcPr>
          <w:p w14:paraId="601A7C95" w14:textId="77777777" w:rsidR="00155C7C" w:rsidRPr="00D326F8" w:rsidRDefault="003E23E4" w:rsidP="00BC2888">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Plasma tepotinib: CL/F, V</w:t>
            </w:r>
            <w:r w:rsidRPr="00D326F8">
              <w:rPr>
                <w:rFonts w:ascii="Arial" w:eastAsia="MS Mincho" w:hAnsi="Arial" w:cs="Arial"/>
                <w:sz w:val="18"/>
                <w:vertAlign w:val="subscript"/>
              </w:rPr>
              <w:t>Z</w:t>
            </w:r>
            <w:r w:rsidRPr="00D326F8">
              <w:rPr>
                <w:rFonts w:ascii="Arial" w:eastAsia="MS Mincho" w:hAnsi="Arial" w:cs="Arial"/>
                <w:sz w:val="18"/>
              </w:rPr>
              <w:t>/F, t</w:t>
            </w:r>
            <w:r w:rsidRPr="00D326F8">
              <w:rPr>
                <w:rFonts w:ascii="Arial" w:eastAsia="MS Mincho" w:hAnsi="Arial" w:cs="Arial"/>
                <w:sz w:val="18"/>
                <w:vertAlign w:val="subscript"/>
              </w:rPr>
              <w:t>max</w:t>
            </w:r>
            <w:r w:rsidRPr="00D326F8">
              <w:rPr>
                <w:rFonts w:ascii="Arial" w:eastAsia="MS Mincho" w:hAnsi="Arial" w:cs="Arial"/>
                <w:sz w:val="18"/>
              </w:rPr>
              <w:t xml:space="preserve">, </w:t>
            </w:r>
            <w:r w:rsidR="00E57CB0" w:rsidRPr="00D326F8">
              <w:rPr>
                <w:rFonts w:ascii="Arial" w:eastAsia="MS Mincho" w:hAnsi="Arial" w:cs="Arial"/>
                <w:sz w:val="18"/>
              </w:rPr>
              <w:t xml:space="preserve">and </w:t>
            </w:r>
            <w:r w:rsidRPr="00D326F8">
              <w:rPr>
                <w:rFonts w:ascii="Arial" w:eastAsia="MS Mincho" w:hAnsi="Arial" w:cs="Arial"/>
                <w:sz w:val="18"/>
              </w:rPr>
              <w:t>t</w:t>
            </w:r>
            <w:r w:rsidRPr="00D326F8">
              <w:rPr>
                <w:rFonts w:ascii="Arial" w:eastAsia="MS Mincho" w:hAnsi="Arial" w:cs="Arial"/>
                <w:sz w:val="18"/>
                <w:vertAlign w:val="subscript"/>
              </w:rPr>
              <w:t>½</w:t>
            </w:r>
          </w:p>
        </w:tc>
        <w:tc>
          <w:tcPr>
            <w:tcW w:w="382" w:type="pct"/>
            <w:gridSpan w:val="2"/>
            <w:tcBorders>
              <w:top w:val="single" w:sz="4" w:space="0" w:color="auto"/>
              <w:left w:val="single" w:sz="4" w:space="0" w:color="auto"/>
              <w:bottom w:val="single" w:sz="4" w:space="0" w:color="auto"/>
              <w:right w:val="single" w:sz="4" w:space="0" w:color="auto"/>
            </w:tcBorders>
            <w:hideMark/>
          </w:tcPr>
          <w:p w14:paraId="601A7C96" w14:textId="77777777" w:rsidR="00155C7C" w:rsidRPr="00D326F8" w:rsidRDefault="003E23E4" w:rsidP="00340D32">
            <w:pPr>
              <w:keepNext/>
              <w:spacing w:before="40" w:after="40"/>
              <w:jc w:val="left"/>
              <w:rPr>
                <w:rFonts w:ascii="Arial" w:eastAsia="MS Mincho" w:hAnsi="Arial" w:cs="Arial"/>
                <w:sz w:val="18"/>
                <w:lang w:val="de-DE"/>
              </w:rPr>
            </w:pPr>
            <w:r w:rsidRPr="00D326F8">
              <w:rPr>
                <w:rFonts w:ascii="Arial" w:eastAsia="MS Mincho" w:hAnsi="Arial" w:cs="Arial"/>
                <w:sz w:val="18"/>
                <w:lang w:val="de-DE"/>
              </w:rPr>
              <w:t>3</w:t>
            </w:r>
          </w:p>
        </w:tc>
      </w:tr>
      <w:tr w:rsidR="003B74AE" w:rsidRPr="00D326F8" w14:paraId="601A7C99" w14:textId="77777777" w:rsidTr="003B3988">
        <w:trPr>
          <w:gridAfter w:val="1"/>
          <w:wAfter w:w="96" w:type="dxa"/>
          <w:cantSplit/>
        </w:trPr>
        <w:tc>
          <w:tcPr>
            <w:tcW w:w="4904" w:type="pct"/>
            <w:gridSpan w:val="3"/>
            <w:tcBorders>
              <w:left w:val="nil"/>
              <w:bottom w:val="nil"/>
              <w:right w:val="nil"/>
            </w:tcBorders>
          </w:tcPr>
          <w:p w14:paraId="601A7C98" w14:textId="6608D6DA" w:rsidR="003B3988" w:rsidRPr="00D326F8" w:rsidRDefault="003E23E4" w:rsidP="00BA57D4">
            <w:pPr>
              <w:pStyle w:val="Tablefootnote"/>
            </w:pPr>
            <w:r w:rsidRPr="00D326F8">
              <w:t>ECG=electrocardiogram, PK=pharmacokinetics, TEAE=treatment emergent adverse events.</w:t>
            </w:r>
          </w:p>
        </w:tc>
      </w:tr>
    </w:tbl>
    <w:p w14:paraId="601A7C9A" w14:textId="77777777" w:rsidR="00BA43ED" w:rsidRPr="00D326F8" w:rsidRDefault="003E23E4" w:rsidP="00BA43ED">
      <w:pPr>
        <w:pStyle w:val="BodyText"/>
        <w:rPr>
          <w:b/>
        </w:rPr>
      </w:pPr>
      <w:r w:rsidRPr="00D326F8">
        <w:rPr>
          <w:b/>
        </w:rPr>
        <w:t xml:space="preserve">Overall Design: </w:t>
      </w:r>
      <w:r w:rsidR="00E10A84" w:rsidRPr="00D326F8">
        <w:rPr>
          <w:bCs/>
        </w:rPr>
        <w:t>This will be a nonrandomized, open-label, single-sequence, cross-over Phase</w:t>
      </w:r>
      <w:r w:rsidRPr="00D326F8">
        <w:rPr>
          <w:bCs/>
        </w:rPr>
        <w:t> </w:t>
      </w:r>
      <w:r w:rsidR="00E10A84" w:rsidRPr="00D326F8">
        <w:rPr>
          <w:bCs/>
        </w:rPr>
        <w:t>I study in healthy participants.</w:t>
      </w:r>
    </w:p>
    <w:p w14:paraId="601A7C9B" w14:textId="77777777" w:rsidR="004C6F84" w:rsidRPr="00D326F8" w:rsidRDefault="003E23E4" w:rsidP="00CC65F9">
      <w:pPr>
        <w:pStyle w:val="BodyText"/>
        <w:keepNext/>
        <w:rPr>
          <w:b/>
          <w:bCs/>
        </w:rPr>
      </w:pPr>
      <w:bookmarkStart w:id="14" w:name="_Hlk62633087"/>
      <w:bookmarkStart w:id="15" w:name="_Hlk61443139"/>
      <w:r w:rsidRPr="00D326F8">
        <w:rPr>
          <w:b/>
          <w:bCs/>
        </w:rPr>
        <w:lastRenderedPageBreak/>
        <w:t>Brief Summary:</w:t>
      </w:r>
      <w:bookmarkEnd w:id="14"/>
    </w:p>
    <w:tbl>
      <w:tblPr>
        <w:tblStyle w:val="TableGrid"/>
        <w:tblW w:w="0" w:type="auto"/>
        <w:tblLook w:val="04A0" w:firstRow="1" w:lastRow="0" w:firstColumn="1" w:lastColumn="0" w:noHBand="0" w:noVBand="1"/>
      </w:tblPr>
      <w:tblGrid>
        <w:gridCol w:w="9016"/>
      </w:tblGrid>
      <w:tr w:rsidR="003B74AE" w:rsidRPr="00D326F8" w14:paraId="601A7CA0" w14:textId="77777777" w:rsidTr="00677289">
        <w:trPr>
          <w:trHeight w:val="2971"/>
        </w:trPr>
        <w:tc>
          <w:tcPr>
            <w:tcW w:w="9352" w:type="dxa"/>
          </w:tcPr>
          <w:p w14:paraId="601A7C9C" w14:textId="77777777" w:rsidR="00E10A84" w:rsidRPr="00D326F8" w:rsidRDefault="003E23E4" w:rsidP="00CC65F9">
            <w:pPr>
              <w:pStyle w:val="BodyText"/>
              <w:keepNext/>
            </w:pPr>
            <w:r w:rsidRPr="00D326F8">
              <w:t>The purpose of this study is to assess the effect of multiple doses of carbamazepine on single</w:t>
            </w:r>
            <w:r w:rsidR="00733B65" w:rsidRPr="00D326F8">
              <w:noBreakHyphen/>
            </w:r>
            <w:r w:rsidRPr="00D326F8">
              <w:t>dose tepotinib pharmacokinetics in healthy participants. Study details include:</w:t>
            </w:r>
          </w:p>
          <w:p w14:paraId="601A7C9D" w14:textId="77777777" w:rsidR="00E10A84" w:rsidRPr="00D326F8" w:rsidRDefault="003E23E4" w:rsidP="00CC65F9">
            <w:pPr>
              <w:pStyle w:val="listbull"/>
              <w:keepNext/>
            </w:pPr>
            <w:r w:rsidRPr="00D326F8">
              <w:t xml:space="preserve">Study Duration: up to </w:t>
            </w:r>
            <w:r w:rsidR="000258A1" w:rsidRPr="00D326F8">
              <w:t>about 10 weeks</w:t>
            </w:r>
          </w:p>
          <w:p w14:paraId="601A7C9E" w14:textId="77777777" w:rsidR="00E10A84" w:rsidRPr="00D326F8" w:rsidRDefault="003E23E4" w:rsidP="00CC65F9">
            <w:pPr>
              <w:pStyle w:val="listbull"/>
              <w:keepNext/>
            </w:pPr>
            <w:r w:rsidRPr="00D326F8">
              <w:t>Treatment Duration: single dose of tepotinib on Days</w:t>
            </w:r>
            <w:r w:rsidR="007256AB" w:rsidRPr="00D326F8">
              <w:t> </w:t>
            </w:r>
            <w:r w:rsidRPr="00D326F8">
              <w:t xml:space="preserve">1 and </w:t>
            </w:r>
            <w:r w:rsidR="000258A1" w:rsidRPr="00D326F8">
              <w:t>26</w:t>
            </w:r>
            <w:r w:rsidRPr="00D326F8">
              <w:t xml:space="preserve">, </w:t>
            </w:r>
            <w:r w:rsidR="00034174" w:rsidRPr="00D326F8">
              <w:t>25</w:t>
            </w:r>
            <w:r w:rsidR="007256AB" w:rsidRPr="00D326F8">
              <w:t> </w:t>
            </w:r>
            <w:r w:rsidRPr="00D326F8">
              <w:t xml:space="preserve">days of treatment with </w:t>
            </w:r>
            <w:r w:rsidR="00034174" w:rsidRPr="00D326F8">
              <w:t xml:space="preserve">carbamazepine </w:t>
            </w:r>
            <w:r w:rsidRPr="00D326F8">
              <w:t xml:space="preserve">(Days 8 to </w:t>
            </w:r>
            <w:r w:rsidR="00034174" w:rsidRPr="00D326F8">
              <w:t>32</w:t>
            </w:r>
            <w:r w:rsidRPr="00D326F8">
              <w:t>)</w:t>
            </w:r>
          </w:p>
          <w:p w14:paraId="601A7C9F" w14:textId="77777777" w:rsidR="00034174" w:rsidRPr="00D326F8" w:rsidRDefault="003E23E4" w:rsidP="00CC65F9">
            <w:pPr>
              <w:pStyle w:val="listbull"/>
              <w:keepNext/>
            </w:pPr>
            <w:r w:rsidRPr="00D326F8">
              <w:t>Visit Frequency: residence in the Clinical Research Unit from Days -1 to 4 and Days 25 to 29, ambulatory daily visits from Days 5 to 24 and 30 to 33, and one ambulatory visit on Day 39</w:t>
            </w:r>
          </w:p>
        </w:tc>
      </w:tr>
    </w:tbl>
    <w:bookmarkEnd w:id="15"/>
    <w:p w14:paraId="601A7CA1" w14:textId="77777777" w:rsidR="00BA43ED" w:rsidRPr="00D326F8" w:rsidRDefault="003E23E4" w:rsidP="00BA43ED">
      <w:pPr>
        <w:pStyle w:val="BodyText"/>
        <w:rPr>
          <w:b/>
        </w:rPr>
      </w:pPr>
      <w:r w:rsidRPr="00D326F8">
        <w:rPr>
          <w:b/>
        </w:rPr>
        <w:t xml:space="preserve">Number of Participants: </w:t>
      </w:r>
      <w:r w:rsidR="00155C7C" w:rsidRPr="00D326F8">
        <w:t>A maximum of 18 participants will be assigned to study intervention</w:t>
      </w:r>
      <w:r w:rsidR="00A7256B" w:rsidRPr="00D326F8">
        <w:t>s</w:t>
      </w:r>
      <w:r w:rsidR="00155C7C" w:rsidRPr="00D326F8">
        <w:t xml:space="preserve"> such that approximately 14 evaluable participants complete the study.</w:t>
      </w:r>
    </w:p>
    <w:p w14:paraId="601A7CA2" w14:textId="77777777" w:rsidR="00BA43ED" w:rsidRPr="00D326F8" w:rsidRDefault="003E23E4" w:rsidP="00BA43ED">
      <w:pPr>
        <w:pStyle w:val="BodyText"/>
        <w:rPr>
          <w:b/>
        </w:rPr>
      </w:pPr>
      <w:r w:rsidRPr="00D326F8">
        <w:rPr>
          <w:b/>
        </w:rPr>
        <w:t xml:space="preserve">Study Intervention Groups and Duration: </w:t>
      </w:r>
      <w:r w:rsidR="00733B65" w:rsidRPr="00D326F8">
        <w:rPr>
          <w:bCs/>
        </w:rPr>
        <w:t xml:space="preserve">40 </w:t>
      </w:r>
      <w:r w:rsidR="00155C7C" w:rsidRPr="00D326F8">
        <w:rPr>
          <w:bCs/>
        </w:rPr>
        <w:t>days of intervention period</w:t>
      </w:r>
      <w:r w:rsidR="00733B65" w:rsidRPr="00D326F8">
        <w:rPr>
          <w:bCs/>
        </w:rPr>
        <w:t xml:space="preserve"> including Safety Follow</w:t>
      </w:r>
      <w:r w:rsidR="00E02957" w:rsidRPr="00D326F8">
        <w:rPr>
          <w:bCs/>
        </w:rPr>
        <w:t xml:space="preserve"> U</w:t>
      </w:r>
      <w:r w:rsidR="00733B65" w:rsidRPr="00D326F8">
        <w:rPr>
          <w:bCs/>
        </w:rPr>
        <w:t>p on Day 39; single dose of tepotinib on Days 1 and 26; 25 days of treatment with carbamazepine</w:t>
      </w:r>
      <w:r w:rsidR="00154464" w:rsidRPr="00D326F8">
        <w:rPr>
          <w:bCs/>
        </w:rPr>
        <w:t xml:space="preserve"> (Days 8 to 32).</w:t>
      </w:r>
    </w:p>
    <w:p w14:paraId="601A7CA3" w14:textId="11C0376D" w:rsidR="00BA43ED" w:rsidRPr="00D326F8" w:rsidRDefault="003E23E4" w:rsidP="00155C7C">
      <w:pPr>
        <w:pStyle w:val="BodyText"/>
        <w:rPr>
          <w:bCs/>
        </w:rPr>
      </w:pPr>
      <w:r w:rsidRPr="00D326F8">
        <w:rPr>
          <w:b/>
        </w:rPr>
        <w:t>Involvement of Special Committee</w:t>
      </w:r>
      <w:r w:rsidR="009A0103" w:rsidRPr="00D326F8">
        <w:rPr>
          <w:b/>
        </w:rPr>
        <w:t>(s)</w:t>
      </w:r>
      <w:r w:rsidRPr="00D326F8">
        <w:rPr>
          <w:b/>
        </w:rPr>
        <w:t xml:space="preserve">: </w:t>
      </w:r>
      <w:r w:rsidR="006D695D" w:rsidRPr="00D326F8">
        <w:rPr>
          <w:bCs/>
        </w:rPr>
        <w:t>No</w:t>
      </w:r>
    </w:p>
    <w:p w14:paraId="601A7CA5" w14:textId="61D363B1" w:rsidR="00BA43ED" w:rsidRPr="00D326F8" w:rsidRDefault="003E23E4" w:rsidP="00BA43ED">
      <w:pPr>
        <w:pStyle w:val="Heading2"/>
        <w:tabs>
          <w:tab w:val="clear" w:pos="4896"/>
          <w:tab w:val="num" w:pos="5220"/>
        </w:tabs>
        <w:ind w:left="1800" w:hanging="1836"/>
      </w:pPr>
      <w:bookmarkStart w:id="16" w:name="_Ref74915749"/>
      <w:bookmarkStart w:id="17" w:name="_Ref74915776"/>
      <w:bookmarkStart w:id="18" w:name="_Toc77839717"/>
      <w:r w:rsidRPr="00D326F8">
        <w:t>Schema</w:t>
      </w:r>
      <w:bookmarkEnd w:id="16"/>
      <w:bookmarkEnd w:id="17"/>
      <w:bookmarkEnd w:id="18"/>
    </w:p>
    <w:p w14:paraId="0A5CE8AC" w14:textId="7AC40A29" w:rsidR="002F38C7" w:rsidRPr="00D326F8" w:rsidRDefault="003E23E4" w:rsidP="00BA43ED">
      <w:pPr>
        <w:pStyle w:val="BodyText"/>
      </w:pPr>
      <w:r w:rsidRPr="00D326F8">
        <w:rPr>
          <w:noProof/>
        </w:rPr>
        <w:drawing>
          <wp:inline distT="0" distB="0" distL="0" distR="0" wp14:anchorId="63815DB9" wp14:editId="74F56855">
            <wp:extent cx="5944870"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7301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4870" cy="2019300"/>
                    </a:xfrm>
                    <a:prstGeom prst="rect">
                      <a:avLst/>
                    </a:prstGeom>
                    <a:noFill/>
                    <a:ln>
                      <a:noFill/>
                    </a:ln>
                  </pic:spPr>
                </pic:pic>
              </a:graphicData>
            </a:graphic>
          </wp:inline>
        </w:drawing>
      </w:r>
    </w:p>
    <w:p w14:paraId="601A7CA6" w14:textId="77777777" w:rsidR="00A573F2" w:rsidRPr="00D326F8" w:rsidRDefault="00A573F2" w:rsidP="00BA43ED">
      <w:pPr>
        <w:pStyle w:val="BodyText"/>
      </w:pPr>
    </w:p>
    <w:p w14:paraId="601A7CA7" w14:textId="77777777" w:rsidR="00A573F2" w:rsidRPr="00D326F8" w:rsidRDefault="00A573F2" w:rsidP="00AC124A">
      <w:pPr>
        <w:pStyle w:val="Heading2"/>
        <w:tabs>
          <w:tab w:val="clear" w:pos="4896"/>
          <w:tab w:val="num" w:pos="5310"/>
        </w:tabs>
        <w:ind w:left="1800" w:hanging="1800"/>
        <w:sectPr w:rsidR="00A573F2" w:rsidRPr="00D326F8" w:rsidSect="00A070D9">
          <w:headerReference w:type="even" r:id="rId12"/>
          <w:headerReference w:type="default" r:id="rId13"/>
          <w:footerReference w:type="even" r:id="rId14"/>
          <w:footerReference w:type="default" r:id="rId15"/>
          <w:headerReference w:type="first" r:id="rId16"/>
          <w:footerReference w:type="first" r:id="rId17"/>
          <w:endnotePr>
            <w:numFmt w:val="decimal"/>
          </w:endnotePr>
          <w:pgSz w:w="11906" w:h="16838" w:code="9"/>
          <w:pgMar w:top="1440" w:right="1440" w:bottom="1440" w:left="1440" w:header="720" w:footer="720" w:gutter="0"/>
          <w:cols w:space="720"/>
          <w:docGrid w:linePitch="326"/>
        </w:sectPr>
      </w:pPr>
      <w:bookmarkStart w:id="19" w:name="_Ref31961544"/>
      <w:bookmarkStart w:id="20" w:name="_Hlk75528582"/>
    </w:p>
    <w:p w14:paraId="601A7CA8" w14:textId="77777777" w:rsidR="00BA43ED" w:rsidRPr="00D326F8" w:rsidRDefault="003E23E4" w:rsidP="00A573F2">
      <w:pPr>
        <w:pStyle w:val="Heading2"/>
        <w:tabs>
          <w:tab w:val="clear" w:pos="4896"/>
          <w:tab w:val="num" w:pos="5310"/>
        </w:tabs>
        <w:spacing w:after="120"/>
        <w:ind w:left="1797" w:hanging="1797"/>
      </w:pPr>
      <w:bookmarkStart w:id="21" w:name="_Ref77583760"/>
      <w:bookmarkStart w:id="22" w:name="_Toc77839718"/>
      <w:r w:rsidRPr="00D326F8">
        <w:lastRenderedPageBreak/>
        <w:t>Schedule of Activities</w:t>
      </w:r>
      <w:bookmarkEnd w:id="19"/>
      <w:bookmarkEnd w:id="21"/>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397"/>
        <w:gridCol w:w="890"/>
        <w:gridCol w:w="397"/>
        <w:gridCol w:w="397"/>
        <w:gridCol w:w="397"/>
        <w:gridCol w:w="397"/>
        <w:gridCol w:w="397"/>
        <w:gridCol w:w="398"/>
        <w:gridCol w:w="398"/>
        <w:gridCol w:w="398"/>
        <w:gridCol w:w="398"/>
        <w:gridCol w:w="398"/>
        <w:gridCol w:w="398"/>
        <w:gridCol w:w="398"/>
        <w:gridCol w:w="398"/>
        <w:gridCol w:w="398"/>
        <w:gridCol w:w="398"/>
        <w:gridCol w:w="398"/>
        <w:gridCol w:w="398"/>
        <w:gridCol w:w="398"/>
        <w:gridCol w:w="398"/>
        <w:gridCol w:w="398"/>
        <w:gridCol w:w="398"/>
        <w:gridCol w:w="398"/>
        <w:gridCol w:w="623"/>
        <w:gridCol w:w="1291"/>
      </w:tblGrid>
      <w:tr w:rsidR="003B74AE" w:rsidRPr="00D326F8" w14:paraId="601A7CC3" w14:textId="77777777" w:rsidTr="00BA27FF">
        <w:trPr>
          <w:cantSplit/>
          <w:tblHeader/>
        </w:trPr>
        <w:tc>
          <w:tcPr>
            <w:tcW w:w="546" w:type="pct"/>
            <w:tcBorders>
              <w:top w:val="single" w:sz="4" w:space="0" w:color="auto"/>
              <w:left w:val="single" w:sz="4" w:space="0" w:color="auto"/>
              <w:bottom w:val="single" w:sz="4" w:space="0" w:color="auto"/>
              <w:right w:val="single" w:sz="4" w:space="0" w:color="auto"/>
            </w:tcBorders>
            <w:vAlign w:val="bottom"/>
            <w:hideMark/>
          </w:tcPr>
          <w:bookmarkEnd w:id="20"/>
          <w:p w14:paraId="601A7CA9" w14:textId="77777777" w:rsidR="004A1370" w:rsidRPr="00D326F8" w:rsidRDefault="003E23E4" w:rsidP="00A573F2">
            <w:pPr>
              <w:pStyle w:val="Tabletext"/>
              <w:keepLines w:val="0"/>
              <w:widowControl w:val="0"/>
              <w:rPr>
                <w:b/>
                <w:bCs/>
                <w:sz w:val="16"/>
                <w:szCs w:val="16"/>
              </w:rPr>
            </w:pPr>
            <w:r w:rsidRPr="00D326F8">
              <w:rPr>
                <w:rFonts w:cs="Arial"/>
                <w:b/>
                <w:bCs/>
                <w:sz w:val="16"/>
                <w:szCs w:val="16"/>
              </w:rPr>
              <w:t>Assessments &amp; Procedures</w:t>
            </w:r>
          </w:p>
        </w:tc>
        <w:tc>
          <w:tcPr>
            <w:tcW w:w="269" w:type="pct"/>
            <w:tcBorders>
              <w:top w:val="single" w:sz="4" w:space="0" w:color="auto"/>
              <w:left w:val="single" w:sz="4" w:space="0" w:color="auto"/>
              <w:bottom w:val="single" w:sz="4" w:space="0" w:color="auto"/>
              <w:right w:val="single" w:sz="4" w:space="0" w:color="auto"/>
            </w:tcBorders>
            <w:vAlign w:val="bottom"/>
            <w:hideMark/>
          </w:tcPr>
          <w:p w14:paraId="601A7CAA" w14:textId="77777777" w:rsidR="004A1370" w:rsidRPr="00D326F8" w:rsidRDefault="003E23E4" w:rsidP="00A573F2">
            <w:pPr>
              <w:pStyle w:val="Tabletext"/>
              <w:keepLines w:val="0"/>
              <w:widowControl w:val="0"/>
              <w:jc w:val="center"/>
              <w:rPr>
                <w:b/>
                <w:bCs/>
                <w:sz w:val="16"/>
                <w:szCs w:val="16"/>
              </w:rPr>
            </w:pPr>
            <w:r w:rsidRPr="00D326F8">
              <w:rPr>
                <w:rFonts w:cs="Arial"/>
                <w:b/>
                <w:bCs/>
                <w:sz w:val="16"/>
                <w:szCs w:val="16"/>
              </w:rPr>
              <w:t>Screening</w:t>
            </w:r>
          </w:p>
        </w:tc>
        <w:tc>
          <w:tcPr>
            <w:tcW w:w="161" w:type="pct"/>
            <w:tcBorders>
              <w:top w:val="single" w:sz="4" w:space="0" w:color="auto"/>
              <w:left w:val="single" w:sz="4" w:space="0" w:color="auto"/>
              <w:bottom w:val="single" w:sz="4" w:space="0" w:color="auto"/>
              <w:right w:val="nil"/>
            </w:tcBorders>
          </w:tcPr>
          <w:p w14:paraId="601A7CAB"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AC"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AD"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AE"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AF"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0"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1"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2"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3"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4"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5"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6"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7"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8"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9"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A"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B"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C"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D"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E"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nil"/>
            </w:tcBorders>
            <w:vAlign w:val="center"/>
          </w:tcPr>
          <w:p w14:paraId="601A7CBF" w14:textId="77777777" w:rsidR="004A1370" w:rsidRPr="00D326F8" w:rsidRDefault="004A1370" w:rsidP="00A573F2">
            <w:pPr>
              <w:pStyle w:val="Tabletext"/>
              <w:keepLines w:val="0"/>
              <w:widowControl w:val="0"/>
              <w:jc w:val="center"/>
              <w:rPr>
                <w:b/>
                <w:bCs/>
                <w:sz w:val="16"/>
                <w:szCs w:val="16"/>
              </w:rPr>
            </w:pPr>
          </w:p>
        </w:tc>
        <w:tc>
          <w:tcPr>
            <w:tcW w:w="161" w:type="pct"/>
            <w:tcBorders>
              <w:top w:val="single" w:sz="4" w:space="0" w:color="auto"/>
              <w:left w:val="nil"/>
              <w:bottom w:val="single" w:sz="4" w:space="0" w:color="auto"/>
              <w:right w:val="single" w:sz="4" w:space="0" w:color="auto"/>
            </w:tcBorders>
            <w:vAlign w:val="center"/>
          </w:tcPr>
          <w:p w14:paraId="601A7CC0" w14:textId="77777777" w:rsidR="004A1370" w:rsidRPr="00D326F8" w:rsidRDefault="004A1370" w:rsidP="00A573F2">
            <w:pPr>
              <w:pStyle w:val="Tabletext"/>
              <w:keepLines w:val="0"/>
              <w:widowControl w:val="0"/>
              <w:jc w:val="center"/>
              <w:rPr>
                <w:b/>
                <w:bCs/>
                <w:sz w:val="16"/>
                <w:szCs w:val="16"/>
              </w:rPr>
            </w:pPr>
          </w:p>
        </w:tc>
        <w:tc>
          <w:tcPr>
            <w:tcW w:w="207" w:type="pct"/>
            <w:tcBorders>
              <w:top w:val="single" w:sz="4" w:space="0" w:color="auto"/>
              <w:left w:val="single" w:sz="4" w:space="0" w:color="auto"/>
              <w:bottom w:val="single" w:sz="4" w:space="0" w:color="auto"/>
              <w:right w:val="single" w:sz="4" w:space="0" w:color="auto"/>
            </w:tcBorders>
            <w:vAlign w:val="center"/>
            <w:hideMark/>
          </w:tcPr>
          <w:p w14:paraId="601A7CC1" w14:textId="77777777" w:rsidR="004A1370" w:rsidRPr="00D326F8" w:rsidRDefault="003E23E4" w:rsidP="00A573F2">
            <w:pPr>
              <w:pStyle w:val="Tabletext"/>
              <w:keepLines w:val="0"/>
              <w:widowControl w:val="0"/>
              <w:jc w:val="center"/>
              <w:rPr>
                <w:b/>
                <w:bCs/>
                <w:sz w:val="16"/>
                <w:szCs w:val="16"/>
              </w:rPr>
            </w:pPr>
            <w:r w:rsidRPr="00D326F8">
              <w:rPr>
                <w:rFonts w:cs="Arial"/>
                <w:b/>
                <w:bCs/>
                <w:sz w:val="16"/>
                <w:szCs w:val="16"/>
              </w:rPr>
              <w:t>Safety Follow</w:t>
            </w:r>
            <w:r w:rsidR="00E02957" w:rsidRPr="00D326F8">
              <w:rPr>
                <w:rFonts w:cs="Arial"/>
                <w:b/>
                <w:bCs/>
                <w:sz w:val="16"/>
                <w:szCs w:val="16"/>
              </w:rPr>
              <w:t xml:space="preserve"> U</w:t>
            </w:r>
            <w:r w:rsidRPr="00D326F8">
              <w:rPr>
                <w:rFonts w:cs="Arial"/>
                <w:b/>
                <w:bCs/>
                <w:sz w:val="16"/>
                <w:szCs w:val="16"/>
              </w:rPr>
              <w:t>p</w:t>
            </w:r>
          </w:p>
        </w:tc>
        <w:tc>
          <w:tcPr>
            <w:tcW w:w="431" w:type="pct"/>
            <w:tcBorders>
              <w:top w:val="single" w:sz="4" w:space="0" w:color="auto"/>
              <w:left w:val="single" w:sz="4" w:space="0" w:color="auto"/>
              <w:bottom w:val="single" w:sz="4" w:space="0" w:color="auto"/>
              <w:right w:val="single" w:sz="4" w:space="0" w:color="auto"/>
            </w:tcBorders>
            <w:vAlign w:val="bottom"/>
            <w:hideMark/>
          </w:tcPr>
          <w:p w14:paraId="601A7CC2" w14:textId="77777777" w:rsidR="004A1370" w:rsidRPr="00D326F8" w:rsidRDefault="003E23E4" w:rsidP="00A573F2">
            <w:pPr>
              <w:pStyle w:val="Tabletext"/>
              <w:keepLines w:val="0"/>
              <w:widowControl w:val="0"/>
              <w:jc w:val="center"/>
              <w:rPr>
                <w:b/>
                <w:bCs/>
                <w:sz w:val="16"/>
                <w:szCs w:val="16"/>
              </w:rPr>
            </w:pPr>
            <w:r w:rsidRPr="00D326F8">
              <w:rPr>
                <w:rFonts w:cs="Arial"/>
                <w:b/>
                <w:bCs/>
                <w:sz w:val="16"/>
                <w:szCs w:val="16"/>
              </w:rPr>
              <w:t>Notes</w:t>
            </w:r>
          </w:p>
        </w:tc>
      </w:tr>
      <w:tr w:rsidR="003B74AE" w:rsidRPr="00D326F8" w14:paraId="601A7CDE" w14:textId="77777777" w:rsidTr="00BA27FF">
        <w:trPr>
          <w:cantSplit/>
          <w:tblHeader/>
        </w:trPr>
        <w:tc>
          <w:tcPr>
            <w:tcW w:w="546" w:type="pct"/>
            <w:tcBorders>
              <w:top w:val="single" w:sz="4" w:space="0" w:color="auto"/>
              <w:left w:val="single" w:sz="4" w:space="0" w:color="auto"/>
              <w:bottom w:val="single" w:sz="4" w:space="0" w:color="auto"/>
              <w:right w:val="single" w:sz="4" w:space="0" w:color="auto"/>
            </w:tcBorders>
            <w:vAlign w:val="center"/>
            <w:hideMark/>
          </w:tcPr>
          <w:p w14:paraId="601A7CC4" w14:textId="77777777" w:rsidR="004A1370" w:rsidRPr="00D326F8" w:rsidRDefault="003E23E4" w:rsidP="00A573F2">
            <w:pPr>
              <w:pStyle w:val="Tabletext"/>
              <w:keepLines w:val="0"/>
              <w:widowControl w:val="0"/>
              <w:rPr>
                <w:b/>
                <w:sz w:val="16"/>
                <w:szCs w:val="16"/>
              </w:rPr>
            </w:pPr>
            <w:r w:rsidRPr="00D326F8">
              <w:rPr>
                <w:b/>
                <w:sz w:val="16"/>
                <w:szCs w:val="16"/>
              </w:rPr>
              <w:t>Study Day</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CC5" w14:textId="77777777" w:rsidR="004A1370" w:rsidRPr="00D326F8" w:rsidRDefault="003E23E4" w:rsidP="00A573F2">
            <w:pPr>
              <w:pStyle w:val="Tabletext"/>
              <w:keepLines w:val="0"/>
              <w:widowControl w:val="0"/>
              <w:jc w:val="center"/>
              <w:rPr>
                <w:b/>
                <w:sz w:val="16"/>
                <w:szCs w:val="16"/>
              </w:rPr>
            </w:pPr>
            <w:r w:rsidRPr="00D326F8">
              <w:rPr>
                <w:b/>
                <w:sz w:val="16"/>
                <w:szCs w:val="16"/>
              </w:rPr>
              <w:t>-28 to -2</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6" w14:textId="77777777" w:rsidR="004A1370" w:rsidRPr="00D326F8" w:rsidRDefault="003E23E4" w:rsidP="00A573F2">
            <w:pPr>
              <w:pStyle w:val="Tabletext"/>
              <w:keepLines w:val="0"/>
              <w:widowControl w:val="0"/>
              <w:jc w:val="center"/>
              <w:rPr>
                <w:b/>
                <w:sz w:val="16"/>
                <w:szCs w:val="16"/>
              </w:rPr>
            </w:pPr>
            <w:r w:rsidRPr="00D326F8">
              <w:rPr>
                <w:b/>
                <w:sz w:val="16"/>
                <w:szCs w:val="16"/>
              </w:rPr>
              <w:t>-1</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7" w14:textId="77777777" w:rsidR="004A1370" w:rsidRPr="00D326F8" w:rsidRDefault="003E23E4" w:rsidP="00A573F2">
            <w:pPr>
              <w:pStyle w:val="Tabletext"/>
              <w:keepLines w:val="0"/>
              <w:widowControl w:val="0"/>
              <w:jc w:val="center"/>
              <w:rPr>
                <w:b/>
                <w:sz w:val="16"/>
                <w:szCs w:val="16"/>
              </w:rPr>
            </w:pPr>
            <w:r w:rsidRPr="00D326F8">
              <w:rPr>
                <w:b/>
                <w:sz w:val="16"/>
                <w:szCs w:val="16"/>
              </w:rPr>
              <w:t>1</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8" w14:textId="77777777" w:rsidR="004A1370" w:rsidRPr="00D326F8" w:rsidRDefault="003E23E4" w:rsidP="00A573F2">
            <w:pPr>
              <w:pStyle w:val="Tabletext"/>
              <w:keepLines w:val="0"/>
              <w:widowControl w:val="0"/>
              <w:jc w:val="center"/>
              <w:rPr>
                <w:b/>
                <w:sz w:val="16"/>
                <w:szCs w:val="16"/>
              </w:rPr>
            </w:pPr>
            <w:r w:rsidRPr="00D326F8">
              <w:rPr>
                <w:b/>
                <w:sz w:val="16"/>
                <w:szCs w:val="16"/>
              </w:rPr>
              <w:t>2</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9" w14:textId="77777777" w:rsidR="004A1370" w:rsidRPr="00D326F8" w:rsidRDefault="003E23E4" w:rsidP="00A573F2">
            <w:pPr>
              <w:pStyle w:val="Tabletext"/>
              <w:keepLines w:val="0"/>
              <w:widowControl w:val="0"/>
              <w:jc w:val="center"/>
              <w:rPr>
                <w:b/>
                <w:sz w:val="16"/>
                <w:szCs w:val="16"/>
              </w:rPr>
            </w:pPr>
            <w:r w:rsidRPr="00D326F8">
              <w:rPr>
                <w:b/>
                <w:sz w:val="16"/>
                <w:szCs w:val="16"/>
              </w:rPr>
              <w:t>3</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A" w14:textId="77777777" w:rsidR="004A1370" w:rsidRPr="00D326F8" w:rsidRDefault="003E23E4" w:rsidP="00A573F2">
            <w:pPr>
              <w:pStyle w:val="Tabletext"/>
              <w:keepLines w:val="0"/>
              <w:widowControl w:val="0"/>
              <w:jc w:val="center"/>
              <w:rPr>
                <w:b/>
                <w:sz w:val="16"/>
                <w:szCs w:val="16"/>
              </w:rPr>
            </w:pPr>
            <w:r w:rsidRPr="00D326F8">
              <w:rPr>
                <w:b/>
                <w:sz w:val="16"/>
                <w:szCs w:val="16"/>
              </w:rPr>
              <w:t>4</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B" w14:textId="77777777" w:rsidR="004A1370" w:rsidRPr="00D326F8" w:rsidRDefault="003E23E4" w:rsidP="00A573F2">
            <w:pPr>
              <w:pStyle w:val="Tabletext"/>
              <w:keepLines w:val="0"/>
              <w:widowControl w:val="0"/>
              <w:jc w:val="center"/>
              <w:rPr>
                <w:b/>
                <w:sz w:val="16"/>
                <w:szCs w:val="16"/>
              </w:rPr>
            </w:pPr>
            <w:r w:rsidRPr="00D326F8">
              <w:rPr>
                <w:b/>
                <w:sz w:val="16"/>
                <w:szCs w:val="16"/>
              </w:rPr>
              <w:t>5</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C" w14:textId="77777777" w:rsidR="004A1370" w:rsidRPr="00D326F8" w:rsidRDefault="003E23E4" w:rsidP="00A573F2">
            <w:pPr>
              <w:pStyle w:val="Tabletext"/>
              <w:keepLines w:val="0"/>
              <w:widowControl w:val="0"/>
              <w:jc w:val="center"/>
              <w:rPr>
                <w:b/>
                <w:sz w:val="16"/>
                <w:szCs w:val="16"/>
              </w:rPr>
            </w:pPr>
            <w:r w:rsidRPr="00D326F8">
              <w:rPr>
                <w:b/>
                <w:sz w:val="16"/>
                <w:szCs w:val="16"/>
              </w:rPr>
              <w:t>6</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D" w14:textId="77777777" w:rsidR="004A1370" w:rsidRPr="00D326F8" w:rsidRDefault="003E23E4" w:rsidP="00A573F2">
            <w:pPr>
              <w:pStyle w:val="Tabletext"/>
              <w:keepLines w:val="0"/>
              <w:widowControl w:val="0"/>
              <w:jc w:val="center"/>
              <w:rPr>
                <w:b/>
                <w:sz w:val="16"/>
                <w:szCs w:val="16"/>
              </w:rPr>
            </w:pPr>
            <w:r w:rsidRPr="00D326F8">
              <w:rPr>
                <w:b/>
                <w:sz w:val="16"/>
                <w:szCs w:val="16"/>
              </w:rPr>
              <w:t>7</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E" w14:textId="77777777" w:rsidR="004A1370" w:rsidRPr="00D326F8" w:rsidRDefault="003E23E4" w:rsidP="00A573F2">
            <w:pPr>
              <w:pStyle w:val="Tabletext"/>
              <w:keepLines w:val="0"/>
              <w:widowControl w:val="0"/>
              <w:jc w:val="center"/>
              <w:rPr>
                <w:b/>
                <w:sz w:val="16"/>
                <w:szCs w:val="16"/>
              </w:rPr>
            </w:pPr>
            <w:r w:rsidRPr="00D326F8">
              <w:rPr>
                <w:b/>
                <w:sz w:val="16"/>
                <w:szCs w:val="16"/>
              </w:rPr>
              <w:t>8</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CF" w14:textId="77777777" w:rsidR="004A1370" w:rsidRPr="00D326F8" w:rsidRDefault="003E23E4" w:rsidP="00A573F2">
            <w:pPr>
              <w:pStyle w:val="Tabletext"/>
              <w:keepLines w:val="0"/>
              <w:widowControl w:val="0"/>
              <w:jc w:val="center"/>
              <w:rPr>
                <w:b/>
                <w:sz w:val="16"/>
                <w:szCs w:val="16"/>
              </w:rPr>
            </w:pPr>
            <w:r w:rsidRPr="00D326F8">
              <w:rPr>
                <w:b/>
                <w:sz w:val="16"/>
                <w:szCs w:val="16"/>
              </w:rPr>
              <w:t>9</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0" w14:textId="77777777" w:rsidR="004A1370" w:rsidRPr="00D326F8" w:rsidRDefault="003E23E4" w:rsidP="00A573F2">
            <w:pPr>
              <w:pStyle w:val="Tabletext"/>
              <w:keepLines w:val="0"/>
              <w:widowControl w:val="0"/>
              <w:jc w:val="center"/>
              <w:rPr>
                <w:b/>
                <w:sz w:val="16"/>
                <w:szCs w:val="16"/>
              </w:rPr>
            </w:pPr>
            <w:r w:rsidRPr="00D326F8">
              <w:rPr>
                <w:b/>
                <w:sz w:val="16"/>
                <w:szCs w:val="16"/>
              </w:rPr>
              <w:t>10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1" w14:textId="77777777" w:rsidR="004A1370" w:rsidRPr="00D326F8" w:rsidRDefault="003E23E4" w:rsidP="00A573F2">
            <w:pPr>
              <w:pStyle w:val="Tabletext"/>
              <w:keepLines w:val="0"/>
              <w:widowControl w:val="0"/>
              <w:jc w:val="center"/>
              <w:rPr>
                <w:b/>
                <w:sz w:val="16"/>
                <w:szCs w:val="16"/>
              </w:rPr>
            </w:pPr>
            <w:r w:rsidRPr="00D326F8">
              <w:rPr>
                <w:b/>
                <w:sz w:val="16"/>
                <w:szCs w:val="16"/>
              </w:rPr>
              <w:t>11</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2" w14:textId="77777777" w:rsidR="004A1370" w:rsidRPr="00D326F8" w:rsidRDefault="003E23E4" w:rsidP="00A573F2">
            <w:pPr>
              <w:pStyle w:val="Tabletext"/>
              <w:keepLines w:val="0"/>
              <w:widowControl w:val="0"/>
              <w:jc w:val="center"/>
              <w:rPr>
                <w:b/>
                <w:sz w:val="16"/>
                <w:szCs w:val="16"/>
              </w:rPr>
            </w:pPr>
            <w:r w:rsidRPr="00D326F8">
              <w:rPr>
                <w:b/>
                <w:sz w:val="16"/>
                <w:szCs w:val="16"/>
              </w:rPr>
              <w:t>12-24</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3" w14:textId="77777777" w:rsidR="004A1370" w:rsidRPr="00D326F8" w:rsidRDefault="003E23E4" w:rsidP="00A573F2">
            <w:pPr>
              <w:pStyle w:val="Tabletext"/>
              <w:keepLines w:val="0"/>
              <w:widowControl w:val="0"/>
              <w:jc w:val="center"/>
              <w:rPr>
                <w:b/>
                <w:sz w:val="16"/>
                <w:szCs w:val="16"/>
              </w:rPr>
            </w:pPr>
            <w:r w:rsidRPr="00D326F8">
              <w:rPr>
                <w:b/>
                <w:sz w:val="16"/>
                <w:szCs w:val="16"/>
              </w:rPr>
              <w:t>25</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4" w14:textId="77777777" w:rsidR="004A1370" w:rsidRPr="00D326F8" w:rsidRDefault="003E23E4" w:rsidP="00A573F2">
            <w:pPr>
              <w:pStyle w:val="Tabletext"/>
              <w:keepLines w:val="0"/>
              <w:widowControl w:val="0"/>
              <w:jc w:val="center"/>
              <w:rPr>
                <w:b/>
                <w:sz w:val="16"/>
                <w:szCs w:val="16"/>
              </w:rPr>
            </w:pPr>
            <w:r w:rsidRPr="00D326F8">
              <w:rPr>
                <w:b/>
                <w:sz w:val="16"/>
                <w:szCs w:val="16"/>
              </w:rPr>
              <w:t>26</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5" w14:textId="77777777" w:rsidR="004A1370" w:rsidRPr="00D326F8" w:rsidRDefault="003E23E4" w:rsidP="00A573F2">
            <w:pPr>
              <w:pStyle w:val="Tabletext"/>
              <w:keepLines w:val="0"/>
              <w:widowControl w:val="0"/>
              <w:jc w:val="center"/>
              <w:rPr>
                <w:b/>
                <w:sz w:val="16"/>
                <w:szCs w:val="16"/>
              </w:rPr>
            </w:pPr>
            <w:r w:rsidRPr="00D326F8">
              <w:rPr>
                <w:b/>
                <w:sz w:val="16"/>
                <w:szCs w:val="16"/>
              </w:rPr>
              <w:t>27</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6" w14:textId="77777777" w:rsidR="004A1370" w:rsidRPr="00D326F8" w:rsidRDefault="003E23E4" w:rsidP="00A573F2">
            <w:pPr>
              <w:pStyle w:val="Tabletext"/>
              <w:keepLines w:val="0"/>
              <w:widowControl w:val="0"/>
              <w:jc w:val="center"/>
              <w:rPr>
                <w:b/>
                <w:sz w:val="16"/>
                <w:szCs w:val="16"/>
              </w:rPr>
            </w:pPr>
            <w:r w:rsidRPr="00D326F8">
              <w:rPr>
                <w:b/>
                <w:sz w:val="16"/>
                <w:szCs w:val="16"/>
              </w:rPr>
              <w:t>28</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7" w14:textId="77777777" w:rsidR="004A1370" w:rsidRPr="00D326F8" w:rsidRDefault="003E23E4" w:rsidP="00A573F2">
            <w:pPr>
              <w:pStyle w:val="Tabletext"/>
              <w:keepLines w:val="0"/>
              <w:widowControl w:val="0"/>
              <w:jc w:val="center"/>
              <w:rPr>
                <w:b/>
                <w:sz w:val="16"/>
                <w:szCs w:val="16"/>
              </w:rPr>
            </w:pPr>
            <w:r w:rsidRPr="00D326F8">
              <w:rPr>
                <w:b/>
                <w:sz w:val="16"/>
                <w:szCs w:val="16"/>
              </w:rPr>
              <w:t>29</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8" w14:textId="77777777" w:rsidR="004A1370" w:rsidRPr="00D326F8" w:rsidRDefault="003E23E4" w:rsidP="00A573F2">
            <w:pPr>
              <w:pStyle w:val="Tabletext"/>
              <w:keepLines w:val="0"/>
              <w:widowControl w:val="0"/>
              <w:jc w:val="center"/>
              <w:rPr>
                <w:b/>
                <w:sz w:val="16"/>
                <w:szCs w:val="16"/>
              </w:rPr>
            </w:pPr>
            <w:r w:rsidRPr="00D326F8">
              <w:rPr>
                <w:b/>
                <w:sz w:val="16"/>
                <w:szCs w:val="16"/>
              </w:rPr>
              <w:t>30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9" w14:textId="77777777" w:rsidR="004A1370" w:rsidRPr="00D326F8" w:rsidRDefault="003E23E4" w:rsidP="00A573F2">
            <w:pPr>
              <w:pStyle w:val="Tabletext"/>
              <w:keepLines w:val="0"/>
              <w:widowControl w:val="0"/>
              <w:jc w:val="center"/>
              <w:rPr>
                <w:b/>
                <w:sz w:val="16"/>
                <w:szCs w:val="16"/>
              </w:rPr>
            </w:pPr>
            <w:r w:rsidRPr="00D326F8">
              <w:rPr>
                <w:b/>
                <w:sz w:val="16"/>
                <w:szCs w:val="16"/>
              </w:rPr>
              <w:t>31</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A" w14:textId="77777777" w:rsidR="004A1370" w:rsidRPr="00D326F8" w:rsidRDefault="003E23E4" w:rsidP="00A573F2">
            <w:pPr>
              <w:pStyle w:val="Tabletext"/>
              <w:keepLines w:val="0"/>
              <w:widowControl w:val="0"/>
              <w:jc w:val="center"/>
              <w:rPr>
                <w:b/>
                <w:sz w:val="16"/>
                <w:szCs w:val="16"/>
              </w:rPr>
            </w:pPr>
            <w:r w:rsidRPr="00D326F8">
              <w:rPr>
                <w:b/>
                <w:sz w:val="16"/>
                <w:szCs w:val="16"/>
              </w:rPr>
              <w:t>32</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DB" w14:textId="77777777" w:rsidR="004A1370" w:rsidRPr="00D326F8" w:rsidRDefault="003E23E4" w:rsidP="00A573F2">
            <w:pPr>
              <w:pStyle w:val="Tabletext"/>
              <w:keepLines w:val="0"/>
              <w:widowControl w:val="0"/>
              <w:jc w:val="center"/>
              <w:rPr>
                <w:b/>
                <w:sz w:val="16"/>
                <w:szCs w:val="16"/>
              </w:rPr>
            </w:pPr>
            <w:r w:rsidRPr="00D326F8">
              <w:rPr>
                <w:b/>
                <w:sz w:val="16"/>
                <w:szCs w:val="16"/>
              </w:rPr>
              <w:t>33</w:t>
            </w:r>
          </w:p>
        </w:tc>
        <w:tc>
          <w:tcPr>
            <w:tcW w:w="207" w:type="pct"/>
            <w:tcBorders>
              <w:top w:val="single" w:sz="4" w:space="0" w:color="auto"/>
              <w:left w:val="single" w:sz="4" w:space="0" w:color="auto"/>
              <w:bottom w:val="single" w:sz="4" w:space="0" w:color="auto"/>
              <w:right w:val="single" w:sz="4" w:space="0" w:color="auto"/>
            </w:tcBorders>
            <w:vAlign w:val="center"/>
            <w:hideMark/>
          </w:tcPr>
          <w:p w14:paraId="601A7CDC" w14:textId="77777777" w:rsidR="004A1370" w:rsidRPr="00D326F8" w:rsidRDefault="003E23E4" w:rsidP="00A573F2">
            <w:pPr>
              <w:pStyle w:val="Tabletext"/>
              <w:keepLines w:val="0"/>
              <w:widowControl w:val="0"/>
              <w:jc w:val="center"/>
              <w:rPr>
                <w:b/>
                <w:sz w:val="16"/>
                <w:szCs w:val="16"/>
              </w:rPr>
            </w:pPr>
            <w:r w:rsidRPr="00D326F8">
              <w:rPr>
                <w:b/>
                <w:sz w:val="16"/>
                <w:szCs w:val="16"/>
              </w:rPr>
              <w:t>39</w:t>
            </w:r>
          </w:p>
        </w:tc>
        <w:tc>
          <w:tcPr>
            <w:tcW w:w="431" w:type="pct"/>
            <w:tcBorders>
              <w:top w:val="single" w:sz="4" w:space="0" w:color="auto"/>
              <w:left w:val="single" w:sz="4" w:space="0" w:color="auto"/>
              <w:bottom w:val="single" w:sz="4" w:space="0" w:color="auto"/>
              <w:right w:val="single" w:sz="4" w:space="0" w:color="auto"/>
            </w:tcBorders>
            <w:vAlign w:val="center"/>
          </w:tcPr>
          <w:p w14:paraId="601A7CDD" w14:textId="77777777" w:rsidR="004A1370" w:rsidRPr="00D326F8" w:rsidRDefault="004A1370" w:rsidP="00A573F2">
            <w:pPr>
              <w:pStyle w:val="Tabletext"/>
              <w:keepLines w:val="0"/>
              <w:widowControl w:val="0"/>
              <w:jc w:val="center"/>
              <w:rPr>
                <w:b/>
                <w:sz w:val="16"/>
                <w:szCs w:val="16"/>
              </w:rPr>
            </w:pPr>
          </w:p>
        </w:tc>
      </w:tr>
      <w:tr w:rsidR="003B74AE" w:rsidRPr="00D326F8" w14:paraId="601A7CF9"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CDF" w14:textId="77777777" w:rsidR="004A1370" w:rsidRPr="00D326F8" w:rsidRDefault="003E23E4" w:rsidP="00A573F2">
            <w:pPr>
              <w:pStyle w:val="Tabletext"/>
              <w:keepLines w:val="0"/>
              <w:widowControl w:val="0"/>
              <w:rPr>
                <w:sz w:val="16"/>
                <w:szCs w:val="16"/>
              </w:rPr>
            </w:pPr>
            <w:r w:rsidRPr="00D326F8">
              <w:rPr>
                <w:sz w:val="16"/>
                <w:szCs w:val="16"/>
              </w:rPr>
              <w:t>Informed consent</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CE0"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E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F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F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F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F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F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F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CF6"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F7"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601A7CF8" w14:textId="77777777" w:rsidR="004A1370" w:rsidRPr="00D326F8" w:rsidRDefault="003E23E4" w:rsidP="00BA27FF">
            <w:pPr>
              <w:pStyle w:val="Tabletext"/>
              <w:keepLines w:val="0"/>
              <w:widowControl w:val="0"/>
              <w:rPr>
                <w:sz w:val="16"/>
                <w:szCs w:val="16"/>
              </w:rPr>
            </w:pPr>
            <w:r w:rsidRPr="00D326F8">
              <w:rPr>
                <w:sz w:val="16"/>
                <w:szCs w:val="16"/>
              </w:rPr>
              <w:t>Prior to any Screening activity.</w:t>
            </w:r>
          </w:p>
        </w:tc>
      </w:tr>
      <w:tr w:rsidR="003B74AE" w:rsidRPr="00D326F8" w14:paraId="601A7D14"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CFA" w14:textId="77777777" w:rsidR="004A1370" w:rsidRPr="00D326F8" w:rsidRDefault="003E23E4" w:rsidP="00A573F2">
            <w:pPr>
              <w:pStyle w:val="Tabletext"/>
              <w:keepLines w:val="0"/>
              <w:widowControl w:val="0"/>
              <w:rPr>
                <w:sz w:val="16"/>
                <w:szCs w:val="16"/>
              </w:rPr>
            </w:pPr>
            <w:r w:rsidRPr="00D326F8">
              <w:rPr>
                <w:sz w:val="16"/>
                <w:szCs w:val="16"/>
              </w:rPr>
              <w:t>Participants resident at CRU</w:t>
            </w:r>
          </w:p>
        </w:tc>
        <w:tc>
          <w:tcPr>
            <w:tcW w:w="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CF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FC"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FD"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FE"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CFF"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00"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09"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0A"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0B"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0C"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0D"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0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1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D11"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12"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13" w14:textId="77777777" w:rsidR="004A1370" w:rsidRPr="00D326F8" w:rsidRDefault="004A1370" w:rsidP="00A573F2">
            <w:pPr>
              <w:pStyle w:val="Tabletext"/>
              <w:keepLines w:val="0"/>
              <w:widowControl w:val="0"/>
              <w:rPr>
                <w:sz w:val="16"/>
                <w:szCs w:val="16"/>
              </w:rPr>
            </w:pPr>
          </w:p>
        </w:tc>
      </w:tr>
      <w:tr w:rsidR="003B74AE" w:rsidRPr="00D326F8" w14:paraId="601A7D2F"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D15" w14:textId="77777777" w:rsidR="004A1370" w:rsidRPr="00D326F8" w:rsidRDefault="003E23E4" w:rsidP="00A573F2">
            <w:pPr>
              <w:pStyle w:val="Tabletext"/>
              <w:keepLines w:val="0"/>
              <w:widowControl w:val="0"/>
              <w:rPr>
                <w:sz w:val="16"/>
                <w:szCs w:val="16"/>
              </w:rPr>
            </w:pPr>
            <w:r w:rsidRPr="00D326F8">
              <w:rPr>
                <w:sz w:val="16"/>
                <w:szCs w:val="16"/>
              </w:rPr>
              <w:t>Ambulatory visits at CRU</w:t>
            </w:r>
          </w:p>
        </w:tc>
        <w:tc>
          <w:tcPr>
            <w:tcW w:w="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1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1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1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1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1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1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1C"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1D"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1E"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1F"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20"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21"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22"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23"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2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2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2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2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2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29"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2A"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2B"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2C"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207" w:type="pct"/>
            <w:tcBorders>
              <w:top w:val="single" w:sz="4" w:space="0" w:color="auto"/>
              <w:left w:val="single" w:sz="4" w:space="0" w:color="auto"/>
              <w:bottom w:val="single" w:sz="4" w:space="0" w:color="auto"/>
              <w:right w:val="single" w:sz="4" w:space="0" w:color="auto"/>
            </w:tcBorders>
            <w:vAlign w:val="center"/>
            <w:hideMark/>
          </w:tcPr>
          <w:p w14:paraId="601A7D2D"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4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2E" w14:textId="77777777" w:rsidR="004A1370" w:rsidRPr="00D326F8" w:rsidRDefault="004A1370" w:rsidP="00A573F2">
            <w:pPr>
              <w:pStyle w:val="Tabletext"/>
              <w:keepLines w:val="0"/>
              <w:widowControl w:val="0"/>
              <w:rPr>
                <w:sz w:val="16"/>
                <w:szCs w:val="16"/>
              </w:rPr>
            </w:pPr>
          </w:p>
        </w:tc>
      </w:tr>
      <w:tr w:rsidR="003B74AE" w:rsidRPr="00D326F8" w14:paraId="601A7D4A"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D30" w14:textId="77777777" w:rsidR="004A1370" w:rsidRPr="00D326F8" w:rsidRDefault="003E23E4" w:rsidP="00A573F2">
            <w:pPr>
              <w:pStyle w:val="Tabletext"/>
              <w:keepLines w:val="0"/>
              <w:widowControl w:val="0"/>
              <w:rPr>
                <w:sz w:val="16"/>
                <w:szCs w:val="16"/>
              </w:rPr>
            </w:pPr>
            <w:r w:rsidRPr="00D326F8">
              <w:rPr>
                <w:sz w:val="16"/>
                <w:szCs w:val="16"/>
              </w:rPr>
              <w:t>Eligibility criteria</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D31"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32" w14:textId="7D3AFB54"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3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7"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8"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601A7D49" w14:textId="5A562C68" w:rsidR="004A1370" w:rsidRPr="00D326F8" w:rsidRDefault="003E23E4" w:rsidP="00A573F2">
            <w:pPr>
              <w:pStyle w:val="Tabletext"/>
              <w:keepLines w:val="0"/>
              <w:widowControl w:val="0"/>
              <w:rPr>
                <w:sz w:val="16"/>
                <w:szCs w:val="16"/>
              </w:rPr>
            </w:pPr>
            <w:r w:rsidRPr="00D326F8">
              <w:rPr>
                <w:sz w:val="16"/>
                <w:szCs w:val="16"/>
              </w:rPr>
              <w:t>Recheck of eligibility criteria on Day </w:t>
            </w:r>
            <w:r w:rsidRPr="00D326F8">
              <w:rPr>
                <w:sz w:val="16"/>
                <w:szCs w:val="16"/>
              </w:rPr>
              <w:noBreakHyphen/>
              <w:t>1, (Sections</w:t>
            </w:r>
            <w:r w:rsidR="00E02957" w:rsidRPr="00D326F8">
              <w:rPr>
                <w:sz w:val="16"/>
                <w:szCs w:val="16"/>
              </w:rPr>
              <w:t> </w:t>
            </w:r>
            <w:r w:rsidR="00CE381C" w:rsidRPr="00D326F8">
              <w:rPr>
                <w:sz w:val="16"/>
                <w:szCs w:val="16"/>
              </w:rPr>
              <w:fldChar w:fldCharType="begin"/>
            </w:r>
            <w:r w:rsidR="00CE381C" w:rsidRPr="00D326F8">
              <w:rPr>
                <w:sz w:val="16"/>
                <w:szCs w:val="16"/>
              </w:rPr>
              <w:instrText xml:space="preserve"> REF _Ref3989452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5.1</w:t>
            </w:r>
            <w:r w:rsidR="00CE381C" w:rsidRPr="00D326F8">
              <w:rPr>
                <w:sz w:val="16"/>
                <w:szCs w:val="16"/>
              </w:rPr>
              <w:fldChar w:fldCharType="end"/>
            </w:r>
            <w:r w:rsidR="00CE381C" w:rsidRPr="00D326F8">
              <w:rPr>
                <w:sz w:val="16"/>
                <w:szCs w:val="16"/>
              </w:rPr>
              <w:t xml:space="preserve"> and </w:t>
            </w:r>
            <w:r w:rsidR="00CE381C" w:rsidRPr="00D326F8">
              <w:rPr>
                <w:sz w:val="16"/>
                <w:szCs w:val="16"/>
              </w:rPr>
              <w:fldChar w:fldCharType="begin"/>
            </w:r>
            <w:r w:rsidR="00CE381C" w:rsidRPr="00D326F8">
              <w:rPr>
                <w:sz w:val="16"/>
                <w:szCs w:val="16"/>
              </w:rPr>
              <w:instrText xml:space="preserve"> REF _Ref3989475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5.2</w:t>
            </w:r>
            <w:r w:rsidR="00CE381C" w:rsidRPr="00D326F8">
              <w:rPr>
                <w:sz w:val="16"/>
                <w:szCs w:val="16"/>
              </w:rPr>
              <w:fldChar w:fldCharType="end"/>
            </w:r>
            <w:r w:rsidRPr="00D326F8">
              <w:rPr>
                <w:sz w:val="16"/>
                <w:szCs w:val="16"/>
              </w:rPr>
              <w:t>).</w:t>
            </w:r>
          </w:p>
        </w:tc>
      </w:tr>
      <w:tr w:rsidR="003B74AE" w:rsidRPr="00D326F8" w14:paraId="601A7D65"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D4B" w14:textId="77777777" w:rsidR="004A1370" w:rsidRPr="00D326F8" w:rsidRDefault="003E23E4" w:rsidP="00A573F2">
            <w:pPr>
              <w:pStyle w:val="Tabletext"/>
              <w:keepLines w:val="0"/>
              <w:widowControl w:val="0"/>
              <w:rPr>
                <w:sz w:val="16"/>
                <w:szCs w:val="16"/>
              </w:rPr>
            </w:pPr>
            <w:r w:rsidRPr="00D326F8">
              <w:rPr>
                <w:sz w:val="16"/>
                <w:szCs w:val="16"/>
              </w:rPr>
              <w:t>Demography, height &amp; weight</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D4C"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4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5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2"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3"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601A7D64" w14:textId="77777777" w:rsidR="004A1370" w:rsidRPr="00D326F8" w:rsidRDefault="003E23E4" w:rsidP="00A573F2">
            <w:pPr>
              <w:pStyle w:val="Tabletext"/>
              <w:keepLines w:val="0"/>
              <w:widowControl w:val="0"/>
              <w:rPr>
                <w:sz w:val="16"/>
                <w:szCs w:val="16"/>
              </w:rPr>
            </w:pPr>
            <w:r w:rsidRPr="00D326F8">
              <w:rPr>
                <w:sz w:val="16"/>
                <w:szCs w:val="16"/>
              </w:rPr>
              <w:t>Demography to include, at minimum age (year of birth), sex, race, and ethnicity.</w:t>
            </w:r>
          </w:p>
        </w:tc>
      </w:tr>
      <w:tr w:rsidR="003B74AE" w:rsidRPr="00D326F8" w14:paraId="601A7D80"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D66" w14:textId="77777777" w:rsidR="004A1370" w:rsidRPr="00D326F8" w:rsidRDefault="003E23E4" w:rsidP="00A573F2">
            <w:pPr>
              <w:pStyle w:val="Tabletext"/>
              <w:keepLines w:val="0"/>
              <w:widowControl w:val="0"/>
              <w:rPr>
                <w:sz w:val="16"/>
                <w:szCs w:val="16"/>
              </w:rPr>
            </w:pPr>
            <w:r w:rsidRPr="00D326F8">
              <w:rPr>
                <w:sz w:val="16"/>
                <w:szCs w:val="16"/>
              </w:rPr>
              <w:t>Medical history</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D67"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6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D"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E"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7F" w14:textId="77777777" w:rsidR="004A1370" w:rsidRPr="00D326F8" w:rsidRDefault="004A1370" w:rsidP="00A573F2">
            <w:pPr>
              <w:pStyle w:val="Tabletext"/>
              <w:keepLines w:val="0"/>
              <w:widowControl w:val="0"/>
              <w:rPr>
                <w:sz w:val="16"/>
                <w:szCs w:val="16"/>
              </w:rPr>
            </w:pPr>
          </w:p>
        </w:tc>
      </w:tr>
      <w:tr w:rsidR="003B74AE" w:rsidRPr="00D326F8" w14:paraId="601A7D9C"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D81" w14:textId="77777777" w:rsidR="004A1370" w:rsidRPr="00D326F8" w:rsidRDefault="003E23E4" w:rsidP="00A573F2">
            <w:pPr>
              <w:pStyle w:val="Tabletext"/>
              <w:keepLines w:val="0"/>
              <w:widowControl w:val="0"/>
              <w:rPr>
                <w:sz w:val="16"/>
                <w:szCs w:val="16"/>
              </w:rPr>
            </w:pPr>
            <w:r w:rsidRPr="00D326F8">
              <w:rPr>
                <w:sz w:val="16"/>
                <w:szCs w:val="16"/>
              </w:rPr>
              <w:t>Physical examination</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D82"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83"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8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90"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9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9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9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9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9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9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9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98"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vAlign w:val="center"/>
            <w:hideMark/>
          </w:tcPr>
          <w:p w14:paraId="601A7D99"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431" w:type="pct"/>
            <w:tcBorders>
              <w:top w:val="single" w:sz="4" w:space="0" w:color="auto"/>
              <w:left w:val="single" w:sz="4" w:space="0" w:color="auto"/>
              <w:bottom w:val="single" w:sz="4" w:space="0" w:color="auto"/>
              <w:right w:val="single" w:sz="4" w:space="0" w:color="auto"/>
            </w:tcBorders>
            <w:vAlign w:val="center"/>
            <w:hideMark/>
          </w:tcPr>
          <w:p w14:paraId="601A7D9A" w14:textId="793C4C62" w:rsidR="004A1370" w:rsidRPr="00D326F8" w:rsidRDefault="006F11E3" w:rsidP="00A573F2">
            <w:pPr>
              <w:pStyle w:val="Tabletext"/>
              <w:keepLines w:val="0"/>
              <w:widowControl w:val="0"/>
              <w:rPr>
                <w:sz w:val="16"/>
                <w:szCs w:val="16"/>
              </w:rPr>
            </w:pPr>
            <w:r w:rsidRPr="00D326F8">
              <w:rPr>
                <w:sz w:val="16"/>
                <w:szCs w:val="16"/>
              </w:rPr>
              <w:t>Brief examination on Day </w:t>
            </w:r>
            <w:r w:rsidRPr="00D326F8">
              <w:rPr>
                <w:sz w:val="16"/>
                <w:szCs w:val="16"/>
              </w:rPr>
              <w:noBreakHyphen/>
              <w:t>1 and Day 25 to check eligibility.</w:t>
            </w:r>
          </w:p>
          <w:p w14:paraId="601A7D9B" w14:textId="0E64F56F" w:rsidR="004A1370" w:rsidRPr="00D326F8" w:rsidRDefault="003E23E4" w:rsidP="00A573F2">
            <w:pPr>
              <w:pStyle w:val="Tabletext"/>
              <w:keepLines w:val="0"/>
              <w:widowControl w:val="0"/>
              <w:rPr>
                <w:sz w:val="16"/>
                <w:szCs w:val="16"/>
              </w:rPr>
            </w:pPr>
            <w:r w:rsidRPr="00D326F8">
              <w:rPr>
                <w:sz w:val="16"/>
                <w:szCs w:val="16"/>
              </w:rPr>
              <w:t>Section</w:t>
            </w:r>
            <w:r w:rsidR="00CE381C" w:rsidRPr="00D326F8">
              <w:rPr>
                <w:sz w:val="16"/>
                <w:szCs w:val="16"/>
              </w:rPr>
              <w:t xml:space="preserve"> </w:t>
            </w:r>
            <w:r w:rsidR="00CE381C" w:rsidRPr="00D326F8">
              <w:rPr>
                <w:sz w:val="16"/>
                <w:szCs w:val="16"/>
              </w:rPr>
              <w:fldChar w:fldCharType="begin"/>
            </w:r>
            <w:r w:rsidR="00CE381C" w:rsidRPr="00D326F8">
              <w:rPr>
                <w:sz w:val="16"/>
                <w:szCs w:val="16"/>
              </w:rPr>
              <w:instrText xml:space="preserve"> REF _Ref74914812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8.2.1</w:t>
            </w:r>
            <w:r w:rsidR="00CE381C" w:rsidRPr="00D326F8">
              <w:rPr>
                <w:sz w:val="16"/>
                <w:szCs w:val="16"/>
              </w:rPr>
              <w:fldChar w:fldCharType="end"/>
            </w:r>
            <w:r w:rsidRPr="00D326F8">
              <w:rPr>
                <w:sz w:val="16"/>
                <w:szCs w:val="16"/>
              </w:rPr>
              <w:t>.</w:t>
            </w:r>
          </w:p>
        </w:tc>
      </w:tr>
      <w:tr w:rsidR="003B74AE" w:rsidRPr="00D326F8" w14:paraId="601A7DB7"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D9D" w14:textId="77777777" w:rsidR="004A1370" w:rsidRPr="00D326F8" w:rsidRDefault="003E23E4" w:rsidP="00A573F2">
            <w:pPr>
              <w:pStyle w:val="Tabletext"/>
              <w:keepLines w:val="0"/>
              <w:widowControl w:val="0"/>
              <w:rPr>
                <w:sz w:val="16"/>
                <w:szCs w:val="16"/>
              </w:rPr>
            </w:pPr>
            <w:r w:rsidRPr="00D326F8">
              <w:rPr>
                <w:sz w:val="16"/>
                <w:szCs w:val="16"/>
              </w:rPr>
              <w:t>Serum pregnancy test</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D9E"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9F"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A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4"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vAlign w:val="center"/>
            <w:hideMark/>
          </w:tcPr>
          <w:p w14:paraId="601A7DB5"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431" w:type="pct"/>
            <w:tcBorders>
              <w:top w:val="single" w:sz="4" w:space="0" w:color="auto"/>
              <w:left w:val="single" w:sz="4" w:space="0" w:color="auto"/>
              <w:bottom w:val="single" w:sz="4" w:space="0" w:color="auto"/>
              <w:right w:val="single" w:sz="4" w:space="0" w:color="auto"/>
            </w:tcBorders>
            <w:vAlign w:val="center"/>
            <w:hideMark/>
          </w:tcPr>
          <w:p w14:paraId="601A7DB6" w14:textId="31CCBB50" w:rsidR="004A1370" w:rsidRPr="00D326F8" w:rsidRDefault="003E23E4" w:rsidP="00A573F2">
            <w:pPr>
              <w:pStyle w:val="Tabletext"/>
              <w:keepLines w:val="0"/>
              <w:widowControl w:val="0"/>
              <w:rPr>
                <w:sz w:val="16"/>
                <w:szCs w:val="16"/>
              </w:rPr>
            </w:pPr>
            <w:r w:rsidRPr="00D326F8">
              <w:rPr>
                <w:sz w:val="16"/>
                <w:szCs w:val="16"/>
              </w:rPr>
              <w:t>Section</w:t>
            </w:r>
            <w:r w:rsidR="00CE381C" w:rsidRPr="00D326F8">
              <w:rPr>
                <w:sz w:val="16"/>
                <w:szCs w:val="16"/>
              </w:rPr>
              <w:t xml:space="preserve"> </w:t>
            </w:r>
            <w:r w:rsidR="00CE381C" w:rsidRPr="00D326F8">
              <w:rPr>
                <w:sz w:val="16"/>
                <w:szCs w:val="16"/>
              </w:rPr>
              <w:fldChar w:fldCharType="begin"/>
            </w:r>
            <w:r w:rsidR="00CE381C" w:rsidRPr="00D326F8">
              <w:rPr>
                <w:sz w:val="16"/>
                <w:szCs w:val="16"/>
              </w:rPr>
              <w:instrText xml:space="preserve"> REF _Ref74914916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8.3.4</w:t>
            </w:r>
            <w:r w:rsidR="00CE381C" w:rsidRPr="00D326F8">
              <w:rPr>
                <w:sz w:val="16"/>
                <w:szCs w:val="16"/>
              </w:rPr>
              <w:fldChar w:fldCharType="end"/>
            </w:r>
            <w:r w:rsidR="00CE381C" w:rsidRPr="00D326F8">
              <w:rPr>
                <w:sz w:val="16"/>
                <w:szCs w:val="16"/>
              </w:rPr>
              <w:t xml:space="preserve"> </w:t>
            </w:r>
            <w:r w:rsidRPr="00D326F8">
              <w:rPr>
                <w:sz w:val="16"/>
                <w:szCs w:val="16"/>
              </w:rPr>
              <w:t xml:space="preserve">and </w:t>
            </w:r>
            <w:hyperlink w:anchor="_Appendix_5_Clinical" w:history="1">
              <w:r w:rsidR="003A5C57" w:rsidRPr="00D326F8">
                <w:rPr>
                  <w:rStyle w:val="Hyperlink"/>
                  <w:color w:val="auto"/>
                  <w:sz w:val="16"/>
                  <w:szCs w:val="16"/>
                </w:rPr>
                <w:t>Appendix</w:t>
              </w:r>
              <w:r w:rsidR="00E02957" w:rsidRPr="00D326F8">
                <w:rPr>
                  <w:rStyle w:val="Hyperlink"/>
                  <w:color w:val="auto"/>
                  <w:sz w:val="16"/>
                  <w:szCs w:val="16"/>
                </w:rPr>
                <w:t> </w:t>
              </w:r>
              <w:r w:rsidR="003A5C57" w:rsidRPr="00D326F8">
                <w:rPr>
                  <w:rStyle w:val="Hyperlink"/>
                  <w:color w:val="auto"/>
                  <w:sz w:val="16"/>
                  <w:szCs w:val="16"/>
                </w:rPr>
                <w:t>5</w:t>
              </w:r>
            </w:hyperlink>
          </w:p>
        </w:tc>
      </w:tr>
      <w:tr w:rsidR="003B74AE" w:rsidRPr="00D326F8" w14:paraId="601A7DD2" w14:textId="77777777" w:rsidTr="00951D62">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DB8" w14:textId="77777777" w:rsidR="004A1370" w:rsidRPr="00D326F8" w:rsidRDefault="003E23E4" w:rsidP="00A573F2">
            <w:pPr>
              <w:pStyle w:val="Tabletext"/>
              <w:keepLines w:val="0"/>
              <w:widowControl w:val="0"/>
              <w:rPr>
                <w:sz w:val="16"/>
                <w:szCs w:val="16"/>
              </w:rPr>
            </w:pPr>
            <w:r w:rsidRPr="00D326F8">
              <w:rPr>
                <w:sz w:val="16"/>
                <w:szCs w:val="16"/>
              </w:rPr>
              <w:t>FSH</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DB9"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B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CF"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0"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601A7DD1" w14:textId="163AAC6E" w:rsidR="004A1370" w:rsidRPr="00D326F8" w:rsidRDefault="003E23E4" w:rsidP="00A573F2">
            <w:pPr>
              <w:pStyle w:val="Tabletext"/>
              <w:keepLines w:val="0"/>
              <w:widowControl w:val="0"/>
              <w:rPr>
                <w:sz w:val="16"/>
                <w:szCs w:val="16"/>
              </w:rPr>
            </w:pPr>
            <w:r w:rsidRPr="00D326F8">
              <w:rPr>
                <w:sz w:val="16"/>
                <w:szCs w:val="16"/>
              </w:rPr>
              <w:t>In postmenopausal women</w:t>
            </w:r>
            <w:r w:rsidR="00582653" w:rsidRPr="00D326F8">
              <w:rPr>
                <w:sz w:val="16"/>
                <w:szCs w:val="16"/>
              </w:rPr>
              <w:t>, only</w:t>
            </w:r>
            <w:r w:rsidR="00951D62" w:rsidRPr="00D326F8">
              <w:rPr>
                <w:sz w:val="16"/>
                <w:szCs w:val="16"/>
              </w:rPr>
              <w:t xml:space="preserve"> (</w:t>
            </w:r>
            <w:hyperlink w:anchor="_Appendix_5_Clinical" w:history="1">
              <w:r w:rsidR="00951D62" w:rsidRPr="00D326F8">
                <w:rPr>
                  <w:rStyle w:val="Hyperlink"/>
                  <w:color w:val="auto"/>
                  <w:sz w:val="16"/>
                  <w:szCs w:val="16"/>
                </w:rPr>
                <w:t>Appendix 5</w:t>
              </w:r>
            </w:hyperlink>
            <w:r w:rsidR="00951D62" w:rsidRPr="00D326F8">
              <w:rPr>
                <w:sz w:val="16"/>
                <w:szCs w:val="16"/>
              </w:rPr>
              <w:t>)</w:t>
            </w:r>
            <w:r w:rsidRPr="00D326F8">
              <w:rPr>
                <w:sz w:val="16"/>
                <w:szCs w:val="16"/>
              </w:rPr>
              <w:t>.</w:t>
            </w:r>
          </w:p>
        </w:tc>
      </w:tr>
      <w:tr w:rsidR="003B74AE" w:rsidRPr="00D326F8" w14:paraId="601A7DED" w14:textId="77777777" w:rsidTr="00951D62">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DD3" w14:textId="77777777" w:rsidR="00677289" w:rsidRPr="00D326F8" w:rsidRDefault="003E23E4" w:rsidP="00677289">
            <w:pPr>
              <w:pStyle w:val="Tabletext"/>
              <w:keepLines w:val="0"/>
              <w:widowControl w:val="0"/>
              <w:rPr>
                <w:sz w:val="16"/>
                <w:szCs w:val="16"/>
              </w:rPr>
            </w:pPr>
            <w:r w:rsidRPr="00D326F8">
              <w:rPr>
                <w:sz w:val="16"/>
                <w:szCs w:val="16"/>
              </w:rPr>
              <w:t xml:space="preserve">Viral serology, </w:t>
            </w:r>
            <w:r w:rsidRPr="00D326F8">
              <w:rPr>
                <w:sz w:val="16"/>
                <w:szCs w:val="16"/>
              </w:rPr>
              <w:br/>
              <w:t>TSH</w:t>
            </w:r>
            <w:r w:rsidR="006B128C" w:rsidRPr="00D326F8">
              <w:rPr>
                <w:sz w:val="16"/>
                <w:szCs w:val="16"/>
              </w:rPr>
              <w:t>, thyroxine</w:t>
            </w:r>
            <w:r w:rsidRPr="00D326F8">
              <w:rPr>
                <w:sz w:val="16"/>
                <w:szCs w:val="16"/>
              </w:rPr>
              <w:t xml:space="preserve"> </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DD4" w14:textId="77777777" w:rsidR="00677289" w:rsidRPr="00D326F8" w:rsidRDefault="003E23E4" w:rsidP="00677289">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5"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6"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7"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8"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9"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A"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B"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C"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D"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E"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DF"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0"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1"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2"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3"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4"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5"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6"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7"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8"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9"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A" w14:textId="77777777" w:rsidR="00677289" w:rsidRPr="00D326F8" w:rsidRDefault="00677289" w:rsidP="00677289">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EB" w14:textId="77777777" w:rsidR="00677289" w:rsidRPr="00D326F8" w:rsidRDefault="00677289" w:rsidP="00677289">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601A7DEC" w14:textId="63F5AC8F" w:rsidR="00677289" w:rsidRPr="00D326F8" w:rsidRDefault="002E504A" w:rsidP="00677289">
            <w:pPr>
              <w:pStyle w:val="Tabletext"/>
              <w:keepLines w:val="0"/>
              <w:widowControl w:val="0"/>
              <w:rPr>
                <w:sz w:val="16"/>
                <w:szCs w:val="16"/>
              </w:rPr>
            </w:pPr>
            <w:hyperlink w:anchor="_Appendix_5_Clinical" w:history="1">
              <w:r w:rsidR="003E23E4" w:rsidRPr="00D326F8">
                <w:rPr>
                  <w:rStyle w:val="Hyperlink"/>
                  <w:color w:val="auto"/>
                  <w:sz w:val="16"/>
                  <w:szCs w:val="16"/>
                </w:rPr>
                <w:t>Appendix 5</w:t>
              </w:r>
            </w:hyperlink>
            <w:r w:rsidR="003E23E4" w:rsidRPr="00D326F8">
              <w:t>.</w:t>
            </w:r>
          </w:p>
        </w:tc>
      </w:tr>
      <w:tr w:rsidR="003B74AE" w:rsidRPr="00D326F8" w14:paraId="601A7E08"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DEE" w14:textId="77777777" w:rsidR="004A1370" w:rsidRPr="00D326F8" w:rsidRDefault="003E23E4" w:rsidP="00A573F2">
            <w:pPr>
              <w:pStyle w:val="Tabletext"/>
              <w:keepLines w:val="0"/>
              <w:widowControl w:val="0"/>
              <w:rPr>
                <w:sz w:val="16"/>
                <w:szCs w:val="16"/>
              </w:rPr>
            </w:pPr>
            <w:r w:rsidRPr="00D326F8">
              <w:rPr>
                <w:sz w:val="16"/>
                <w:szCs w:val="16"/>
              </w:rPr>
              <w:lastRenderedPageBreak/>
              <w:t>Clinical laboratory tests (blood and urine)</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DEF"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F0"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F8"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DFD"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DF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5"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vAlign w:val="center"/>
            <w:hideMark/>
          </w:tcPr>
          <w:p w14:paraId="601A7E06"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4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1A7E07" w14:textId="62E9D76B" w:rsidR="004A1370" w:rsidRPr="00D326F8" w:rsidRDefault="002E504A" w:rsidP="00A573F2">
            <w:pPr>
              <w:pStyle w:val="Tabletext"/>
              <w:keepLines w:val="0"/>
              <w:widowControl w:val="0"/>
              <w:rPr>
                <w:sz w:val="16"/>
                <w:szCs w:val="16"/>
              </w:rPr>
            </w:pPr>
            <w:hyperlink w:anchor="_Appendix_5_Clinical" w:history="1">
              <w:r w:rsidR="003A5C57" w:rsidRPr="00D326F8">
                <w:rPr>
                  <w:rStyle w:val="Hyperlink"/>
                  <w:color w:val="auto"/>
                  <w:sz w:val="16"/>
                  <w:szCs w:val="16"/>
                </w:rPr>
                <w:t>Appendix 5</w:t>
              </w:r>
            </w:hyperlink>
            <w:r w:rsidR="004A37D0" w:rsidRPr="00D326F8">
              <w:rPr>
                <w:sz w:val="16"/>
                <w:szCs w:val="16"/>
              </w:rPr>
              <w:t>.</w:t>
            </w:r>
          </w:p>
        </w:tc>
      </w:tr>
      <w:tr w:rsidR="003B74AE" w:rsidRPr="00D326F8" w14:paraId="601A7E23"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E09" w14:textId="77777777" w:rsidR="004A1370" w:rsidRPr="00D326F8" w:rsidRDefault="003E23E4" w:rsidP="00A573F2">
            <w:pPr>
              <w:pStyle w:val="Tabletext"/>
              <w:keepLines w:val="0"/>
              <w:widowControl w:val="0"/>
              <w:rPr>
                <w:sz w:val="16"/>
                <w:szCs w:val="16"/>
              </w:rPr>
            </w:pPr>
            <w:r w:rsidRPr="00D326F8">
              <w:rPr>
                <w:sz w:val="16"/>
                <w:szCs w:val="16"/>
              </w:rPr>
              <w:t>Cotinine, drug screen, alcohol breath test, SARS</w:t>
            </w:r>
            <w:r w:rsidRPr="00D326F8">
              <w:rPr>
                <w:sz w:val="16"/>
                <w:szCs w:val="16"/>
              </w:rPr>
              <w:noBreakHyphen/>
              <w:t>CoV-2</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E0A"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0B"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0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18"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1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20"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21"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601A7E22" w14:textId="3FFA0C2C" w:rsidR="004A1370" w:rsidRPr="00D326F8" w:rsidRDefault="002E504A" w:rsidP="00A573F2">
            <w:pPr>
              <w:pStyle w:val="Tabletext"/>
              <w:keepLines w:val="0"/>
              <w:widowControl w:val="0"/>
              <w:rPr>
                <w:sz w:val="16"/>
                <w:szCs w:val="16"/>
              </w:rPr>
            </w:pPr>
            <w:hyperlink w:anchor="_Appendix_5_Clinical" w:history="1">
              <w:r w:rsidR="003A5C57" w:rsidRPr="00D326F8">
                <w:rPr>
                  <w:rStyle w:val="Hyperlink"/>
                  <w:color w:val="auto"/>
                  <w:sz w:val="16"/>
                  <w:szCs w:val="16"/>
                </w:rPr>
                <w:t>Appendix 5</w:t>
              </w:r>
            </w:hyperlink>
            <w:r w:rsidR="004A37D0" w:rsidRPr="00D326F8">
              <w:rPr>
                <w:sz w:val="16"/>
                <w:szCs w:val="16"/>
              </w:rPr>
              <w:t>.</w:t>
            </w:r>
          </w:p>
        </w:tc>
      </w:tr>
      <w:tr w:rsidR="003B74AE" w:rsidRPr="00D326F8" w14:paraId="601A7E3F"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E24" w14:textId="77777777" w:rsidR="004A1370" w:rsidRPr="00D326F8" w:rsidRDefault="003E23E4" w:rsidP="00A573F2">
            <w:pPr>
              <w:pStyle w:val="Tabletext"/>
              <w:keepLines w:val="0"/>
              <w:widowControl w:val="0"/>
              <w:rPr>
                <w:sz w:val="16"/>
                <w:szCs w:val="16"/>
              </w:rPr>
            </w:pPr>
            <w:r w:rsidRPr="00D326F8">
              <w:rPr>
                <w:sz w:val="16"/>
                <w:szCs w:val="16"/>
              </w:rPr>
              <w:t>Safety ECG &amp; vital signs</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E25"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26"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27"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1A7E28"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2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2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2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2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2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2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2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3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3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3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33"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34"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35"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3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3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3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3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3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3B"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vAlign w:val="center"/>
            <w:hideMark/>
          </w:tcPr>
          <w:p w14:paraId="601A7E3C"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431" w:type="pct"/>
            <w:tcBorders>
              <w:top w:val="single" w:sz="4" w:space="0" w:color="auto"/>
              <w:left w:val="single" w:sz="4" w:space="0" w:color="auto"/>
              <w:bottom w:val="single" w:sz="4" w:space="0" w:color="auto"/>
              <w:right w:val="single" w:sz="4" w:space="0" w:color="auto"/>
            </w:tcBorders>
            <w:vAlign w:val="center"/>
            <w:hideMark/>
          </w:tcPr>
          <w:p w14:paraId="601A7E3D" w14:textId="77777777" w:rsidR="006B128C" w:rsidRPr="00D326F8" w:rsidRDefault="003E23E4" w:rsidP="00A573F2">
            <w:pPr>
              <w:pStyle w:val="Tabletext"/>
              <w:keepLines w:val="0"/>
              <w:widowControl w:val="0"/>
              <w:rPr>
                <w:sz w:val="16"/>
                <w:szCs w:val="16"/>
              </w:rPr>
            </w:pPr>
            <w:r w:rsidRPr="00D326F8">
              <w:rPr>
                <w:sz w:val="16"/>
                <w:szCs w:val="16"/>
              </w:rPr>
              <w:t>Predose on dosing days</w:t>
            </w:r>
            <w:r w:rsidR="00BA27FF" w:rsidRPr="00D326F8">
              <w:rPr>
                <w:sz w:val="16"/>
                <w:szCs w:val="16"/>
              </w:rPr>
              <w:t>.</w:t>
            </w:r>
          </w:p>
          <w:p w14:paraId="601A7E3E" w14:textId="1188C83F" w:rsidR="004A1370" w:rsidRPr="00D326F8" w:rsidRDefault="003E23E4" w:rsidP="00A573F2">
            <w:pPr>
              <w:pStyle w:val="Tabletext"/>
              <w:keepLines w:val="0"/>
              <w:widowControl w:val="0"/>
              <w:rPr>
                <w:sz w:val="16"/>
                <w:szCs w:val="16"/>
              </w:rPr>
            </w:pPr>
            <w:r w:rsidRPr="00D326F8">
              <w:rPr>
                <w:sz w:val="16"/>
                <w:szCs w:val="16"/>
              </w:rPr>
              <w:t>Sections</w:t>
            </w:r>
            <w:r w:rsidR="00CE381C" w:rsidRPr="00D326F8">
              <w:rPr>
                <w:sz w:val="16"/>
                <w:szCs w:val="16"/>
              </w:rPr>
              <w:t xml:space="preserve"> </w:t>
            </w:r>
            <w:r w:rsidR="00CE381C" w:rsidRPr="00D326F8">
              <w:rPr>
                <w:sz w:val="16"/>
                <w:szCs w:val="16"/>
              </w:rPr>
              <w:fldChar w:fldCharType="begin"/>
            </w:r>
            <w:r w:rsidR="00CE381C" w:rsidRPr="00D326F8">
              <w:rPr>
                <w:sz w:val="16"/>
                <w:szCs w:val="16"/>
              </w:rPr>
              <w:instrText xml:space="preserve"> REF _Ref74914943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8.2.2</w:t>
            </w:r>
            <w:r w:rsidR="00CE381C" w:rsidRPr="00D326F8">
              <w:rPr>
                <w:sz w:val="16"/>
                <w:szCs w:val="16"/>
              </w:rPr>
              <w:fldChar w:fldCharType="end"/>
            </w:r>
            <w:r w:rsidRPr="00D326F8">
              <w:rPr>
                <w:sz w:val="16"/>
                <w:szCs w:val="16"/>
              </w:rPr>
              <w:t xml:space="preserve"> and</w:t>
            </w:r>
            <w:r w:rsidR="00CE381C" w:rsidRPr="00D326F8">
              <w:rPr>
                <w:sz w:val="16"/>
                <w:szCs w:val="16"/>
              </w:rPr>
              <w:t xml:space="preserve"> </w:t>
            </w:r>
            <w:r w:rsidR="00CE381C" w:rsidRPr="00D326F8">
              <w:rPr>
                <w:sz w:val="16"/>
                <w:szCs w:val="16"/>
              </w:rPr>
              <w:fldChar w:fldCharType="begin"/>
            </w:r>
            <w:r w:rsidR="00CE381C" w:rsidRPr="00D326F8">
              <w:rPr>
                <w:sz w:val="16"/>
                <w:szCs w:val="16"/>
              </w:rPr>
              <w:instrText xml:space="preserve"> REF _Ref74914952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8.2.3</w:t>
            </w:r>
            <w:r w:rsidR="00CE381C" w:rsidRPr="00D326F8">
              <w:rPr>
                <w:sz w:val="16"/>
                <w:szCs w:val="16"/>
              </w:rPr>
              <w:fldChar w:fldCharType="end"/>
            </w:r>
            <w:r w:rsidRPr="00D326F8">
              <w:rPr>
                <w:sz w:val="16"/>
                <w:szCs w:val="16"/>
              </w:rPr>
              <w:t>.</w:t>
            </w:r>
          </w:p>
        </w:tc>
      </w:tr>
      <w:tr w:rsidR="003B74AE" w:rsidRPr="00D326F8" w14:paraId="601A7E5A"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E40" w14:textId="77777777" w:rsidR="004A1370" w:rsidRPr="00D326F8" w:rsidRDefault="003E23E4" w:rsidP="00A573F2">
            <w:pPr>
              <w:pStyle w:val="Tabletext"/>
              <w:keepLines w:val="0"/>
              <w:rPr>
                <w:sz w:val="16"/>
                <w:szCs w:val="16"/>
              </w:rPr>
            </w:pPr>
            <w:r w:rsidRPr="00D326F8">
              <w:rPr>
                <w:sz w:val="16"/>
                <w:szCs w:val="16"/>
              </w:rPr>
              <w:t xml:space="preserve">AE/concomitant medication review </w:t>
            </w:r>
          </w:p>
        </w:tc>
        <w:tc>
          <w:tcPr>
            <w:tcW w:w="269" w:type="pct"/>
            <w:tcBorders>
              <w:top w:val="single" w:sz="4" w:space="0" w:color="auto"/>
              <w:left w:val="single" w:sz="4" w:space="0" w:color="auto"/>
              <w:bottom w:val="single" w:sz="4" w:space="0" w:color="auto"/>
              <w:right w:val="single" w:sz="4" w:space="0" w:color="auto"/>
            </w:tcBorders>
            <w:vAlign w:val="center"/>
            <w:hideMark/>
          </w:tcPr>
          <w:p w14:paraId="601A7E41"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2"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3"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4"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5"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6"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7"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8"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9"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A"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B"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C"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D"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E"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4F"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50"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51"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52"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53"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54"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55"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56" w14:textId="77777777" w:rsidR="004A1370" w:rsidRPr="00D326F8" w:rsidRDefault="003E23E4" w:rsidP="00A573F2">
            <w:pPr>
              <w:pStyle w:val="Tabletext"/>
              <w:keepLines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57" w14:textId="77777777" w:rsidR="004A1370" w:rsidRPr="00D326F8" w:rsidRDefault="003E23E4" w:rsidP="00A573F2">
            <w:pPr>
              <w:pStyle w:val="Tabletext"/>
              <w:keepLines w:val="0"/>
              <w:jc w:val="center"/>
              <w:rPr>
                <w:sz w:val="16"/>
                <w:szCs w:val="16"/>
              </w:rPr>
            </w:pPr>
            <w:r w:rsidRPr="00D326F8">
              <w:rPr>
                <w:sz w:val="16"/>
                <w:szCs w:val="16"/>
              </w:rPr>
              <w:t>X</w:t>
            </w:r>
          </w:p>
        </w:tc>
        <w:tc>
          <w:tcPr>
            <w:tcW w:w="207" w:type="pct"/>
            <w:tcBorders>
              <w:top w:val="single" w:sz="4" w:space="0" w:color="auto"/>
              <w:left w:val="single" w:sz="4" w:space="0" w:color="auto"/>
              <w:bottom w:val="single" w:sz="4" w:space="0" w:color="auto"/>
              <w:right w:val="single" w:sz="4" w:space="0" w:color="auto"/>
            </w:tcBorders>
            <w:vAlign w:val="center"/>
            <w:hideMark/>
          </w:tcPr>
          <w:p w14:paraId="601A7E58" w14:textId="77777777" w:rsidR="004A1370" w:rsidRPr="00D326F8" w:rsidRDefault="003E23E4" w:rsidP="00A573F2">
            <w:pPr>
              <w:pStyle w:val="Tabletext"/>
              <w:keepLines w:val="0"/>
              <w:jc w:val="center"/>
              <w:rPr>
                <w:sz w:val="16"/>
                <w:szCs w:val="16"/>
              </w:rPr>
            </w:pPr>
            <w:r w:rsidRPr="00D326F8">
              <w:rPr>
                <w:sz w:val="16"/>
                <w:szCs w:val="16"/>
              </w:rPr>
              <w:t>X</w:t>
            </w:r>
          </w:p>
        </w:tc>
        <w:tc>
          <w:tcPr>
            <w:tcW w:w="431" w:type="pct"/>
            <w:tcBorders>
              <w:top w:val="single" w:sz="4" w:space="0" w:color="auto"/>
              <w:left w:val="single" w:sz="4" w:space="0" w:color="auto"/>
              <w:bottom w:val="single" w:sz="4" w:space="0" w:color="auto"/>
              <w:right w:val="single" w:sz="4" w:space="0" w:color="auto"/>
            </w:tcBorders>
            <w:vAlign w:val="center"/>
            <w:hideMark/>
          </w:tcPr>
          <w:p w14:paraId="66886FB8" w14:textId="322C2D3C" w:rsidR="004A1370" w:rsidRPr="00D326F8" w:rsidRDefault="003E23E4" w:rsidP="00A573F2">
            <w:pPr>
              <w:pStyle w:val="Tabletext"/>
              <w:keepLines w:val="0"/>
              <w:rPr>
                <w:sz w:val="16"/>
                <w:szCs w:val="16"/>
              </w:rPr>
            </w:pPr>
            <w:r w:rsidRPr="00D326F8">
              <w:rPr>
                <w:sz w:val="16"/>
                <w:szCs w:val="16"/>
              </w:rPr>
              <w:t>Section</w:t>
            </w:r>
            <w:r w:rsidR="00CE381C" w:rsidRPr="00D326F8">
              <w:rPr>
                <w:sz w:val="16"/>
                <w:szCs w:val="16"/>
              </w:rPr>
              <w:t xml:space="preserve"> </w:t>
            </w:r>
            <w:r w:rsidR="00CE381C" w:rsidRPr="00D326F8">
              <w:rPr>
                <w:sz w:val="16"/>
                <w:szCs w:val="16"/>
              </w:rPr>
              <w:fldChar w:fldCharType="begin"/>
            </w:r>
            <w:r w:rsidR="00CE381C" w:rsidRPr="00D326F8">
              <w:rPr>
                <w:sz w:val="16"/>
                <w:szCs w:val="16"/>
              </w:rPr>
              <w:instrText xml:space="preserve"> REF _Ref74914997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6.8</w:t>
            </w:r>
            <w:r w:rsidR="00CE381C" w:rsidRPr="00D326F8">
              <w:rPr>
                <w:sz w:val="16"/>
                <w:szCs w:val="16"/>
              </w:rPr>
              <w:fldChar w:fldCharType="end"/>
            </w:r>
            <w:r w:rsidRPr="00D326F8">
              <w:rPr>
                <w:sz w:val="16"/>
                <w:szCs w:val="16"/>
              </w:rPr>
              <w:t>.</w:t>
            </w:r>
          </w:p>
          <w:p w14:paraId="601A7E59" w14:textId="4570A8AE" w:rsidR="00781D17" w:rsidRPr="00D326F8" w:rsidRDefault="003E23E4" w:rsidP="00A573F2">
            <w:pPr>
              <w:pStyle w:val="Tabletext"/>
              <w:keepLines w:val="0"/>
              <w:rPr>
                <w:sz w:val="16"/>
                <w:szCs w:val="16"/>
              </w:rPr>
            </w:pPr>
            <w:r w:rsidRPr="00D326F8">
              <w:rPr>
                <w:sz w:val="16"/>
                <w:szCs w:val="16"/>
              </w:rPr>
              <w:t>Section </w:t>
            </w:r>
            <w:r w:rsidRPr="00D326F8">
              <w:rPr>
                <w:sz w:val="16"/>
                <w:szCs w:val="16"/>
              </w:rPr>
              <w:fldChar w:fldCharType="begin"/>
            </w:r>
            <w:r w:rsidRPr="00D326F8">
              <w:rPr>
                <w:sz w:val="16"/>
                <w:szCs w:val="16"/>
              </w:rPr>
              <w:instrText xml:space="preserve"> REF _Ref74470041 \r \h </w:instrText>
            </w:r>
            <w:r w:rsidR="00D326F8">
              <w:rPr>
                <w:sz w:val="16"/>
                <w:szCs w:val="16"/>
              </w:rPr>
              <w:instrText xml:space="preserve"> \* MERGEFORMAT </w:instrText>
            </w:r>
            <w:r w:rsidRPr="00D326F8">
              <w:rPr>
                <w:sz w:val="16"/>
                <w:szCs w:val="16"/>
              </w:rPr>
            </w:r>
            <w:r w:rsidRPr="00D326F8">
              <w:rPr>
                <w:sz w:val="16"/>
                <w:szCs w:val="16"/>
              </w:rPr>
              <w:fldChar w:fldCharType="separate"/>
            </w:r>
            <w:r w:rsidR="00173A27">
              <w:rPr>
                <w:sz w:val="16"/>
                <w:szCs w:val="16"/>
              </w:rPr>
              <w:t>8.3</w:t>
            </w:r>
            <w:r w:rsidRPr="00D326F8">
              <w:rPr>
                <w:sz w:val="16"/>
                <w:szCs w:val="16"/>
              </w:rPr>
              <w:fldChar w:fldCharType="end"/>
            </w:r>
            <w:r w:rsidRPr="00D326F8">
              <w:rPr>
                <w:sz w:val="16"/>
                <w:szCs w:val="16"/>
              </w:rPr>
              <w:t>.</w:t>
            </w:r>
          </w:p>
        </w:tc>
      </w:tr>
      <w:tr w:rsidR="003B74AE" w:rsidRPr="00D326F8" w14:paraId="601A7E75"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E5B" w14:textId="77777777" w:rsidR="004A1370" w:rsidRPr="00D326F8" w:rsidRDefault="003E23E4" w:rsidP="00A573F2">
            <w:pPr>
              <w:pStyle w:val="Tabletext"/>
              <w:keepLines w:val="0"/>
              <w:widowControl w:val="0"/>
              <w:rPr>
                <w:sz w:val="16"/>
                <w:szCs w:val="16"/>
              </w:rPr>
            </w:pPr>
            <w:r w:rsidRPr="00D326F8">
              <w:rPr>
                <w:sz w:val="16"/>
                <w:szCs w:val="16"/>
              </w:rPr>
              <w:t>Pharmacogenetic sample</w:t>
            </w:r>
          </w:p>
        </w:tc>
        <w:tc>
          <w:tcPr>
            <w:tcW w:w="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5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5D"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5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5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6F"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2"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3"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601A7E74" w14:textId="47E59084" w:rsidR="004A1370" w:rsidRPr="00D326F8" w:rsidRDefault="003E23E4" w:rsidP="00A573F2">
            <w:pPr>
              <w:pStyle w:val="Tabletext"/>
              <w:keepLines w:val="0"/>
              <w:widowControl w:val="0"/>
              <w:rPr>
                <w:sz w:val="16"/>
                <w:szCs w:val="16"/>
              </w:rPr>
            </w:pPr>
            <w:r w:rsidRPr="00D326F8">
              <w:rPr>
                <w:sz w:val="16"/>
                <w:szCs w:val="16"/>
              </w:rPr>
              <w:t>Section</w:t>
            </w:r>
            <w:r w:rsidR="00CE381C" w:rsidRPr="00D326F8">
              <w:rPr>
                <w:sz w:val="16"/>
                <w:szCs w:val="16"/>
              </w:rPr>
              <w:t xml:space="preserve"> </w:t>
            </w:r>
            <w:r w:rsidR="00CE381C" w:rsidRPr="00D326F8">
              <w:rPr>
                <w:sz w:val="16"/>
                <w:szCs w:val="16"/>
              </w:rPr>
              <w:fldChar w:fldCharType="begin"/>
            </w:r>
            <w:r w:rsidR="00CE381C" w:rsidRPr="00D326F8">
              <w:rPr>
                <w:sz w:val="16"/>
                <w:szCs w:val="16"/>
              </w:rPr>
              <w:instrText xml:space="preserve"> REF _Ref74914753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8.5</w:t>
            </w:r>
            <w:r w:rsidR="00CE381C" w:rsidRPr="00D326F8">
              <w:rPr>
                <w:sz w:val="16"/>
                <w:szCs w:val="16"/>
              </w:rPr>
              <w:fldChar w:fldCharType="end"/>
            </w:r>
            <w:r w:rsidRPr="00D326F8">
              <w:rPr>
                <w:sz w:val="16"/>
                <w:szCs w:val="16"/>
                <w:shd w:val="clear" w:color="auto" w:fill="E6E6E6"/>
              </w:rPr>
              <w:t>.</w:t>
            </w:r>
          </w:p>
        </w:tc>
      </w:tr>
      <w:tr w:rsidR="003B74AE" w:rsidRPr="00D326F8" w14:paraId="601A7E92"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E76" w14:textId="77777777" w:rsidR="00677289" w:rsidRPr="00D326F8" w:rsidRDefault="003E23E4" w:rsidP="00677289">
            <w:pPr>
              <w:pStyle w:val="Tabletext"/>
              <w:keepLines w:val="0"/>
              <w:widowControl w:val="0"/>
              <w:rPr>
                <w:sz w:val="16"/>
                <w:szCs w:val="16"/>
              </w:rPr>
            </w:pPr>
            <w:r w:rsidRPr="00D326F8">
              <w:rPr>
                <w:sz w:val="16"/>
                <w:szCs w:val="16"/>
              </w:rPr>
              <w:t xml:space="preserve">Carbamazepine administration, mg </w:t>
            </w:r>
          </w:p>
        </w:tc>
        <w:tc>
          <w:tcPr>
            <w:tcW w:w="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7"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8"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9"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A"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B"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C"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D"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E"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7F"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0"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100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1"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100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2"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200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3"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200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4"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300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5"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300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6"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300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7"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300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8"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300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9"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300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A"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300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B"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300</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8C" w14:textId="77777777" w:rsidR="00677289" w:rsidRPr="00D326F8" w:rsidRDefault="003E23E4" w:rsidP="00677289">
            <w:pPr>
              <w:pStyle w:val="Tabletext"/>
              <w:keepLines w:val="0"/>
              <w:widowControl w:val="0"/>
              <w:jc w:val="center"/>
              <w:rPr>
                <w:sz w:val="16"/>
                <w:szCs w:val="16"/>
              </w:rPr>
            </w:pPr>
            <w:r w:rsidRPr="00D326F8">
              <w:rPr>
                <w:sz w:val="16"/>
                <w:szCs w:val="16"/>
              </w:rPr>
              <w:t>2</w:t>
            </w:r>
            <w:r w:rsidRPr="00D326F8">
              <w:rPr>
                <w:rFonts w:cs="Arial"/>
                <w:sz w:val="16"/>
                <w:szCs w:val="16"/>
              </w:rPr>
              <w:t>×</w:t>
            </w:r>
            <w:r w:rsidRPr="00D326F8">
              <w:rPr>
                <w:sz w:val="16"/>
                <w:szCs w:val="16"/>
              </w:rPr>
              <w:t xml:space="preserve"> 300</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8D" w14:textId="77777777" w:rsidR="00677289" w:rsidRPr="00D326F8" w:rsidRDefault="00677289" w:rsidP="00677289">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8E" w14:textId="77777777" w:rsidR="00677289" w:rsidRPr="00D326F8" w:rsidRDefault="00677289" w:rsidP="00677289">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601A7E8F" w14:textId="223BE821" w:rsidR="00677289" w:rsidRPr="00D326F8" w:rsidRDefault="003E23E4" w:rsidP="00677289">
            <w:pPr>
              <w:pStyle w:val="Tabletext"/>
              <w:keepNext/>
              <w:widowControl w:val="0"/>
              <w:rPr>
                <w:sz w:val="16"/>
                <w:szCs w:val="16"/>
              </w:rPr>
            </w:pPr>
            <w:r w:rsidRPr="00D326F8">
              <w:rPr>
                <w:sz w:val="16"/>
                <w:szCs w:val="16"/>
              </w:rPr>
              <w:t>Twice daily administration (2</w:t>
            </w:r>
            <w:r w:rsidRPr="00D326F8">
              <w:rPr>
                <w:rFonts w:cs="Arial"/>
                <w:sz w:val="16"/>
                <w:szCs w:val="16"/>
              </w:rPr>
              <w:t>×</w:t>
            </w:r>
            <w:r w:rsidRPr="00D326F8">
              <w:rPr>
                <w:sz w:val="16"/>
                <w:szCs w:val="16"/>
              </w:rPr>
              <w:t>)</w:t>
            </w:r>
            <w:r w:rsidR="00582653" w:rsidRPr="00D326F8">
              <w:rPr>
                <w:sz w:val="16"/>
                <w:szCs w:val="16"/>
              </w:rPr>
              <w:t>.</w:t>
            </w:r>
          </w:p>
          <w:p w14:paraId="601A7E90" w14:textId="2DC73B6B" w:rsidR="00677289" w:rsidRPr="00D326F8" w:rsidRDefault="003E23E4" w:rsidP="00677289">
            <w:pPr>
              <w:pStyle w:val="Tabletext"/>
              <w:keepNext/>
              <w:widowControl w:val="0"/>
              <w:rPr>
                <w:sz w:val="16"/>
                <w:szCs w:val="16"/>
              </w:rPr>
            </w:pPr>
            <w:r w:rsidRPr="00D326F8">
              <w:rPr>
                <w:sz w:val="16"/>
                <w:szCs w:val="16"/>
              </w:rPr>
              <w:t xml:space="preserve">Section </w:t>
            </w:r>
            <w:r w:rsidRPr="00D326F8">
              <w:rPr>
                <w:sz w:val="16"/>
                <w:szCs w:val="16"/>
              </w:rPr>
              <w:fldChar w:fldCharType="begin"/>
            </w:r>
            <w:r w:rsidRPr="00D326F8">
              <w:rPr>
                <w:sz w:val="16"/>
                <w:szCs w:val="16"/>
              </w:rPr>
              <w:instrText xml:space="preserve"> REF _Ref74915043 \n \h </w:instrText>
            </w:r>
            <w:r w:rsidR="00D326F8">
              <w:rPr>
                <w:sz w:val="16"/>
                <w:szCs w:val="16"/>
              </w:rPr>
              <w:instrText xml:space="preserve"> \* MERGEFORMAT </w:instrText>
            </w:r>
            <w:r w:rsidRPr="00D326F8">
              <w:rPr>
                <w:sz w:val="16"/>
                <w:szCs w:val="16"/>
              </w:rPr>
            </w:r>
            <w:r w:rsidRPr="00D326F8">
              <w:rPr>
                <w:sz w:val="16"/>
                <w:szCs w:val="16"/>
              </w:rPr>
              <w:fldChar w:fldCharType="separate"/>
            </w:r>
            <w:r w:rsidR="00173A27">
              <w:rPr>
                <w:sz w:val="16"/>
                <w:szCs w:val="16"/>
              </w:rPr>
              <w:t>5.3.1</w:t>
            </w:r>
            <w:r w:rsidRPr="00D326F8">
              <w:rPr>
                <w:sz w:val="16"/>
                <w:szCs w:val="16"/>
              </w:rPr>
              <w:fldChar w:fldCharType="end"/>
            </w:r>
            <w:r w:rsidRPr="00D326F8">
              <w:rPr>
                <w:sz w:val="16"/>
                <w:szCs w:val="16"/>
              </w:rPr>
              <w:t>.</w:t>
            </w:r>
          </w:p>
          <w:p w14:paraId="601A7E91" w14:textId="4876E416" w:rsidR="00677289" w:rsidRPr="00D326F8" w:rsidRDefault="003E23E4" w:rsidP="00677289">
            <w:pPr>
              <w:pStyle w:val="Tabletext"/>
              <w:keepLines w:val="0"/>
              <w:widowControl w:val="0"/>
              <w:jc w:val="both"/>
              <w:rPr>
                <w:sz w:val="16"/>
                <w:szCs w:val="16"/>
              </w:rPr>
            </w:pPr>
            <w:r w:rsidRPr="00D326F8">
              <w:rPr>
                <w:sz w:val="16"/>
                <w:szCs w:val="16"/>
              </w:rPr>
              <w:t xml:space="preserve">Section </w:t>
            </w:r>
            <w:r w:rsidRPr="00D326F8">
              <w:rPr>
                <w:sz w:val="16"/>
                <w:szCs w:val="16"/>
              </w:rPr>
              <w:fldChar w:fldCharType="begin"/>
            </w:r>
            <w:r w:rsidRPr="00D326F8">
              <w:rPr>
                <w:sz w:val="16"/>
                <w:szCs w:val="16"/>
              </w:rPr>
              <w:instrText xml:space="preserve"> REF _Ref74915054 \n \h </w:instrText>
            </w:r>
            <w:r w:rsidR="00D326F8">
              <w:rPr>
                <w:sz w:val="16"/>
                <w:szCs w:val="16"/>
              </w:rPr>
              <w:instrText xml:space="preserve"> \* MERGEFORMAT </w:instrText>
            </w:r>
            <w:r w:rsidRPr="00D326F8">
              <w:rPr>
                <w:sz w:val="16"/>
                <w:szCs w:val="16"/>
              </w:rPr>
            </w:r>
            <w:r w:rsidRPr="00D326F8">
              <w:rPr>
                <w:sz w:val="16"/>
                <w:szCs w:val="16"/>
              </w:rPr>
              <w:fldChar w:fldCharType="separate"/>
            </w:r>
            <w:r w:rsidR="00173A27">
              <w:rPr>
                <w:sz w:val="16"/>
                <w:szCs w:val="16"/>
              </w:rPr>
              <w:t>6.1</w:t>
            </w:r>
            <w:r w:rsidRPr="00D326F8">
              <w:rPr>
                <w:sz w:val="16"/>
                <w:szCs w:val="16"/>
              </w:rPr>
              <w:fldChar w:fldCharType="end"/>
            </w:r>
            <w:r w:rsidRPr="00D326F8">
              <w:rPr>
                <w:sz w:val="16"/>
                <w:szCs w:val="16"/>
              </w:rPr>
              <w:t>.</w:t>
            </w:r>
          </w:p>
        </w:tc>
      </w:tr>
      <w:tr w:rsidR="003B74AE" w:rsidRPr="00D326F8" w14:paraId="601A7EAE"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E93" w14:textId="77777777" w:rsidR="00677289" w:rsidRPr="00D326F8" w:rsidRDefault="003E23E4" w:rsidP="00677289">
            <w:pPr>
              <w:pStyle w:val="Tabletext"/>
              <w:keepLines w:val="0"/>
              <w:widowControl w:val="0"/>
              <w:rPr>
                <w:sz w:val="16"/>
                <w:szCs w:val="16"/>
              </w:rPr>
            </w:pPr>
            <w:r w:rsidRPr="00D326F8">
              <w:rPr>
                <w:sz w:val="16"/>
                <w:szCs w:val="16"/>
              </w:rPr>
              <w:t>Carbamazepine and metabolite PK blood sampling</w:t>
            </w:r>
          </w:p>
        </w:tc>
        <w:tc>
          <w:tcPr>
            <w:tcW w:w="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4"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5"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6"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7"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8"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9"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A"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B"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C"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D"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E"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9F"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0"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1"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A2" w14:textId="77777777" w:rsidR="00677289" w:rsidRPr="00D326F8" w:rsidRDefault="003E23E4" w:rsidP="00677289">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A3" w14:textId="77777777" w:rsidR="00677289" w:rsidRPr="00D326F8" w:rsidRDefault="003E23E4" w:rsidP="00677289">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4"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5"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6"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7"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8"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9" w14:textId="77777777" w:rsidR="00677289" w:rsidRPr="00D326F8" w:rsidRDefault="00677289" w:rsidP="00677289">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A" w14:textId="77777777" w:rsidR="00677289" w:rsidRPr="00D326F8" w:rsidRDefault="00677289" w:rsidP="00677289">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AB" w14:textId="77777777" w:rsidR="00677289" w:rsidRPr="00D326F8" w:rsidRDefault="00677289" w:rsidP="00677289">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601A7EAD" w14:textId="644120A6" w:rsidR="00677289" w:rsidRPr="00D326F8" w:rsidRDefault="003E23E4" w:rsidP="00677289">
            <w:pPr>
              <w:pStyle w:val="Tabletext"/>
              <w:keepLines w:val="0"/>
              <w:widowControl w:val="0"/>
              <w:rPr>
                <w:sz w:val="16"/>
                <w:szCs w:val="16"/>
              </w:rPr>
            </w:pPr>
            <w:r w:rsidRPr="00D326F8">
              <w:rPr>
                <w:sz w:val="16"/>
                <w:szCs w:val="16"/>
              </w:rPr>
              <w:fldChar w:fldCharType="begin"/>
            </w:r>
            <w:r w:rsidRPr="00D326F8">
              <w:rPr>
                <w:sz w:val="16"/>
                <w:szCs w:val="16"/>
              </w:rPr>
              <w:instrText xml:space="preserve"> REF _Ref77583792 \h  \* MERGEFORMAT </w:instrText>
            </w:r>
            <w:r w:rsidRPr="00D326F8">
              <w:rPr>
                <w:sz w:val="16"/>
                <w:szCs w:val="16"/>
              </w:rPr>
            </w:r>
            <w:r w:rsidRPr="00D326F8">
              <w:rPr>
                <w:sz w:val="16"/>
                <w:szCs w:val="16"/>
              </w:rPr>
              <w:fldChar w:fldCharType="separate"/>
            </w:r>
            <w:r w:rsidR="00173A27" w:rsidRPr="00173A27">
              <w:rPr>
                <w:sz w:val="16"/>
                <w:szCs w:val="16"/>
              </w:rPr>
              <w:t>Table 1</w:t>
            </w:r>
            <w:r w:rsidRPr="00D326F8">
              <w:rPr>
                <w:sz w:val="16"/>
                <w:szCs w:val="16"/>
              </w:rPr>
              <w:fldChar w:fldCharType="end"/>
            </w:r>
            <w:r w:rsidRPr="00D326F8">
              <w:rPr>
                <w:sz w:val="16"/>
                <w:szCs w:val="16"/>
              </w:rPr>
              <w:t xml:space="preserve">. </w:t>
            </w:r>
          </w:p>
        </w:tc>
      </w:tr>
      <w:tr w:rsidR="003B74AE" w:rsidRPr="00D326F8" w14:paraId="601A7ECA" w14:textId="77777777" w:rsidTr="00BA27FF">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EAF" w14:textId="77777777" w:rsidR="004A1370" w:rsidRPr="00D326F8" w:rsidRDefault="003E23E4" w:rsidP="00A573F2">
            <w:pPr>
              <w:pStyle w:val="Tabletext"/>
              <w:keepLines w:val="0"/>
              <w:widowControl w:val="0"/>
              <w:rPr>
                <w:sz w:val="16"/>
                <w:szCs w:val="16"/>
              </w:rPr>
            </w:pPr>
            <w:r w:rsidRPr="00D326F8">
              <w:rPr>
                <w:sz w:val="16"/>
                <w:szCs w:val="16"/>
              </w:rPr>
              <w:t>Tepotinib administration</w:t>
            </w:r>
          </w:p>
        </w:tc>
        <w:tc>
          <w:tcPr>
            <w:tcW w:w="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B2"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B"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BE"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BF"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0"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1"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2"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3"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4"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5"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6" w14:textId="77777777" w:rsidR="004A1370" w:rsidRPr="00D326F8" w:rsidRDefault="004A1370" w:rsidP="00A573F2">
            <w:pPr>
              <w:pStyle w:val="Tabletext"/>
              <w:keepLines w:val="0"/>
              <w:widowControl w:val="0"/>
              <w:jc w:val="center"/>
              <w:rPr>
                <w:sz w:val="16"/>
                <w:szCs w:val="16"/>
              </w:rPr>
            </w:pP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7"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601A7EC8" w14:textId="40722917" w:rsidR="004A1370" w:rsidRPr="00D326F8" w:rsidRDefault="003E23E4" w:rsidP="00A573F2">
            <w:pPr>
              <w:pStyle w:val="Tabletext"/>
              <w:keepLines w:val="0"/>
              <w:widowControl w:val="0"/>
              <w:rPr>
                <w:sz w:val="16"/>
                <w:szCs w:val="16"/>
              </w:rPr>
            </w:pPr>
            <w:r w:rsidRPr="00D326F8">
              <w:rPr>
                <w:sz w:val="16"/>
                <w:szCs w:val="16"/>
              </w:rPr>
              <w:t>Section</w:t>
            </w:r>
            <w:r w:rsidR="00CE381C" w:rsidRPr="00D326F8">
              <w:rPr>
                <w:sz w:val="16"/>
                <w:szCs w:val="16"/>
              </w:rPr>
              <w:t xml:space="preserve"> </w:t>
            </w:r>
            <w:r w:rsidR="00CE381C" w:rsidRPr="00D326F8">
              <w:rPr>
                <w:sz w:val="16"/>
                <w:szCs w:val="16"/>
              </w:rPr>
              <w:fldChar w:fldCharType="begin"/>
            </w:r>
            <w:r w:rsidR="00CE381C" w:rsidRPr="00D326F8">
              <w:rPr>
                <w:sz w:val="16"/>
                <w:szCs w:val="16"/>
              </w:rPr>
              <w:instrText xml:space="preserve"> REF _Ref74915072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5.3.1</w:t>
            </w:r>
            <w:r w:rsidR="00CE381C" w:rsidRPr="00D326F8">
              <w:rPr>
                <w:sz w:val="16"/>
                <w:szCs w:val="16"/>
              </w:rPr>
              <w:fldChar w:fldCharType="end"/>
            </w:r>
            <w:r w:rsidRPr="00D326F8">
              <w:rPr>
                <w:sz w:val="16"/>
                <w:szCs w:val="16"/>
              </w:rPr>
              <w:t>.</w:t>
            </w:r>
          </w:p>
          <w:p w14:paraId="601A7EC9" w14:textId="568501EF" w:rsidR="004A1370" w:rsidRPr="00D326F8" w:rsidRDefault="003E23E4" w:rsidP="00A573F2">
            <w:pPr>
              <w:pStyle w:val="Tabletext"/>
              <w:keepLines w:val="0"/>
              <w:widowControl w:val="0"/>
              <w:rPr>
                <w:sz w:val="16"/>
                <w:szCs w:val="16"/>
              </w:rPr>
            </w:pPr>
            <w:r w:rsidRPr="00D326F8">
              <w:rPr>
                <w:sz w:val="16"/>
                <w:szCs w:val="16"/>
              </w:rPr>
              <w:t>Section</w:t>
            </w:r>
            <w:r w:rsidR="00CE381C" w:rsidRPr="00D326F8">
              <w:rPr>
                <w:sz w:val="16"/>
                <w:szCs w:val="16"/>
              </w:rPr>
              <w:t xml:space="preserve"> </w:t>
            </w:r>
            <w:r w:rsidR="00CE381C" w:rsidRPr="00D326F8">
              <w:rPr>
                <w:sz w:val="16"/>
                <w:szCs w:val="16"/>
              </w:rPr>
              <w:fldChar w:fldCharType="begin"/>
            </w:r>
            <w:r w:rsidR="00CE381C" w:rsidRPr="00D326F8">
              <w:rPr>
                <w:sz w:val="16"/>
                <w:szCs w:val="16"/>
              </w:rPr>
              <w:instrText xml:space="preserve"> REF _Ref74915081 \n \h </w:instrText>
            </w:r>
            <w:r w:rsidR="00D326F8">
              <w:rPr>
                <w:sz w:val="16"/>
                <w:szCs w:val="16"/>
              </w:rPr>
              <w:instrText xml:space="preserve"> \* MERGEFORMAT </w:instrText>
            </w:r>
            <w:r w:rsidR="00CE381C" w:rsidRPr="00D326F8">
              <w:rPr>
                <w:sz w:val="16"/>
                <w:szCs w:val="16"/>
              </w:rPr>
            </w:r>
            <w:r w:rsidR="00CE381C" w:rsidRPr="00D326F8">
              <w:rPr>
                <w:sz w:val="16"/>
                <w:szCs w:val="16"/>
              </w:rPr>
              <w:fldChar w:fldCharType="separate"/>
            </w:r>
            <w:r w:rsidR="00173A27">
              <w:rPr>
                <w:sz w:val="16"/>
                <w:szCs w:val="16"/>
              </w:rPr>
              <w:t>6.1</w:t>
            </w:r>
            <w:r w:rsidR="00CE381C" w:rsidRPr="00D326F8">
              <w:rPr>
                <w:sz w:val="16"/>
                <w:szCs w:val="16"/>
              </w:rPr>
              <w:fldChar w:fldCharType="end"/>
            </w:r>
            <w:r w:rsidRPr="00D326F8">
              <w:rPr>
                <w:sz w:val="16"/>
                <w:szCs w:val="16"/>
              </w:rPr>
              <w:t>.</w:t>
            </w:r>
          </w:p>
        </w:tc>
      </w:tr>
      <w:tr w:rsidR="003B74AE" w:rsidRPr="00D326F8" w14:paraId="601A7EE6" w14:textId="77777777" w:rsidTr="002F2FA9">
        <w:trPr>
          <w:cantSplit/>
        </w:trPr>
        <w:tc>
          <w:tcPr>
            <w:tcW w:w="546" w:type="pct"/>
            <w:tcBorders>
              <w:top w:val="single" w:sz="4" w:space="0" w:color="auto"/>
              <w:left w:val="single" w:sz="4" w:space="0" w:color="auto"/>
              <w:bottom w:val="single" w:sz="4" w:space="0" w:color="auto"/>
              <w:right w:val="single" w:sz="4" w:space="0" w:color="auto"/>
            </w:tcBorders>
            <w:vAlign w:val="center"/>
            <w:hideMark/>
          </w:tcPr>
          <w:p w14:paraId="601A7ECB" w14:textId="77777777" w:rsidR="004A1370" w:rsidRPr="00D326F8" w:rsidRDefault="003E23E4" w:rsidP="00A573F2">
            <w:pPr>
              <w:pStyle w:val="Tabletext"/>
              <w:keepLines w:val="0"/>
              <w:widowControl w:val="0"/>
              <w:rPr>
                <w:sz w:val="16"/>
                <w:szCs w:val="16"/>
              </w:rPr>
            </w:pPr>
            <w:r w:rsidRPr="00D326F8">
              <w:rPr>
                <w:sz w:val="16"/>
                <w:szCs w:val="16"/>
              </w:rPr>
              <w:t>Tepotinib and metabolites PK blood sampling</w:t>
            </w:r>
          </w:p>
        </w:tc>
        <w:tc>
          <w:tcPr>
            <w:tcW w:w="2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C"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CD"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CE"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CF"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0"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1"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2"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3"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4"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5"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D6"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D7"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D8"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D9"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DA" w14:textId="77777777" w:rsidR="004A1370" w:rsidRPr="00D326F8" w:rsidRDefault="004A1370" w:rsidP="00A573F2">
            <w:pPr>
              <w:pStyle w:val="Tabletext"/>
              <w:keepLines w:val="0"/>
              <w:widowControl w:val="0"/>
              <w:jc w:val="center"/>
              <w:rPr>
                <w:sz w:val="16"/>
                <w:szCs w:val="16"/>
              </w:rPr>
            </w:pP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B"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C"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D"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E"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DF"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E0"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E1"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161" w:type="pct"/>
            <w:tcBorders>
              <w:top w:val="single" w:sz="4" w:space="0" w:color="auto"/>
              <w:left w:val="single" w:sz="4" w:space="0" w:color="auto"/>
              <w:bottom w:val="single" w:sz="4" w:space="0" w:color="auto"/>
              <w:right w:val="single" w:sz="4" w:space="0" w:color="auto"/>
            </w:tcBorders>
            <w:vAlign w:val="center"/>
            <w:hideMark/>
          </w:tcPr>
          <w:p w14:paraId="601A7EE2" w14:textId="77777777" w:rsidR="004A1370" w:rsidRPr="00D326F8" w:rsidRDefault="003E23E4" w:rsidP="00A573F2">
            <w:pPr>
              <w:pStyle w:val="Tabletext"/>
              <w:keepLines w:val="0"/>
              <w:widowControl w:val="0"/>
              <w:jc w:val="center"/>
              <w:rPr>
                <w:sz w:val="16"/>
                <w:szCs w:val="16"/>
              </w:rPr>
            </w:pPr>
            <w:r w:rsidRPr="00D326F8">
              <w:rPr>
                <w:sz w:val="16"/>
                <w:szCs w:val="16"/>
              </w:rPr>
              <w:t>X</w:t>
            </w:r>
          </w:p>
        </w:tc>
        <w:tc>
          <w:tcPr>
            <w:tcW w:w="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A7EE3" w14:textId="77777777" w:rsidR="004A1370" w:rsidRPr="00D326F8" w:rsidRDefault="004A1370" w:rsidP="00A573F2">
            <w:pPr>
              <w:pStyle w:val="Tabletext"/>
              <w:keepLines w:val="0"/>
              <w:widowControl w:val="0"/>
              <w:jc w:val="center"/>
              <w:rPr>
                <w:sz w:val="16"/>
                <w:szCs w:val="16"/>
              </w:rPr>
            </w:pPr>
          </w:p>
        </w:tc>
        <w:tc>
          <w:tcPr>
            <w:tcW w:w="431" w:type="pct"/>
            <w:tcBorders>
              <w:top w:val="single" w:sz="4" w:space="0" w:color="auto"/>
              <w:left w:val="single" w:sz="4" w:space="0" w:color="auto"/>
              <w:bottom w:val="single" w:sz="4" w:space="0" w:color="auto"/>
              <w:right w:val="single" w:sz="4" w:space="0" w:color="auto"/>
            </w:tcBorders>
            <w:vAlign w:val="center"/>
          </w:tcPr>
          <w:p w14:paraId="601A7EE5" w14:textId="5E923098" w:rsidR="004A1370" w:rsidRPr="00D326F8" w:rsidRDefault="003E23E4" w:rsidP="00A573F2">
            <w:pPr>
              <w:pStyle w:val="Tabletext"/>
              <w:keepLines w:val="0"/>
              <w:widowControl w:val="0"/>
              <w:rPr>
                <w:sz w:val="16"/>
                <w:szCs w:val="16"/>
              </w:rPr>
            </w:pPr>
            <w:r w:rsidRPr="00D326F8">
              <w:rPr>
                <w:sz w:val="16"/>
                <w:szCs w:val="16"/>
              </w:rPr>
              <w:fldChar w:fldCharType="begin"/>
            </w:r>
            <w:r w:rsidRPr="00D326F8">
              <w:rPr>
                <w:sz w:val="16"/>
                <w:szCs w:val="16"/>
              </w:rPr>
              <w:instrText xml:space="preserve"> REF _Ref77583803 \h  \* MERGEFORMAT </w:instrText>
            </w:r>
            <w:r w:rsidRPr="00D326F8">
              <w:rPr>
                <w:sz w:val="16"/>
                <w:szCs w:val="16"/>
              </w:rPr>
            </w:r>
            <w:r w:rsidRPr="00D326F8">
              <w:rPr>
                <w:sz w:val="16"/>
                <w:szCs w:val="16"/>
              </w:rPr>
              <w:fldChar w:fldCharType="separate"/>
            </w:r>
            <w:r w:rsidR="00173A27" w:rsidRPr="00173A27">
              <w:rPr>
                <w:sz w:val="16"/>
                <w:szCs w:val="16"/>
              </w:rPr>
              <w:t>Table 2</w:t>
            </w:r>
            <w:r w:rsidRPr="00D326F8">
              <w:rPr>
                <w:sz w:val="16"/>
                <w:szCs w:val="16"/>
              </w:rPr>
              <w:fldChar w:fldCharType="end"/>
            </w:r>
            <w:r w:rsidRPr="00D326F8">
              <w:rPr>
                <w:sz w:val="16"/>
                <w:szCs w:val="16"/>
              </w:rPr>
              <w:t xml:space="preserve">. </w:t>
            </w:r>
          </w:p>
        </w:tc>
      </w:tr>
    </w:tbl>
    <w:p w14:paraId="601A7EE7" w14:textId="798E4F33" w:rsidR="00EE0A17" w:rsidRPr="00D326F8" w:rsidRDefault="003E23E4" w:rsidP="00EE0A17">
      <w:pPr>
        <w:pStyle w:val="Tabletext"/>
      </w:pPr>
      <w:bookmarkStart w:id="23" w:name="_Hlk77760044"/>
      <w:bookmarkStart w:id="24" w:name="_Ref74054231"/>
      <w:bookmarkStart w:id="25" w:name="_Ref71489571"/>
      <w:bookmarkStart w:id="26" w:name="_Ref72352162"/>
      <w:r w:rsidRPr="00D326F8">
        <w:t>AE=adverse events</w:t>
      </w:r>
      <w:r w:rsidR="0051232E" w:rsidRPr="00D326F8">
        <w:t>,</w:t>
      </w:r>
      <w:r w:rsidRPr="00D326F8">
        <w:t xml:space="preserve"> CRU=clinical research unit</w:t>
      </w:r>
      <w:r w:rsidR="0051232E" w:rsidRPr="00D326F8">
        <w:t>,</w:t>
      </w:r>
      <w:r w:rsidRPr="00D326F8">
        <w:t xml:space="preserve"> ECG=electrocardiogram</w:t>
      </w:r>
      <w:r w:rsidR="0051232E" w:rsidRPr="00D326F8">
        <w:t>,</w:t>
      </w:r>
      <w:r w:rsidRPr="00D326F8">
        <w:t xml:space="preserve"> FSH=follicle stimulating hormone</w:t>
      </w:r>
      <w:r w:rsidR="0051232E" w:rsidRPr="00D326F8">
        <w:t>,</w:t>
      </w:r>
      <w:r w:rsidRPr="00D326F8">
        <w:t xml:space="preserve"> PK=pharmacokinetics</w:t>
      </w:r>
      <w:r w:rsidR="0051232E" w:rsidRPr="00D326F8">
        <w:t>,</w:t>
      </w:r>
      <w:r w:rsidRPr="00D326F8">
        <w:t xml:space="preserve"> SARS</w:t>
      </w:r>
      <w:r w:rsidRPr="00D326F8">
        <w:noBreakHyphen/>
        <w:t>CoV</w:t>
      </w:r>
      <w:r w:rsidRPr="00D326F8">
        <w:noBreakHyphen/>
        <w:t>2=severe acute respiratory syndrome coronavirus type 2</w:t>
      </w:r>
      <w:r w:rsidR="0051232E" w:rsidRPr="00D326F8">
        <w:t>,</w:t>
      </w:r>
      <w:r w:rsidRPr="00D326F8">
        <w:t xml:space="preserve"> TSH=thyroid stimulating hormone.</w:t>
      </w:r>
      <w:bookmarkEnd w:id="23"/>
    </w:p>
    <w:p w14:paraId="601A7EE8" w14:textId="0A050324" w:rsidR="004A1370" w:rsidRPr="00D326F8" w:rsidRDefault="003E23E4" w:rsidP="004A1370">
      <w:pPr>
        <w:pStyle w:val="Caption"/>
      </w:pPr>
      <w:bookmarkStart w:id="27" w:name="_Ref77583792"/>
      <w:bookmarkStart w:id="28" w:name="_Toc77839799"/>
      <w:r w:rsidRPr="00D326F8">
        <w:lastRenderedPageBreak/>
        <w:t xml:space="preserve">Table </w:t>
      </w:r>
      <w:r w:rsidRPr="00D326F8">
        <w:fldChar w:fldCharType="begin"/>
      </w:r>
      <w:r w:rsidRPr="00D326F8">
        <w:instrText xml:space="preserve"> SEQ Table \* ARABIC </w:instrText>
      </w:r>
      <w:r w:rsidRPr="00D326F8">
        <w:fldChar w:fldCharType="separate"/>
      </w:r>
      <w:r w:rsidR="00173A27">
        <w:rPr>
          <w:noProof/>
        </w:rPr>
        <w:t>1</w:t>
      </w:r>
      <w:r w:rsidRPr="00D326F8">
        <w:fldChar w:fldCharType="end"/>
      </w:r>
      <w:bookmarkEnd w:id="24"/>
      <w:bookmarkEnd w:id="27"/>
      <w:r w:rsidRPr="00D326F8">
        <w:tab/>
        <w:t>Carbamazepin</w:t>
      </w:r>
      <w:r w:rsidR="002616AE" w:rsidRPr="00D326F8">
        <w:t>e</w:t>
      </w:r>
      <w:r w:rsidRPr="00D326F8">
        <w:t xml:space="preserve"> and Metabolite PK Sampling Schema</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1989"/>
        <w:gridCol w:w="3886"/>
        <w:gridCol w:w="4733"/>
      </w:tblGrid>
      <w:tr w:rsidR="003B74AE" w:rsidRPr="00D326F8" w14:paraId="601A7EED" w14:textId="77777777" w:rsidTr="004A1370">
        <w:trPr>
          <w:cantSplit/>
          <w:tblHeader/>
        </w:trPr>
        <w:tc>
          <w:tcPr>
            <w:tcW w:w="905" w:type="pct"/>
            <w:tcBorders>
              <w:top w:val="single" w:sz="4" w:space="0" w:color="auto"/>
              <w:left w:val="single" w:sz="4" w:space="0" w:color="auto"/>
              <w:bottom w:val="single" w:sz="4" w:space="0" w:color="auto"/>
              <w:right w:val="single" w:sz="4" w:space="0" w:color="auto"/>
            </w:tcBorders>
            <w:vAlign w:val="bottom"/>
            <w:hideMark/>
          </w:tcPr>
          <w:p w14:paraId="601A7EE9" w14:textId="77777777" w:rsidR="004A1370" w:rsidRPr="00D326F8" w:rsidRDefault="003E23E4">
            <w:pPr>
              <w:pStyle w:val="Tabletext"/>
              <w:keepNext/>
              <w:widowControl w:val="0"/>
              <w:jc w:val="center"/>
              <w:rPr>
                <w:b/>
                <w:sz w:val="16"/>
                <w:szCs w:val="16"/>
              </w:rPr>
            </w:pPr>
            <w:r w:rsidRPr="00D326F8">
              <w:rPr>
                <w:b/>
                <w:sz w:val="16"/>
                <w:szCs w:val="16"/>
              </w:rPr>
              <w:t>Study Day</w:t>
            </w:r>
          </w:p>
        </w:tc>
        <w:tc>
          <w:tcPr>
            <w:tcW w:w="768" w:type="pct"/>
            <w:tcBorders>
              <w:top w:val="single" w:sz="4" w:space="0" w:color="auto"/>
              <w:left w:val="single" w:sz="4" w:space="0" w:color="auto"/>
              <w:bottom w:val="single" w:sz="4" w:space="0" w:color="auto"/>
              <w:right w:val="single" w:sz="4" w:space="0" w:color="auto"/>
            </w:tcBorders>
            <w:vAlign w:val="bottom"/>
            <w:hideMark/>
          </w:tcPr>
          <w:p w14:paraId="601A7EEA" w14:textId="77777777" w:rsidR="004A1370" w:rsidRPr="00D326F8" w:rsidRDefault="003E23E4">
            <w:pPr>
              <w:pStyle w:val="Tabletext"/>
              <w:keepNext/>
              <w:widowControl w:val="0"/>
              <w:jc w:val="center"/>
              <w:rPr>
                <w:b/>
                <w:sz w:val="16"/>
                <w:szCs w:val="16"/>
              </w:rPr>
            </w:pPr>
            <w:r w:rsidRPr="00D326F8">
              <w:rPr>
                <w:b/>
                <w:sz w:val="16"/>
                <w:szCs w:val="16"/>
              </w:rPr>
              <w:t>25</w:t>
            </w:r>
          </w:p>
        </w:tc>
        <w:tc>
          <w:tcPr>
            <w:tcW w:w="1500" w:type="pct"/>
            <w:tcBorders>
              <w:top w:val="single" w:sz="4" w:space="0" w:color="auto"/>
              <w:left w:val="single" w:sz="4" w:space="0" w:color="auto"/>
              <w:bottom w:val="single" w:sz="4" w:space="0" w:color="auto"/>
              <w:right w:val="single" w:sz="4" w:space="0" w:color="auto"/>
            </w:tcBorders>
            <w:vAlign w:val="bottom"/>
            <w:hideMark/>
          </w:tcPr>
          <w:p w14:paraId="601A7EEB" w14:textId="77777777" w:rsidR="004A1370" w:rsidRPr="00D326F8" w:rsidRDefault="003E23E4">
            <w:pPr>
              <w:pStyle w:val="Tabletext"/>
              <w:keepNext/>
              <w:widowControl w:val="0"/>
              <w:jc w:val="center"/>
              <w:rPr>
                <w:b/>
                <w:sz w:val="16"/>
                <w:szCs w:val="16"/>
              </w:rPr>
            </w:pPr>
            <w:r w:rsidRPr="00D326F8">
              <w:rPr>
                <w:b/>
                <w:sz w:val="16"/>
                <w:szCs w:val="16"/>
              </w:rPr>
              <w:t>26</w:t>
            </w:r>
          </w:p>
        </w:tc>
        <w:tc>
          <w:tcPr>
            <w:tcW w:w="1827" w:type="pct"/>
            <w:tcBorders>
              <w:top w:val="single" w:sz="4" w:space="0" w:color="auto"/>
              <w:left w:val="single" w:sz="4" w:space="0" w:color="auto"/>
              <w:bottom w:val="single" w:sz="4" w:space="0" w:color="auto"/>
              <w:right w:val="single" w:sz="4" w:space="0" w:color="auto"/>
            </w:tcBorders>
            <w:vAlign w:val="bottom"/>
            <w:hideMark/>
          </w:tcPr>
          <w:p w14:paraId="601A7EEC" w14:textId="77777777" w:rsidR="004A1370" w:rsidRPr="00D326F8" w:rsidRDefault="003E23E4">
            <w:pPr>
              <w:pStyle w:val="Tabletext"/>
              <w:keepNext/>
              <w:widowControl w:val="0"/>
              <w:jc w:val="center"/>
              <w:rPr>
                <w:b/>
                <w:sz w:val="16"/>
                <w:szCs w:val="16"/>
              </w:rPr>
            </w:pPr>
            <w:r w:rsidRPr="00D326F8">
              <w:rPr>
                <w:b/>
                <w:sz w:val="16"/>
                <w:szCs w:val="16"/>
              </w:rPr>
              <w:t>Notes</w:t>
            </w:r>
          </w:p>
        </w:tc>
      </w:tr>
      <w:tr w:rsidR="003B74AE" w:rsidRPr="00D326F8" w14:paraId="601A7EF5" w14:textId="77777777" w:rsidTr="004A1370">
        <w:trPr>
          <w:cantSplit/>
        </w:trPr>
        <w:tc>
          <w:tcPr>
            <w:tcW w:w="905" w:type="pct"/>
            <w:tcBorders>
              <w:top w:val="single" w:sz="4" w:space="0" w:color="auto"/>
              <w:left w:val="single" w:sz="4" w:space="0" w:color="auto"/>
              <w:bottom w:val="single" w:sz="4" w:space="0" w:color="auto"/>
              <w:right w:val="single" w:sz="4" w:space="0" w:color="auto"/>
            </w:tcBorders>
            <w:vAlign w:val="center"/>
            <w:hideMark/>
          </w:tcPr>
          <w:p w14:paraId="601A7EEE" w14:textId="77777777" w:rsidR="004A1370" w:rsidRPr="00D326F8" w:rsidRDefault="003E23E4">
            <w:pPr>
              <w:pStyle w:val="Tabletext"/>
              <w:keepNext/>
              <w:widowControl w:val="0"/>
              <w:rPr>
                <w:sz w:val="16"/>
                <w:szCs w:val="16"/>
              </w:rPr>
            </w:pPr>
            <w:r w:rsidRPr="00D326F8">
              <w:rPr>
                <w:sz w:val="16"/>
                <w:szCs w:val="16"/>
              </w:rPr>
              <w:t>Timing PK blood sampling</w:t>
            </w:r>
          </w:p>
        </w:tc>
        <w:tc>
          <w:tcPr>
            <w:tcW w:w="768" w:type="pct"/>
            <w:tcBorders>
              <w:top w:val="single" w:sz="4" w:space="0" w:color="auto"/>
              <w:left w:val="single" w:sz="4" w:space="0" w:color="auto"/>
              <w:bottom w:val="single" w:sz="4" w:space="0" w:color="auto"/>
              <w:right w:val="single" w:sz="4" w:space="0" w:color="auto"/>
            </w:tcBorders>
            <w:vAlign w:val="center"/>
            <w:hideMark/>
          </w:tcPr>
          <w:p w14:paraId="601A7EEF" w14:textId="77777777" w:rsidR="004A1370" w:rsidRPr="00D326F8" w:rsidRDefault="003E23E4">
            <w:pPr>
              <w:pStyle w:val="Tabletext"/>
              <w:keepNext/>
              <w:widowControl w:val="0"/>
              <w:jc w:val="center"/>
              <w:rPr>
                <w:sz w:val="16"/>
                <w:szCs w:val="16"/>
              </w:rPr>
            </w:pPr>
            <w:r w:rsidRPr="00D326F8">
              <w:rPr>
                <w:sz w:val="16"/>
                <w:szCs w:val="16"/>
              </w:rPr>
              <w:t xml:space="preserve">Predose in the </w:t>
            </w:r>
            <w:proofErr w:type="spellStart"/>
            <w:r w:rsidRPr="00D326F8">
              <w:rPr>
                <w:sz w:val="16"/>
                <w:szCs w:val="16"/>
              </w:rPr>
              <w:t>evening</w:t>
            </w:r>
            <w:r w:rsidRPr="00D326F8">
              <w:rPr>
                <w:sz w:val="16"/>
                <w:szCs w:val="16"/>
                <w:vertAlign w:val="superscript"/>
              </w:rPr>
              <w:t>a</w:t>
            </w:r>
            <w:proofErr w:type="spellEnd"/>
            <w:r w:rsidRPr="00D326F8">
              <w:rPr>
                <w:sz w:val="16"/>
                <w:szCs w:val="16"/>
              </w:rPr>
              <w:t xml:space="preserve"> </w:t>
            </w:r>
          </w:p>
        </w:tc>
        <w:tc>
          <w:tcPr>
            <w:tcW w:w="1500" w:type="pct"/>
            <w:tcBorders>
              <w:top w:val="single" w:sz="4" w:space="0" w:color="auto"/>
              <w:left w:val="single" w:sz="4" w:space="0" w:color="auto"/>
              <w:bottom w:val="single" w:sz="4" w:space="0" w:color="auto"/>
              <w:right w:val="single" w:sz="4" w:space="0" w:color="auto"/>
            </w:tcBorders>
            <w:vAlign w:val="center"/>
            <w:hideMark/>
          </w:tcPr>
          <w:p w14:paraId="601A7EF0" w14:textId="77777777" w:rsidR="004A1370" w:rsidRPr="00D326F8" w:rsidRDefault="003E23E4">
            <w:pPr>
              <w:pStyle w:val="Tabletext"/>
              <w:keepNext/>
              <w:widowControl w:val="0"/>
              <w:jc w:val="center"/>
              <w:rPr>
                <w:sz w:val="16"/>
                <w:szCs w:val="16"/>
              </w:rPr>
            </w:pPr>
            <w:r w:rsidRPr="00D326F8">
              <w:rPr>
                <w:sz w:val="16"/>
                <w:szCs w:val="16"/>
              </w:rPr>
              <w:t xml:space="preserve">Predose in the </w:t>
            </w:r>
            <w:proofErr w:type="spellStart"/>
            <w:r w:rsidRPr="00D326F8">
              <w:rPr>
                <w:sz w:val="16"/>
                <w:szCs w:val="16"/>
              </w:rPr>
              <w:t>morning</w:t>
            </w:r>
            <w:r w:rsidRPr="00D326F8">
              <w:rPr>
                <w:sz w:val="16"/>
                <w:szCs w:val="16"/>
                <w:vertAlign w:val="superscript"/>
              </w:rPr>
              <w:t>a</w:t>
            </w:r>
            <w:proofErr w:type="spellEnd"/>
            <w:r w:rsidRPr="00D326F8">
              <w:rPr>
                <w:sz w:val="16"/>
                <w:szCs w:val="16"/>
              </w:rPr>
              <w:t xml:space="preserve"> and</w:t>
            </w:r>
            <w:r w:rsidRPr="00D326F8">
              <w:rPr>
                <w:sz w:val="16"/>
                <w:szCs w:val="16"/>
                <w:vertAlign w:val="superscript"/>
              </w:rPr>
              <w:br/>
            </w:r>
            <w:r w:rsidRPr="00D326F8">
              <w:rPr>
                <w:sz w:val="16"/>
                <w:szCs w:val="16"/>
              </w:rPr>
              <w:t xml:space="preserve">1, 1.5, 2, 3, 4, 6, </w:t>
            </w:r>
            <w:r w:rsidR="00E355AB" w:rsidRPr="00D326F8">
              <w:rPr>
                <w:sz w:val="16"/>
                <w:szCs w:val="16"/>
              </w:rPr>
              <w:t xml:space="preserve">and </w:t>
            </w:r>
            <w:r w:rsidRPr="00D326F8">
              <w:rPr>
                <w:sz w:val="16"/>
                <w:szCs w:val="16"/>
              </w:rPr>
              <w:t>8 hours postdose and</w:t>
            </w:r>
          </w:p>
          <w:p w14:paraId="601A7EF1" w14:textId="77777777" w:rsidR="004A1370" w:rsidRPr="00D326F8" w:rsidRDefault="003E23E4">
            <w:pPr>
              <w:pStyle w:val="Tabletext"/>
              <w:keepNext/>
              <w:widowControl w:val="0"/>
              <w:jc w:val="center"/>
              <w:rPr>
                <w:sz w:val="16"/>
                <w:szCs w:val="16"/>
              </w:rPr>
            </w:pPr>
            <w:r w:rsidRPr="00D326F8">
              <w:rPr>
                <w:sz w:val="16"/>
                <w:szCs w:val="16"/>
              </w:rPr>
              <w:t xml:space="preserve">predose </w:t>
            </w:r>
            <w:r w:rsidR="00F25168" w:rsidRPr="00D326F8">
              <w:rPr>
                <w:sz w:val="16"/>
                <w:szCs w:val="16"/>
              </w:rPr>
              <w:t xml:space="preserve">in the </w:t>
            </w:r>
            <w:proofErr w:type="spellStart"/>
            <w:r w:rsidR="00F25168" w:rsidRPr="00D326F8">
              <w:rPr>
                <w:sz w:val="16"/>
                <w:szCs w:val="16"/>
              </w:rPr>
              <w:t>evening</w:t>
            </w:r>
            <w:r w:rsidR="00F25168" w:rsidRPr="00D326F8">
              <w:rPr>
                <w:sz w:val="16"/>
                <w:szCs w:val="16"/>
                <w:vertAlign w:val="superscript"/>
              </w:rPr>
              <w:t>a</w:t>
            </w:r>
            <w:proofErr w:type="spellEnd"/>
            <w:r w:rsidR="00F25168" w:rsidRPr="00D326F8">
              <w:rPr>
                <w:sz w:val="16"/>
                <w:szCs w:val="16"/>
              </w:rPr>
              <w:t xml:space="preserve"> </w:t>
            </w:r>
          </w:p>
        </w:tc>
        <w:tc>
          <w:tcPr>
            <w:tcW w:w="1827" w:type="pct"/>
            <w:tcBorders>
              <w:top w:val="single" w:sz="4" w:space="0" w:color="auto"/>
              <w:left w:val="single" w:sz="4" w:space="0" w:color="auto"/>
              <w:bottom w:val="single" w:sz="4" w:space="0" w:color="auto"/>
              <w:right w:val="single" w:sz="4" w:space="0" w:color="auto"/>
            </w:tcBorders>
            <w:vAlign w:val="center"/>
            <w:hideMark/>
          </w:tcPr>
          <w:p w14:paraId="601A7EF2" w14:textId="77777777" w:rsidR="004A1370" w:rsidRPr="00D326F8" w:rsidRDefault="003E23E4">
            <w:pPr>
              <w:pStyle w:val="Tabletext"/>
              <w:keepNext/>
              <w:widowControl w:val="0"/>
              <w:rPr>
                <w:sz w:val="16"/>
                <w:szCs w:val="16"/>
              </w:rPr>
            </w:pPr>
            <w:proofErr w:type="spellStart"/>
            <w:r w:rsidRPr="00D326F8">
              <w:rPr>
                <w:sz w:val="16"/>
                <w:szCs w:val="16"/>
              </w:rPr>
              <w:t>a</w:t>
            </w:r>
            <w:proofErr w:type="spellEnd"/>
            <w:r w:rsidRPr="00D326F8">
              <w:rPr>
                <w:sz w:val="16"/>
                <w:szCs w:val="16"/>
              </w:rPr>
              <w:tab/>
              <w:t>Within 60 minutes before carbamazepine dosing.</w:t>
            </w:r>
          </w:p>
          <w:p w14:paraId="601A7EF3" w14:textId="77777777" w:rsidR="004A1370" w:rsidRPr="00D326F8" w:rsidRDefault="003E23E4">
            <w:pPr>
              <w:pStyle w:val="Tabletext"/>
              <w:keepNext/>
              <w:widowControl w:val="0"/>
              <w:rPr>
                <w:sz w:val="16"/>
                <w:szCs w:val="16"/>
              </w:rPr>
            </w:pPr>
            <w:r w:rsidRPr="00D326F8">
              <w:rPr>
                <w:sz w:val="16"/>
                <w:szCs w:val="16"/>
              </w:rPr>
              <w:t>All other samples to be collected post carbamazepine dose.</w:t>
            </w:r>
          </w:p>
          <w:p w14:paraId="601A7EF4" w14:textId="372945D2" w:rsidR="004A1370" w:rsidRPr="00D326F8" w:rsidRDefault="003E23E4">
            <w:pPr>
              <w:pStyle w:val="Tabletext"/>
              <w:keepNext/>
              <w:widowControl w:val="0"/>
              <w:rPr>
                <w:sz w:val="16"/>
                <w:szCs w:val="16"/>
              </w:rPr>
            </w:pPr>
            <w:r w:rsidRPr="00D326F8">
              <w:rPr>
                <w:sz w:val="16"/>
                <w:szCs w:val="16"/>
              </w:rPr>
              <w:t xml:space="preserve">For </w:t>
            </w:r>
            <w:r w:rsidR="00BC2888">
              <w:rPr>
                <w:sz w:val="16"/>
                <w:szCs w:val="16"/>
              </w:rPr>
              <w:t xml:space="preserve">PK </w:t>
            </w:r>
            <w:r w:rsidRPr="00D326F8">
              <w:rPr>
                <w:sz w:val="16"/>
                <w:szCs w:val="16"/>
              </w:rPr>
              <w:t>sampling</w:t>
            </w:r>
            <w:r w:rsidR="00BC2888">
              <w:rPr>
                <w:sz w:val="16"/>
                <w:szCs w:val="16"/>
              </w:rPr>
              <w:t xml:space="preserve"> window</w:t>
            </w:r>
            <w:r w:rsidRPr="00D326F8">
              <w:rPr>
                <w:sz w:val="16"/>
                <w:szCs w:val="16"/>
              </w:rPr>
              <w:t xml:space="preserve"> allowance see</w:t>
            </w:r>
            <w:r w:rsidR="00BC2888">
              <w:rPr>
                <w:sz w:val="16"/>
                <w:szCs w:val="16"/>
              </w:rPr>
              <w:t xml:space="preserve"> </w:t>
            </w:r>
            <w:r w:rsidR="00BC2888">
              <w:rPr>
                <w:sz w:val="16"/>
                <w:szCs w:val="16"/>
              </w:rPr>
              <w:fldChar w:fldCharType="begin"/>
            </w:r>
            <w:r w:rsidR="00BC2888">
              <w:rPr>
                <w:sz w:val="16"/>
                <w:szCs w:val="16"/>
              </w:rPr>
              <w:instrText xml:space="preserve"> REF _Ref68117100 \h  \* MERGEFORMAT </w:instrText>
            </w:r>
            <w:r w:rsidR="00BC2888">
              <w:rPr>
                <w:sz w:val="16"/>
                <w:szCs w:val="16"/>
              </w:rPr>
            </w:r>
            <w:r w:rsidR="00BC2888">
              <w:rPr>
                <w:sz w:val="16"/>
                <w:szCs w:val="16"/>
              </w:rPr>
              <w:fldChar w:fldCharType="separate"/>
            </w:r>
            <w:r w:rsidR="00173A27" w:rsidRPr="00173A27">
              <w:rPr>
                <w:sz w:val="16"/>
                <w:szCs w:val="16"/>
              </w:rPr>
              <w:t>Table 3</w:t>
            </w:r>
            <w:r w:rsidR="00BC2888">
              <w:rPr>
                <w:sz w:val="16"/>
                <w:szCs w:val="16"/>
              </w:rPr>
              <w:fldChar w:fldCharType="end"/>
            </w:r>
            <w:r w:rsidRPr="00D326F8">
              <w:rPr>
                <w:sz w:val="16"/>
                <w:szCs w:val="16"/>
              </w:rPr>
              <w:t>.</w:t>
            </w:r>
          </w:p>
        </w:tc>
      </w:tr>
    </w:tbl>
    <w:p w14:paraId="601A7EF6" w14:textId="77777777" w:rsidR="00EE0A17" w:rsidRPr="00D326F8" w:rsidRDefault="003E23E4" w:rsidP="00EE0A17">
      <w:pPr>
        <w:pStyle w:val="Tabletext"/>
      </w:pPr>
      <w:bookmarkStart w:id="29" w:name="_Ref74053673"/>
      <w:bookmarkStart w:id="30" w:name="_Ref74054268"/>
      <w:r w:rsidRPr="00D326F8">
        <w:t>PK=pharmacokinetic</w:t>
      </w:r>
      <w:r w:rsidR="00095C44" w:rsidRPr="00D326F8">
        <w:t>s</w:t>
      </w:r>
      <w:r w:rsidRPr="00D326F8">
        <w:t>.</w:t>
      </w:r>
    </w:p>
    <w:p w14:paraId="601A7EF7" w14:textId="1288353E" w:rsidR="004A1370" w:rsidRPr="00D326F8" w:rsidRDefault="003E23E4" w:rsidP="004A1370">
      <w:pPr>
        <w:pStyle w:val="Caption"/>
      </w:pPr>
      <w:bookmarkStart w:id="31" w:name="_Ref77583803"/>
      <w:bookmarkStart w:id="32" w:name="_Toc77839800"/>
      <w:r w:rsidRPr="00D326F8">
        <w:t xml:space="preserve">Table </w:t>
      </w:r>
      <w:r w:rsidRPr="00D326F8">
        <w:fldChar w:fldCharType="begin"/>
      </w:r>
      <w:r w:rsidRPr="00D326F8">
        <w:instrText xml:space="preserve"> SEQ Table \* ARABIC </w:instrText>
      </w:r>
      <w:r w:rsidRPr="00D326F8">
        <w:fldChar w:fldCharType="separate"/>
      </w:r>
      <w:r w:rsidR="00173A27">
        <w:rPr>
          <w:noProof/>
        </w:rPr>
        <w:t>2</w:t>
      </w:r>
      <w:r w:rsidRPr="00D326F8">
        <w:fldChar w:fldCharType="end"/>
      </w:r>
      <w:bookmarkEnd w:id="25"/>
      <w:bookmarkEnd w:id="29"/>
      <w:bookmarkEnd w:id="31"/>
      <w:r w:rsidRPr="00D326F8">
        <w:tab/>
        <w:t>Tepotinib and Metabolites PK Sampling Schema</w:t>
      </w:r>
      <w:bookmarkEnd w:id="26"/>
      <w:bookmarkEnd w:id="30"/>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327"/>
        <w:gridCol w:w="941"/>
        <w:gridCol w:w="941"/>
        <w:gridCol w:w="941"/>
        <w:gridCol w:w="940"/>
        <w:gridCol w:w="940"/>
        <w:gridCol w:w="940"/>
        <w:gridCol w:w="940"/>
        <w:gridCol w:w="3943"/>
      </w:tblGrid>
      <w:tr w:rsidR="003B74AE" w:rsidRPr="00D326F8" w14:paraId="601A7F02" w14:textId="77777777" w:rsidTr="004A1370">
        <w:trPr>
          <w:cantSplit/>
          <w:tblHeader/>
        </w:trPr>
        <w:tc>
          <w:tcPr>
            <w:tcW w:w="424" w:type="pct"/>
            <w:vMerge w:val="restart"/>
            <w:tcBorders>
              <w:top w:val="single" w:sz="4" w:space="0" w:color="auto"/>
              <w:left w:val="single" w:sz="4" w:space="0" w:color="auto"/>
              <w:bottom w:val="single" w:sz="4" w:space="0" w:color="auto"/>
              <w:right w:val="single" w:sz="4" w:space="0" w:color="auto"/>
            </w:tcBorders>
            <w:vAlign w:val="bottom"/>
            <w:hideMark/>
          </w:tcPr>
          <w:p w14:paraId="601A7EF8" w14:textId="77777777" w:rsidR="004A1370" w:rsidRPr="00D326F8" w:rsidRDefault="003E23E4">
            <w:pPr>
              <w:pStyle w:val="Tabletext"/>
              <w:keepNext/>
              <w:widowControl w:val="0"/>
              <w:jc w:val="center"/>
              <w:rPr>
                <w:b/>
                <w:sz w:val="16"/>
                <w:szCs w:val="16"/>
              </w:rPr>
            </w:pPr>
            <w:r w:rsidRPr="00D326F8">
              <w:rPr>
                <w:b/>
                <w:sz w:val="16"/>
                <w:szCs w:val="16"/>
              </w:rPr>
              <w:t>Study Day</w:t>
            </w:r>
          </w:p>
        </w:tc>
        <w:tc>
          <w:tcPr>
            <w:tcW w:w="512" w:type="pct"/>
            <w:tcBorders>
              <w:top w:val="single" w:sz="4" w:space="0" w:color="auto"/>
              <w:left w:val="single" w:sz="4" w:space="0" w:color="auto"/>
              <w:bottom w:val="single" w:sz="4" w:space="0" w:color="auto"/>
              <w:right w:val="single" w:sz="4" w:space="0" w:color="auto"/>
            </w:tcBorders>
            <w:vAlign w:val="bottom"/>
            <w:hideMark/>
          </w:tcPr>
          <w:p w14:paraId="601A7EF9" w14:textId="77777777" w:rsidR="004A1370" w:rsidRPr="00D326F8" w:rsidRDefault="003E23E4">
            <w:pPr>
              <w:pStyle w:val="Tabletext"/>
              <w:keepNext/>
              <w:widowControl w:val="0"/>
              <w:jc w:val="center"/>
              <w:rPr>
                <w:b/>
                <w:sz w:val="16"/>
                <w:szCs w:val="16"/>
              </w:rPr>
            </w:pPr>
            <w:r w:rsidRPr="00D326F8">
              <w:rPr>
                <w:b/>
                <w:sz w:val="16"/>
                <w:szCs w:val="16"/>
              </w:rPr>
              <w:t>1</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EFA" w14:textId="77777777" w:rsidR="004A1370" w:rsidRPr="00D326F8" w:rsidRDefault="003E23E4">
            <w:pPr>
              <w:pStyle w:val="Tabletext"/>
              <w:keepNext/>
              <w:widowControl w:val="0"/>
              <w:jc w:val="center"/>
              <w:rPr>
                <w:b/>
                <w:sz w:val="16"/>
                <w:szCs w:val="16"/>
              </w:rPr>
            </w:pPr>
            <w:r w:rsidRPr="00D326F8">
              <w:rPr>
                <w:b/>
                <w:sz w:val="16"/>
                <w:szCs w:val="16"/>
              </w:rPr>
              <w:t>2</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EFB" w14:textId="77777777" w:rsidR="004A1370" w:rsidRPr="00D326F8" w:rsidRDefault="003E23E4">
            <w:pPr>
              <w:pStyle w:val="Tabletext"/>
              <w:keepNext/>
              <w:widowControl w:val="0"/>
              <w:jc w:val="center"/>
              <w:rPr>
                <w:b/>
                <w:sz w:val="16"/>
                <w:szCs w:val="16"/>
              </w:rPr>
            </w:pPr>
            <w:r w:rsidRPr="00D326F8">
              <w:rPr>
                <w:b/>
                <w:sz w:val="16"/>
                <w:szCs w:val="16"/>
              </w:rPr>
              <w:t>3</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EFC" w14:textId="77777777" w:rsidR="004A1370" w:rsidRPr="00D326F8" w:rsidRDefault="003E23E4">
            <w:pPr>
              <w:pStyle w:val="Tabletext"/>
              <w:keepNext/>
              <w:widowControl w:val="0"/>
              <w:jc w:val="center"/>
              <w:rPr>
                <w:b/>
                <w:sz w:val="16"/>
                <w:szCs w:val="16"/>
              </w:rPr>
            </w:pPr>
            <w:r w:rsidRPr="00D326F8">
              <w:rPr>
                <w:b/>
                <w:sz w:val="16"/>
                <w:szCs w:val="16"/>
              </w:rPr>
              <w:t>4</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EFD" w14:textId="77777777" w:rsidR="004A1370" w:rsidRPr="00D326F8" w:rsidRDefault="003E23E4">
            <w:pPr>
              <w:pStyle w:val="Tabletext"/>
              <w:keepNext/>
              <w:widowControl w:val="0"/>
              <w:jc w:val="center"/>
              <w:rPr>
                <w:b/>
                <w:sz w:val="16"/>
                <w:szCs w:val="16"/>
              </w:rPr>
            </w:pPr>
            <w:r w:rsidRPr="00D326F8">
              <w:rPr>
                <w:b/>
                <w:sz w:val="16"/>
                <w:szCs w:val="16"/>
              </w:rPr>
              <w:t>5</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EFE" w14:textId="77777777" w:rsidR="004A1370" w:rsidRPr="00D326F8" w:rsidRDefault="003E23E4">
            <w:pPr>
              <w:pStyle w:val="Tabletext"/>
              <w:keepNext/>
              <w:widowControl w:val="0"/>
              <w:jc w:val="center"/>
              <w:rPr>
                <w:b/>
                <w:sz w:val="16"/>
                <w:szCs w:val="16"/>
              </w:rPr>
            </w:pPr>
            <w:r w:rsidRPr="00D326F8">
              <w:rPr>
                <w:b/>
                <w:sz w:val="16"/>
                <w:szCs w:val="16"/>
              </w:rPr>
              <w:t>6</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EFF" w14:textId="77777777" w:rsidR="004A1370" w:rsidRPr="00D326F8" w:rsidRDefault="003E23E4">
            <w:pPr>
              <w:pStyle w:val="Tabletext"/>
              <w:keepNext/>
              <w:widowControl w:val="0"/>
              <w:jc w:val="center"/>
              <w:rPr>
                <w:b/>
                <w:sz w:val="16"/>
                <w:szCs w:val="16"/>
              </w:rPr>
            </w:pPr>
            <w:r w:rsidRPr="00D326F8">
              <w:rPr>
                <w:b/>
                <w:sz w:val="16"/>
                <w:szCs w:val="16"/>
              </w:rPr>
              <w:t>7</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F00" w14:textId="77777777" w:rsidR="004A1370" w:rsidRPr="00D326F8" w:rsidRDefault="003E23E4">
            <w:pPr>
              <w:pStyle w:val="Tabletext"/>
              <w:keepNext/>
              <w:widowControl w:val="0"/>
              <w:jc w:val="center"/>
              <w:rPr>
                <w:b/>
                <w:sz w:val="16"/>
                <w:szCs w:val="16"/>
              </w:rPr>
            </w:pPr>
            <w:r w:rsidRPr="00D326F8">
              <w:rPr>
                <w:b/>
                <w:sz w:val="16"/>
                <w:szCs w:val="16"/>
              </w:rPr>
              <w:t>8</w:t>
            </w:r>
          </w:p>
        </w:tc>
        <w:tc>
          <w:tcPr>
            <w:tcW w:w="1522" w:type="pct"/>
            <w:vMerge w:val="restart"/>
            <w:tcBorders>
              <w:top w:val="single" w:sz="4" w:space="0" w:color="auto"/>
              <w:left w:val="single" w:sz="4" w:space="0" w:color="auto"/>
              <w:bottom w:val="single" w:sz="4" w:space="0" w:color="auto"/>
              <w:right w:val="single" w:sz="4" w:space="0" w:color="auto"/>
            </w:tcBorders>
            <w:vAlign w:val="bottom"/>
            <w:hideMark/>
          </w:tcPr>
          <w:p w14:paraId="601A7F01" w14:textId="77777777" w:rsidR="004A1370" w:rsidRPr="00D326F8" w:rsidRDefault="003E23E4">
            <w:pPr>
              <w:pStyle w:val="Tabletext"/>
              <w:keepNext/>
              <w:widowControl w:val="0"/>
              <w:jc w:val="center"/>
              <w:rPr>
                <w:b/>
                <w:sz w:val="16"/>
                <w:szCs w:val="16"/>
              </w:rPr>
            </w:pPr>
            <w:r w:rsidRPr="00D326F8">
              <w:rPr>
                <w:b/>
                <w:sz w:val="16"/>
                <w:szCs w:val="16"/>
              </w:rPr>
              <w:t>Notes</w:t>
            </w:r>
          </w:p>
        </w:tc>
      </w:tr>
      <w:tr w:rsidR="003B74AE" w:rsidRPr="00D326F8" w14:paraId="601A7F0D" w14:textId="77777777" w:rsidTr="004A1370">
        <w:trPr>
          <w:cantSplit/>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1A7F03" w14:textId="77777777" w:rsidR="004A1370" w:rsidRPr="00D326F8" w:rsidRDefault="004A1370">
            <w:pPr>
              <w:spacing w:before="0"/>
              <w:jc w:val="left"/>
              <w:rPr>
                <w:rFonts w:ascii="Arial" w:hAnsi="Arial"/>
                <w:b/>
                <w:sz w:val="16"/>
                <w:szCs w:val="16"/>
              </w:rPr>
            </w:pPr>
          </w:p>
        </w:tc>
        <w:tc>
          <w:tcPr>
            <w:tcW w:w="512" w:type="pct"/>
            <w:tcBorders>
              <w:top w:val="single" w:sz="4" w:space="0" w:color="auto"/>
              <w:left w:val="single" w:sz="4" w:space="0" w:color="auto"/>
              <w:bottom w:val="single" w:sz="4" w:space="0" w:color="auto"/>
              <w:right w:val="single" w:sz="4" w:space="0" w:color="auto"/>
            </w:tcBorders>
            <w:vAlign w:val="bottom"/>
            <w:hideMark/>
          </w:tcPr>
          <w:p w14:paraId="601A7F04" w14:textId="77777777" w:rsidR="004A1370" w:rsidRPr="00D326F8" w:rsidRDefault="003E23E4">
            <w:pPr>
              <w:pStyle w:val="Tabletext"/>
              <w:keepNext/>
              <w:widowControl w:val="0"/>
              <w:jc w:val="center"/>
              <w:rPr>
                <w:b/>
                <w:sz w:val="16"/>
                <w:szCs w:val="16"/>
              </w:rPr>
            </w:pPr>
            <w:r w:rsidRPr="00D326F8">
              <w:rPr>
                <w:b/>
                <w:sz w:val="16"/>
                <w:szCs w:val="16"/>
              </w:rPr>
              <w:t>26</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F05" w14:textId="77777777" w:rsidR="004A1370" w:rsidRPr="00D326F8" w:rsidRDefault="003E23E4">
            <w:pPr>
              <w:pStyle w:val="Tabletext"/>
              <w:keepNext/>
              <w:widowControl w:val="0"/>
              <w:jc w:val="center"/>
              <w:rPr>
                <w:b/>
                <w:sz w:val="16"/>
                <w:szCs w:val="16"/>
              </w:rPr>
            </w:pPr>
            <w:r w:rsidRPr="00D326F8">
              <w:rPr>
                <w:b/>
                <w:sz w:val="16"/>
                <w:szCs w:val="16"/>
              </w:rPr>
              <w:t>27</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F06" w14:textId="77777777" w:rsidR="004A1370" w:rsidRPr="00D326F8" w:rsidRDefault="003E23E4">
            <w:pPr>
              <w:pStyle w:val="Tabletext"/>
              <w:keepNext/>
              <w:widowControl w:val="0"/>
              <w:jc w:val="center"/>
              <w:rPr>
                <w:b/>
                <w:sz w:val="16"/>
                <w:szCs w:val="16"/>
              </w:rPr>
            </w:pPr>
            <w:r w:rsidRPr="00D326F8">
              <w:rPr>
                <w:b/>
                <w:sz w:val="16"/>
                <w:szCs w:val="16"/>
              </w:rPr>
              <w:t>28</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F07" w14:textId="77777777" w:rsidR="004A1370" w:rsidRPr="00D326F8" w:rsidRDefault="003E23E4">
            <w:pPr>
              <w:pStyle w:val="Tabletext"/>
              <w:keepNext/>
              <w:widowControl w:val="0"/>
              <w:jc w:val="center"/>
              <w:rPr>
                <w:b/>
                <w:sz w:val="16"/>
                <w:szCs w:val="16"/>
              </w:rPr>
            </w:pPr>
            <w:r w:rsidRPr="00D326F8">
              <w:rPr>
                <w:b/>
                <w:sz w:val="16"/>
                <w:szCs w:val="16"/>
              </w:rPr>
              <w:t>29</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F08" w14:textId="77777777" w:rsidR="004A1370" w:rsidRPr="00D326F8" w:rsidRDefault="003E23E4">
            <w:pPr>
              <w:pStyle w:val="Tabletext"/>
              <w:keepNext/>
              <w:widowControl w:val="0"/>
              <w:jc w:val="center"/>
              <w:rPr>
                <w:b/>
                <w:sz w:val="16"/>
                <w:szCs w:val="16"/>
              </w:rPr>
            </w:pPr>
            <w:r w:rsidRPr="00D326F8">
              <w:rPr>
                <w:b/>
                <w:sz w:val="16"/>
                <w:szCs w:val="16"/>
              </w:rPr>
              <w:t>30</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F09" w14:textId="77777777" w:rsidR="004A1370" w:rsidRPr="00D326F8" w:rsidRDefault="003E23E4">
            <w:pPr>
              <w:pStyle w:val="Tabletext"/>
              <w:keepNext/>
              <w:widowControl w:val="0"/>
              <w:jc w:val="center"/>
              <w:rPr>
                <w:b/>
                <w:sz w:val="16"/>
                <w:szCs w:val="16"/>
              </w:rPr>
            </w:pPr>
            <w:r w:rsidRPr="00D326F8">
              <w:rPr>
                <w:b/>
                <w:sz w:val="16"/>
                <w:szCs w:val="16"/>
              </w:rPr>
              <w:t>31</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F0A" w14:textId="77777777" w:rsidR="004A1370" w:rsidRPr="00D326F8" w:rsidRDefault="003E23E4">
            <w:pPr>
              <w:pStyle w:val="Tabletext"/>
              <w:keepNext/>
              <w:widowControl w:val="0"/>
              <w:jc w:val="center"/>
              <w:rPr>
                <w:b/>
                <w:sz w:val="16"/>
                <w:szCs w:val="16"/>
              </w:rPr>
            </w:pPr>
            <w:r w:rsidRPr="00D326F8">
              <w:rPr>
                <w:b/>
                <w:sz w:val="16"/>
                <w:szCs w:val="16"/>
              </w:rPr>
              <w:t>32</w:t>
            </w:r>
          </w:p>
        </w:tc>
        <w:tc>
          <w:tcPr>
            <w:tcW w:w="363" w:type="pct"/>
            <w:tcBorders>
              <w:top w:val="single" w:sz="4" w:space="0" w:color="auto"/>
              <w:left w:val="single" w:sz="4" w:space="0" w:color="auto"/>
              <w:bottom w:val="single" w:sz="4" w:space="0" w:color="auto"/>
              <w:right w:val="single" w:sz="4" w:space="0" w:color="auto"/>
            </w:tcBorders>
            <w:vAlign w:val="bottom"/>
            <w:hideMark/>
          </w:tcPr>
          <w:p w14:paraId="601A7F0B" w14:textId="77777777" w:rsidR="004A1370" w:rsidRPr="00D326F8" w:rsidRDefault="003E23E4">
            <w:pPr>
              <w:pStyle w:val="Tabletext"/>
              <w:keepNext/>
              <w:widowControl w:val="0"/>
              <w:jc w:val="center"/>
              <w:rPr>
                <w:b/>
                <w:sz w:val="16"/>
                <w:szCs w:val="16"/>
              </w:rPr>
            </w:pPr>
            <w:r w:rsidRPr="00D326F8">
              <w:rPr>
                <w:b/>
                <w:sz w:val="16"/>
                <w:szCs w:val="16"/>
              </w:rPr>
              <w:t xml:space="preserve">33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A7F0C" w14:textId="77777777" w:rsidR="004A1370" w:rsidRPr="00D326F8" w:rsidRDefault="004A1370">
            <w:pPr>
              <w:spacing w:before="0"/>
              <w:jc w:val="left"/>
              <w:rPr>
                <w:rFonts w:ascii="Arial" w:hAnsi="Arial"/>
                <w:b/>
                <w:sz w:val="16"/>
                <w:szCs w:val="16"/>
              </w:rPr>
            </w:pPr>
          </w:p>
        </w:tc>
      </w:tr>
      <w:tr w:rsidR="003B74AE" w:rsidRPr="00D326F8" w14:paraId="601A7F1A" w14:textId="77777777" w:rsidTr="004A1370">
        <w:trPr>
          <w:cantSplit/>
        </w:trPr>
        <w:tc>
          <w:tcPr>
            <w:tcW w:w="424" w:type="pct"/>
            <w:tcBorders>
              <w:top w:val="single" w:sz="4" w:space="0" w:color="auto"/>
              <w:left w:val="single" w:sz="4" w:space="0" w:color="auto"/>
              <w:bottom w:val="single" w:sz="4" w:space="0" w:color="auto"/>
              <w:right w:val="single" w:sz="4" w:space="0" w:color="auto"/>
            </w:tcBorders>
            <w:vAlign w:val="center"/>
            <w:hideMark/>
          </w:tcPr>
          <w:p w14:paraId="601A7F0E" w14:textId="77777777" w:rsidR="004A1370" w:rsidRPr="00D326F8" w:rsidRDefault="003E23E4">
            <w:pPr>
              <w:pStyle w:val="Tabletext"/>
              <w:keepNext/>
              <w:widowControl w:val="0"/>
              <w:rPr>
                <w:sz w:val="16"/>
                <w:szCs w:val="16"/>
              </w:rPr>
            </w:pPr>
            <w:r w:rsidRPr="00D326F8">
              <w:rPr>
                <w:sz w:val="16"/>
                <w:szCs w:val="16"/>
              </w:rPr>
              <w:t>Timing PK blood sampling</w:t>
            </w:r>
          </w:p>
        </w:tc>
        <w:tc>
          <w:tcPr>
            <w:tcW w:w="512" w:type="pct"/>
            <w:tcBorders>
              <w:top w:val="single" w:sz="4" w:space="0" w:color="auto"/>
              <w:left w:val="single" w:sz="4" w:space="0" w:color="auto"/>
              <w:bottom w:val="single" w:sz="4" w:space="0" w:color="auto"/>
              <w:right w:val="single" w:sz="4" w:space="0" w:color="auto"/>
            </w:tcBorders>
            <w:vAlign w:val="center"/>
            <w:hideMark/>
          </w:tcPr>
          <w:p w14:paraId="601A7F0F" w14:textId="4CC51473" w:rsidR="004A1370" w:rsidRPr="00D326F8" w:rsidRDefault="003E23E4">
            <w:pPr>
              <w:pStyle w:val="Tabletext"/>
              <w:keepNext/>
              <w:widowControl w:val="0"/>
              <w:jc w:val="center"/>
              <w:rPr>
                <w:sz w:val="16"/>
                <w:szCs w:val="16"/>
              </w:rPr>
            </w:pPr>
            <w:proofErr w:type="spellStart"/>
            <w:r w:rsidRPr="00D326F8">
              <w:rPr>
                <w:sz w:val="16"/>
                <w:szCs w:val="16"/>
              </w:rPr>
              <w:t>Predose</w:t>
            </w:r>
            <w:r w:rsidRPr="00D326F8">
              <w:rPr>
                <w:sz w:val="16"/>
                <w:szCs w:val="16"/>
                <w:vertAlign w:val="superscript"/>
              </w:rPr>
              <w:t>a</w:t>
            </w:r>
            <w:proofErr w:type="spellEnd"/>
            <w:r w:rsidRPr="00D326F8">
              <w:rPr>
                <w:sz w:val="16"/>
                <w:szCs w:val="16"/>
              </w:rPr>
              <w:t xml:space="preserve"> and</w:t>
            </w:r>
            <w:r w:rsidRPr="00D326F8">
              <w:rPr>
                <w:sz w:val="16"/>
                <w:szCs w:val="16"/>
                <w:vertAlign w:val="superscript"/>
              </w:rPr>
              <w:br/>
            </w:r>
            <w:r w:rsidRPr="00D326F8">
              <w:rPr>
                <w:sz w:val="16"/>
                <w:szCs w:val="16"/>
              </w:rPr>
              <w:t xml:space="preserve">1, 1.5, 2, 3, 4, 6, 8, 12, </w:t>
            </w:r>
            <w:r w:rsidR="00E355AB" w:rsidRPr="00D326F8">
              <w:rPr>
                <w:sz w:val="16"/>
                <w:szCs w:val="16"/>
              </w:rPr>
              <w:t>and</w:t>
            </w:r>
            <w:r w:rsidR="00183123" w:rsidRPr="00D326F8">
              <w:rPr>
                <w:sz w:val="16"/>
                <w:szCs w:val="16"/>
              </w:rPr>
              <w:t xml:space="preserve"> </w:t>
            </w:r>
            <w:r w:rsidRPr="00D326F8">
              <w:rPr>
                <w:sz w:val="16"/>
                <w:szCs w:val="16"/>
              </w:rPr>
              <w:t>16 hours postdose</w:t>
            </w:r>
          </w:p>
        </w:tc>
        <w:tc>
          <w:tcPr>
            <w:tcW w:w="363" w:type="pct"/>
            <w:tcBorders>
              <w:top w:val="single" w:sz="4" w:space="0" w:color="auto"/>
              <w:left w:val="single" w:sz="4" w:space="0" w:color="auto"/>
              <w:bottom w:val="single" w:sz="4" w:space="0" w:color="auto"/>
              <w:right w:val="single" w:sz="4" w:space="0" w:color="auto"/>
            </w:tcBorders>
            <w:vAlign w:val="center"/>
            <w:hideMark/>
          </w:tcPr>
          <w:p w14:paraId="601A7F10" w14:textId="77777777" w:rsidR="004A1370" w:rsidRPr="00D326F8" w:rsidRDefault="003E23E4">
            <w:pPr>
              <w:pStyle w:val="Tabletext"/>
              <w:keepNext/>
              <w:widowControl w:val="0"/>
              <w:jc w:val="center"/>
              <w:rPr>
                <w:sz w:val="16"/>
                <w:szCs w:val="16"/>
              </w:rPr>
            </w:pPr>
            <w:r w:rsidRPr="00D326F8">
              <w:rPr>
                <w:sz w:val="16"/>
                <w:szCs w:val="16"/>
              </w:rPr>
              <w:t>24, 30, 38</w:t>
            </w:r>
            <w:r w:rsidR="00E02957" w:rsidRPr="00D326F8">
              <w:rPr>
                <w:sz w:val="16"/>
                <w:szCs w:val="16"/>
              </w:rPr>
              <w:t> </w:t>
            </w:r>
            <w:r w:rsidRPr="00D326F8">
              <w:rPr>
                <w:sz w:val="16"/>
                <w:szCs w:val="16"/>
              </w:rPr>
              <w:t>hours</w:t>
            </w:r>
          </w:p>
        </w:tc>
        <w:tc>
          <w:tcPr>
            <w:tcW w:w="363" w:type="pct"/>
            <w:tcBorders>
              <w:top w:val="single" w:sz="4" w:space="0" w:color="auto"/>
              <w:left w:val="single" w:sz="4" w:space="0" w:color="auto"/>
              <w:bottom w:val="single" w:sz="4" w:space="0" w:color="auto"/>
              <w:right w:val="single" w:sz="4" w:space="0" w:color="auto"/>
            </w:tcBorders>
            <w:vAlign w:val="center"/>
            <w:hideMark/>
          </w:tcPr>
          <w:p w14:paraId="601A7F11" w14:textId="77777777" w:rsidR="004A1370" w:rsidRPr="00D326F8" w:rsidRDefault="003E23E4">
            <w:pPr>
              <w:pStyle w:val="Tabletext"/>
              <w:keepNext/>
              <w:widowControl w:val="0"/>
              <w:jc w:val="center"/>
              <w:rPr>
                <w:sz w:val="16"/>
                <w:szCs w:val="16"/>
              </w:rPr>
            </w:pPr>
            <w:r w:rsidRPr="00D326F8">
              <w:rPr>
                <w:sz w:val="16"/>
                <w:szCs w:val="16"/>
              </w:rPr>
              <w:t>48, 60</w:t>
            </w:r>
            <w:r w:rsidR="00E02957" w:rsidRPr="00D326F8">
              <w:rPr>
                <w:sz w:val="16"/>
                <w:szCs w:val="16"/>
              </w:rPr>
              <w:t> </w:t>
            </w:r>
            <w:r w:rsidRPr="00D326F8">
              <w:rPr>
                <w:sz w:val="16"/>
                <w:szCs w:val="16"/>
              </w:rPr>
              <w:t>hours</w:t>
            </w:r>
          </w:p>
        </w:tc>
        <w:tc>
          <w:tcPr>
            <w:tcW w:w="363" w:type="pct"/>
            <w:tcBorders>
              <w:top w:val="single" w:sz="4" w:space="0" w:color="auto"/>
              <w:left w:val="single" w:sz="4" w:space="0" w:color="auto"/>
              <w:bottom w:val="single" w:sz="4" w:space="0" w:color="auto"/>
              <w:right w:val="single" w:sz="4" w:space="0" w:color="auto"/>
            </w:tcBorders>
            <w:vAlign w:val="center"/>
            <w:hideMark/>
          </w:tcPr>
          <w:p w14:paraId="601A7F12" w14:textId="77777777" w:rsidR="004A1370" w:rsidRPr="00D326F8" w:rsidRDefault="003E23E4">
            <w:pPr>
              <w:pStyle w:val="Tabletext"/>
              <w:keepNext/>
              <w:widowControl w:val="0"/>
              <w:jc w:val="center"/>
              <w:rPr>
                <w:sz w:val="16"/>
                <w:szCs w:val="16"/>
              </w:rPr>
            </w:pPr>
            <w:r w:rsidRPr="00D326F8">
              <w:rPr>
                <w:sz w:val="16"/>
                <w:szCs w:val="16"/>
              </w:rPr>
              <w:t>72 hours</w:t>
            </w:r>
          </w:p>
        </w:tc>
        <w:tc>
          <w:tcPr>
            <w:tcW w:w="363" w:type="pct"/>
            <w:tcBorders>
              <w:top w:val="single" w:sz="4" w:space="0" w:color="auto"/>
              <w:left w:val="single" w:sz="4" w:space="0" w:color="auto"/>
              <w:bottom w:val="single" w:sz="4" w:space="0" w:color="auto"/>
              <w:right w:val="single" w:sz="4" w:space="0" w:color="auto"/>
            </w:tcBorders>
            <w:vAlign w:val="center"/>
            <w:hideMark/>
          </w:tcPr>
          <w:p w14:paraId="601A7F13" w14:textId="77777777" w:rsidR="004A1370" w:rsidRPr="00D326F8" w:rsidRDefault="003E23E4">
            <w:pPr>
              <w:pStyle w:val="Tabletext"/>
              <w:keepNext/>
              <w:widowControl w:val="0"/>
              <w:jc w:val="center"/>
              <w:rPr>
                <w:sz w:val="16"/>
                <w:szCs w:val="16"/>
              </w:rPr>
            </w:pPr>
            <w:r w:rsidRPr="00D326F8">
              <w:rPr>
                <w:sz w:val="16"/>
                <w:szCs w:val="16"/>
              </w:rPr>
              <w:t>96 hours</w:t>
            </w:r>
          </w:p>
        </w:tc>
        <w:tc>
          <w:tcPr>
            <w:tcW w:w="363" w:type="pct"/>
            <w:tcBorders>
              <w:top w:val="single" w:sz="4" w:space="0" w:color="auto"/>
              <w:left w:val="single" w:sz="4" w:space="0" w:color="auto"/>
              <w:bottom w:val="single" w:sz="4" w:space="0" w:color="auto"/>
              <w:right w:val="single" w:sz="4" w:space="0" w:color="auto"/>
            </w:tcBorders>
            <w:vAlign w:val="center"/>
            <w:hideMark/>
          </w:tcPr>
          <w:p w14:paraId="601A7F14" w14:textId="77777777" w:rsidR="004A1370" w:rsidRPr="00D326F8" w:rsidRDefault="003E23E4">
            <w:pPr>
              <w:pStyle w:val="Tabletext"/>
              <w:keepNext/>
              <w:widowControl w:val="0"/>
              <w:jc w:val="center"/>
              <w:rPr>
                <w:sz w:val="16"/>
                <w:szCs w:val="16"/>
              </w:rPr>
            </w:pPr>
            <w:r w:rsidRPr="00D326F8">
              <w:rPr>
                <w:sz w:val="16"/>
                <w:szCs w:val="16"/>
              </w:rPr>
              <w:t>120 hours</w:t>
            </w:r>
          </w:p>
        </w:tc>
        <w:tc>
          <w:tcPr>
            <w:tcW w:w="363" w:type="pct"/>
            <w:tcBorders>
              <w:top w:val="single" w:sz="4" w:space="0" w:color="auto"/>
              <w:left w:val="single" w:sz="4" w:space="0" w:color="auto"/>
              <w:bottom w:val="single" w:sz="4" w:space="0" w:color="auto"/>
              <w:right w:val="single" w:sz="4" w:space="0" w:color="auto"/>
            </w:tcBorders>
            <w:vAlign w:val="center"/>
            <w:hideMark/>
          </w:tcPr>
          <w:p w14:paraId="601A7F15" w14:textId="77777777" w:rsidR="004A1370" w:rsidRPr="00D326F8" w:rsidRDefault="003E23E4">
            <w:pPr>
              <w:pStyle w:val="Tabletext"/>
              <w:keepNext/>
              <w:widowControl w:val="0"/>
              <w:jc w:val="center"/>
              <w:rPr>
                <w:sz w:val="16"/>
                <w:szCs w:val="16"/>
              </w:rPr>
            </w:pPr>
            <w:r w:rsidRPr="00D326F8">
              <w:rPr>
                <w:sz w:val="16"/>
                <w:szCs w:val="16"/>
              </w:rPr>
              <w:t>144 hours</w:t>
            </w:r>
          </w:p>
        </w:tc>
        <w:tc>
          <w:tcPr>
            <w:tcW w:w="363" w:type="pct"/>
            <w:tcBorders>
              <w:top w:val="single" w:sz="4" w:space="0" w:color="auto"/>
              <w:left w:val="single" w:sz="4" w:space="0" w:color="auto"/>
              <w:bottom w:val="single" w:sz="4" w:space="0" w:color="auto"/>
              <w:right w:val="single" w:sz="4" w:space="0" w:color="auto"/>
            </w:tcBorders>
            <w:vAlign w:val="center"/>
            <w:hideMark/>
          </w:tcPr>
          <w:p w14:paraId="601A7F16" w14:textId="77777777" w:rsidR="004A1370" w:rsidRPr="00D326F8" w:rsidRDefault="003E23E4">
            <w:pPr>
              <w:pStyle w:val="Tabletext"/>
              <w:keepNext/>
              <w:widowControl w:val="0"/>
              <w:jc w:val="center"/>
              <w:rPr>
                <w:sz w:val="16"/>
                <w:szCs w:val="16"/>
              </w:rPr>
            </w:pPr>
            <w:r w:rsidRPr="00D326F8">
              <w:rPr>
                <w:sz w:val="16"/>
                <w:szCs w:val="16"/>
              </w:rPr>
              <w:t>168 hours</w:t>
            </w:r>
          </w:p>
        </w:tc>
        <w:tc>
          <w:tcPr>
            <w:tcW w:w="1522" w:type="pct"/>
            <w:tcBorders>
              <w:top w:val="single" w:sz="4" w:space="0" w:color="auto"/>
              <w:left w:val="single" w:sz="4" w:space="0" w:color="auto"/>
              <w:bottom w:val="single" w:sz="4" w:space="0" w:color="auto"/>
              <w:right w:val="single" w:sz="4" w:space="0" w:color="auto"/>
            </w:tcBorders>
            <w:vAlign w:val="center"/>
            <w:hideMark/>
          </w:tcPr>
          <w:p w14:paraId="601A7F17" w14:textId="77777777" w:rsidR="004A1370" w:rsidRPr="00D326F8" w:rsidRDefault="003E23E4">
            <w:pPr>
              <w:pStyle w:val="Tabletext"/>
              <w:keepNext/>
              <w:widowControl w:val="0"/>
              <w:rPr>
                <w:sz w:val="16"/>
                <w:szCs w:val="16"/>
              </w:rPr>
            </w:pPr>
            <w:proofErr w:type="spellStart"/>
            <w:r w:rsidRPr="00D326F8">
              <w:rPr>
                <w:sz w:val="16"/>
                <w:szCs w:val="16"/>
              </w:rPr>
              <w:t>a</w:t>
            </w:r>
            <w:proofErr w:type="spellEnd"/>
            <w:r w:rsidRPr="00D326F8">
              <w:rPr>
                <w:sz w:val="16"/>
                <w:szCs w:val="16"/>
              </w:rPr>
              <w:tab/>
              <w:t>Within 60 minutes before tepotinib dosing.</w:t>
            </w:r>
          </w:p>
          <w:p w14:paraId="601A7F18" w14:textId="77777777" w:rsidR="004A1370" w:rsidRPr="00D326F8" w:rsidRDefault="003E23E4">
            <w:pPr>
              <w:pStyle w:val="Tabletext"/>
              <w:keepNext/>
              <w:widowControl w:val="0"/>
              <w:rPr>
                <w:sz w:val="16"/>
                <w:szCs w:val="16"/>
              </w:rPr>
            </w:pPr>
            <w:r w:rsidRPr="00D326F8">
              <w:rPr>
                <w:sz w:val="16"/>
                <w:szCs w:val="16"/>
              </w:rPr>
              <w:t>All other samples to be collected post tepotinib dose.</w:t>
            </w:r>
          </w:p>
          <w:p w14:paraId="601A7F19" w14:textId="340B56A5" w:rsidR="004A1370" w:rsidRPr="00D326F8" w:rsidRDefault="003E23E4">
            <w:pPr>
              <w:pStyle w:val="Tabletext"/>
              <w:keepNext/>
              <w:widowControl w:val="0"/>
              <w:rPr>
                <w:sz w:val="16"/>
                <w:szCs w:val="16"/>
              </w:rPr>
            </w:pPr>
            <w:r w:rsidRPr="00D326F8">
              <w:rPr>
                <w:sz w:val="16"/>
                <w:szCs w:val="16"/>
              </w:rPr>
              <w:t xml:space="preserve">For </w:t>
            </w:r>
            <w:r w:rsidR="00183123" w:rsidRPr="00D326F8">
              <w:rPr>
                <w:sz w:val="16"/>
                <w:szCs w:val="16"/>
              </w:rPr>
              <w:t xml:space="preserve">PK </w:t>
            </w:r>
            <w:r w:rsidRPr="00D326F8">
              <w:rPr>
                <w:sz w:val="16"/>
                <w:szCs w:val="16"/>
              </w:rPr>
              <w:t>sampling</w:t>
            </w:r>
            <w:r w:rsidR="00183123" w:rsidRPr="00D326F8">
              <w:rPr>
                <w:sz w:val="16"/>
                <w:szCs w:val="16"/>
              </w:rPr>
              <w:t xml:space="preserve"> window</w:t>
            </w:r>
            <w:r w:rsidRPr="00D326F8">
              <w:rPr>
                <w:sz w:val="16"/>
                <w:szCs w:val="16"/>
              </w:rPr>
              <w:t xml:space="preserve"> allowance see</w:t>
            </w:r>
            <w:r w:rsidR="00183123" w:rsidRPr="00D326F8">
              <w:rPr>
                <w:sz w:val="16"/>
                <w:szCs w:val="16"/>
              </w:rPr>
              <w:t xml:space="preserve"> </w:t>
            </w:r>
            <w:r w:rsidR="00183123" w:rsidRPr="00D326F8">
              <w:rPr>
                <w:sz w:val="16"/>
                <w:szCs w:val="16"/>
              </w:rPr>
              <w:fldChar w:fldCharType="begin"/>
            </w:r>
            <w:r w:rsidR="00183123" w:rsidRPr="00D326F8">
              <w:rPr>
                <w:sz w:val="16"/>
                <w:szCs w:val="16"/>
              </w:rPr>
              <w:instrText xml:space="preserve"> REF _Ref68117100 \h  \* MERGEFORMAT </w:instrText>
            </w:r>
            <w:r w:rsidR="00183123" w:rsidRPr="00D326F8">
              <w:rPr>
                <w:sz w:val="16"/>
                <w:szCs w:val="16"/>
              </w:rPr>
            </w:r>
            <w:r w:rsidR="00183123" w:rsidRPr="00D326F8">
              <w:rPr>
                <w:sz w:val="16"/>
                <w:szCs w:val="16"/>
              </w:rPr>
              <w:fldChar w:fldCharType="separate"/>
            </w:r>
            <w:r w:rsidR="00173A27" w:rsidRPr="00173A27">
              <w:rPr>
                <w:sz w:val="16"/>
                <w:szCs w:val="16"/>
              </w:rPr>
              <w:t>Table 3</w:t>
            </w:r>
            <w:r w:rsidR="00183123" w:rsidRPr="00D326F8">
              <w:rPr>
                <w:sz w:val="16"/>
                <w:szCs w:val="16"/>
              </w:rPr>
              <w:fldChar w:fldCharType="end"/>
            </w:r>
            <w:r w:rsidRPr="00D326F8">
              <w:rPr>
                <w:sz w:val="16"/>
                <w:szCs w:val="16"/>
              </w:rPr>
              <w:t>.</w:t>
            </w:r>
          </w:p>
        </w:tc>
      </w:tr>
    </w:tbl>
    <w:p w14:paraId="601A7F1B" w14:textId="77777777" w:rsidR="004A1370" w:rsidRPr="00D326F8" w:rsidRDefault="003E23E4" w:rsidP="00EE0A17">
      <w:pPr>
        <w:pStyle w:val="Tabletext"/>
      </w:pPr>
      <w:r w:rsidRPr="00D326F8">
        <w:t>PK=pharmacokinetic</w:t>
      </w:r>
      <w:r w:rsidR="00F61E1A" w:rsidRPr="00D326F8">
        <w:t>s</w:t>
      </w:r>
      <w:r w:rsidRPr="00D326F8">
        <w:t>.</w:t>
      </w:r>
    </w:p>
    <w:p w14:paraId="601A7F1C" w14:textId="77777777" w:rsidR="00BA27FF" w:rsidRPr="00D326F8" w:rsidRDefault="00BA27FF" w:rsidP="00EE0A17">
      <w:pPr>
        <w:pStyle w:val="Tabletext"/>
      </w:pPr>
    </w:p>
    <w:p w14:paraId="601A7F1D" w14:textId="77777777" w:rsidR="00BA27FF" w:rsidRPr="00D326F8" w:rsidRDefault="00BA27FF" w:rsidP="00EE0A17">
      <w:pPr>
        <w:pStyle w:val="Tabletext"/>
        <w:sectPr w:rsidR="00BA27FF" w:rsidRPr="00D326F8" w:rsidSect="001C44E9">
          <w:footerReference w:type="default" r:id="rId18"/>
          <w:endnotePr>
            <w:numFmt w:val="decimal"/>
          </w:endnotePr>
          <w:pgSz w:w="15842" w:h="12242" w:orient="landscape" w:code="1"/>
          <w:pgMar w:top="1440" w:right="1440" w:bottom="1440" w:left="1440" w:header="720" w:footer="720" w:gutter="0"/>
          <w:cols w:space="720"/>
          <w:docGrid w:linePitch="326"/>
        </w:sectPr>
      </w:pPr>
    </w:p>
    <w:p w14:paraId="601A7F1E" w14:textId="77777777" w:rsidR="00540F61" w:rsidRPr="00D326F8" w:rsidRDefault="003E23E4" w:rsidP="00540F61">
      <w:pPr>
        <w:pStyle w:val="Heading1"/>
      </w:pPr>
      <w:bookmarkStart w:id="33" w:name="_Toc77839719"/>
      <w:r w:rsidRPr="00D326F8">
        <w:lastRenderedPageBreak/>
        <w:t>Introduction</w:t>
      </w:r>
      <w:bookmarkEnd w:id="33"/>
    </w:p>
    <w:p w14:paraId="601A7F1F" w14:textId="53E066E8" w:rsidR="00DD58DA" w:rsidRPr="00D326F8" w:rsidRDefault="003E23E4" w:rsidP="00DD58DA">
      <w:pPr>
        <w:pStyle w:val="BodyText"/>
      </w:pPr>
      <w:bookmarkStart w:id="34" w:name="_Hlk62660890"/>
      <w:bookmarkStart w:id="35" w:name="_Hlk63102142"/>
      <w:r w:rsidRPr="00D326F8">
        <w:t>Tepotinib (</w:t>
      </w:r>
      <w:r w:rsidR="00671982" w:rsidRPr="00D326F8">
        <w:t>Tepmetko</w:t>
      </w:r>
      <w:r w:rsidRPr="00D326F8">
        <w:t>®) is a highly selective, reversible ATP-competitive inhibitor of the receptor tyrosine kinase MET in clinical development for the treatment</w:t>
      </w:r>
      <w:r w:rsidR="008B70CA" w:rsidRPr="00D326F8">
        <w:t xml:space="preserve"> of</w:t>
      </w:r>
      <w:r w:rsidRPr="00D326F8">
        <w:t xml:space="preserve"> patients with e.g.</w:t>
      </w:r>
      <w:r w:rsidR="00B617D3" w:rsidRPr="00D326F8">
        <w:t>,</w:t>
      </w:r>
      <w:r w:rsidRPr="00D326F8">
        <w:t xml:space="preserve"> NSCLC with </w:t>
      </w:r>
      <w:r w:rsidRPr="00D326F8">
        <w:rPr>
          <w:iCs/>
        </w:rPr>
        <w:t>MET</w:t>
      </w:r>
      <w:r w:rsidRPr="00D326F8">
        <w:t xml:space="preserve">ex14 skipping alterations or </w:t>
      </w:r>
      <w:r w:rsidRPr="00D326F8">
        <w:rPr>
          <w:iCs/>
        </w:rPr>
        <w:t>MET</w:t>
      </w:r>
      <w:r w:rsidRPr="00D326F8">
        <w:t xml:space="preserve"> amplification.</w:t>
      </w:r>
    </w:p>
    <w:p w14:paraId="601A7F20" w14:textId="77777777" w:rsidR="00DD58DA" w:rsidRPr="00D326F8" w:rsidRDefault="003E23E4" w:rsidP="00DD58DA">
      <w:pPr>
        <w:pStyle w:val="BodyText"/>
      </w:pPr>
      <w:r w:rsidRPr="00D326F8">
        <w:rPr>
          <w:rFonts w:eastAsia="Calibri"/>
        </w:rPr>
        <w:t>Detailed information on the chemistry, pharmacology, efficacy, and safety of</w:t>
      </w:r>
      <w:r w:rsidRPr="00D326F8">
        <w:t xml:space="preserve"> tepotinib </w:t>
      </w:r>
      <w:r w:rsidRPr="00D326F8">
        <w:rPr>
          <w:rFonts w:eastAsia="Calibri"/>
        </w:rPr>
        <w:t>is in the</w:t>
      </w:r>
      <w:r w:rsidRPr="00D326F8">
        <w:t xml:space="preserve"> IB</w:t>
      </w:r>
      <w:r w:rsidR="00E355AB" w:rsidRPr="00D326F8">
        <w:t xml:space="preserve"> (current version)</w:t>
      </w:r>
      <w:r w:rsidRPr="00D326F8">
        <w:t>.</w:t>
      </w:r>
    </w:p>
    <w:p w14:paraId="601A7F21" w14:textId="6E951385" w:rsidR="00540F61" w:rsidRPr="00D326F8" w:rsidRDefault="003E23E4" w:rsidP="00DD58DA">
      <w:pPr>
        <w:pStyle w:val="BodyText"/>
        <w:jc w:val="left"/>
      </w:pPr>
      <w:r w:rsidRPr="00D326F8">
        <w:t>There is extensive clinical experience in the use of carbamazepine. Full information about the potential side effects of carbamazepine administration is described in its currently approved SmPC and USPI</w:t>
      </w:r>
      <w:r w:rsidR="006E7232" w:rsidRPr="00D326F8">
        <w:t xml:space="preserve"> (refer to</w:t>
      </w:r>
      <w:bookmarkEnd w:id="34"/>
      <w:bookmarkEnd w:id="35"/>
      <w:r w:rsidR="006E7232" w:rsidRPr="00D326F8">
        <w:t xml:space="preserve"> </w:t>
      </w:r>
      <w:hyperlink w:anchor="_Carbamazepine_SmPC._https://www.med" w:history="1">
        <w:r w:rsidR="006E7232" w:rsidRPr="00D326F8">
          <w:rPr>
            <w:rStyle w:val="Hyperlink"/>
            <w:color w:val="auto"/>
          </w:rPr>
          <w:t>Carbamazepine SmPC</w:t>
        </w:r>
      </w:hyperlink>
      <w:r w:rsidR="006E7232" w:rsidRPr="00D326F8">
        <w:t xml:space="preserve"> and </w:t>
      </w:r>
      <w:hyperlink w:anchor="_Carbamazepine_USPI." w:history="1">
        <w:r w:rsidR="006E7232" w:rsidRPr="00D326F8">
          <w:rPr>
            <w:rStyle w:val="Hyperlink"/>
            <w:color w:val="auto"/>
          </w:rPr>
          <w:t>USPI</w:t>
        </w:r>
      </w:hyperlink>
      <w:r w:rsidR="006E7232" w:rsidRPr="00D326F8">
        <w:t xml:space="preserve">). </w:t>
      </w:r>
    </w:p>
    <w:p w14:paraId="601A7F22" w14:textId="77777777" w:rsidR="00540F61" w:rsidRPr="00D326F8" w:rsidRDefault="003E23E4" w:rsidP="000273EB">
      <w:pPr>
        <w:pStyle w:val="Heading2"/>
      </w:pPr>
      <w:bookmarkStart w:id="36" w:name="_Toc77839720"/>
      <w:r w:rsidRPr="00D326F8">
        <w:t>Study Rationale</w:t>
      </w:r>
      <w:bookmarkEnd w:id="36"/>
    </w:p>
    <w:p w14:paraId="601A7F23" w14:textId="048B5AC6" w:rsidR="00DD58DA" w:rsidRPr="00D326F8" w:rsidRDefault="003E23E4" w:rsidP="00DD58DA">
      <w:pPr>
        <w:pStyle w:val="BodyText"/>
      </w:pPr>
      <w:bookmarkStart w:id="37" w:name="_Hlk74513321"/>
      <w:r w:rsidRPr="00D326F8">
        <w:t xml:space="preserve">The intent of this postapproval DDI study is to provide information pertaining to the effect of induction of CYP3A4 and CYP2C8 on tepotinib PK in humans. </w:t>
      </w:r>
    </w:p>
    <w:p w14:paraId="601A7F24" w14:textId="681ABEBD" w:rsidR="00C0301E" w:rsidRPr="00D326F8" w:rsidRDefault="003E23E4" w:rsidP="00DD58DA">
      <w:pPr>
        <w:pStyle w:val="BodyText"/>
      </w:pPr>
      <w:r w:rsidRPr="00D326F8">
        <w:t xml:space="preserve">Nonclinical studies have indicated that tepotinib is a substrate for metabolism by CYP3A4 and CYP2C8, and a substrate for transport by P-gp. Carbamazepine is a strong inducer of CYP3A4 and like many inducers of </w:t>
      </w:r>
      <w:r w:rsidR="006B128C" w:rsidRPr="00D326F8">
        <w:t>CYP3A</w:t>
      </w:r>
      <w:r w:rsidRPr="00D326F8">
        <w:t xml:space="preserve"> exerts pleiotropic inducing effects on the metabolism and disposition of substrates of multiple CYP enzymes and transport proteins including P-gp (</w:t>
      </w:r>
      <w:proofErr w:type="spellStart"/>
      <w:r w:rsidR="002E504A">
        <w:fldChar w:fldCharType="begin"/>
      </w:r>
      <w:r w:rsidR="002E504A">
        <w:instrText xml:space="preserve"> HYPERLINK \l "_Elmeliegy_M,_Vourvahis" </w:instrText>
      </w:r>
      <w:r w:rsidR="002E504A">
        <w:fldChar w:fldCharType="separate"/>
      </w:r>
      <w:r w:rsidRPr="00D326F8">
        <w:rPr>
          <w:rStyle w:val="Hyperlink"/>
          <w:color w:val="auto"/>
        </w:rPr>
        <w:t>Elmeliegy</w:t>
      </w:r>
      <w:proofErr w:type="spellEnd"/>
      <w:r w:rsidR="00820F14" w:rsidRPr="00D326F8">
        <w:rPr>
          <w:rStyle w:val="Hyperlink"/>
          <w:color w:val="auto"/>
        </w:rPr>
        <w:t> </w:t>
      </w:r>
      <w:r w:rsidRPr="00D326F8">
        <w:rPr>
          <w:rStyle w:val="Hyperlink"/>
          <w:color w:val="auto"/>
        </w:rPr>
        <w:t>2020</w:t>
      </w:r>
      <w:r w:rsidR="002E504A">
        <w:rPr>
          <w:rStyle w:val="Hyperlink"/>
          <w:color w:val="auto"/>
        </w:rPr>
        <w:fldChar w:fldCharType="end"/>
      </w:r>
      <w:r w:rsidRPr="00D326F8">
        <w:t>). Accordingly, this study will evaluate the effect of multiple</w:t>
      </w:r>
      <w:r w:rsidR="0003418F" w:rsidRPr="00D326F8">
        <w:noBreakHyphen/>
      </w:r>
      <w:r w:rsidRPr="00D326F8">
        <w:t xml:space="preserve">dose administration of carbamazepine on tepotinib PK and assess the impact of strong </w:t>
      </w:r>
      <w:r w:rsidR="006B128C" w:rsidRPr="00D326F8">
        <w:t>CYP3A</w:t>
      </w:r>
      <w:r w:rsidRPr="00D326F8">
        <w:t xml:space="preserve"> induction and P-gp induction on the PK of </w:t>
      </w:r>
      <w:r w:rsidR="0085021F" w:rsidRPr="00D326F8">
        <w:t>t</w:t>
      </w:r>
      <w:r w:rsidRPr="00D326F8">
        <w:t>epotinib. The study’s data will inform appropriate dosing recommendations when coadministered with such inducers.</w:t>
      </w:r>
      <w:bookmarkEnd w:id="37"/>
    </w:p>
    <w:p w14:paraId="601A7F25" w14:textId="77777777" w:rsidR="00540F61" w:rsidRPr="00D326F8" w:rsidRDefault="003E23E4" w:rsidP="000273EB">
      <w:pPr>
        <w:pStyle w:val="Heading2"/>
      </w:pPr>
      <w:bookmarkStart w:id="38" w:name="_Toc77839721"/>
      <w:r w:rsidRPr="00D326F8">
        <w:t>Background</w:t>
      </w:r>
      <w:bookmarkEnd w:id="38"/>
    </w:p>
    <w:p w14:paraId="601A7F26" w14:textId="77777777" w:rsidR="00DD58DA" w:rsidRPr="00D326F8" w:rsidRDefault="003E23E4" w:rsidP="00DD58DA">
      <w:pPr>
        <w:pStyle w:val="Caption"/>
      </w:pPr>
      <w:r w:rsidRPr="00D326F8">
        <w:t>Tepotinib</w:t>
      </w:r>
    </w:p>
    <w:p w14:paraId="601A7F27" w14:textId="65144860" w:rsidR="00DD58DA" w:rsidRPr="00D326F8" w:rsidRDefault="003E23E4" w:rsidP="00DD58DA">
      <w:pPr>
        <w:pStyle w:val="BodyText"/>
      </w:pPr>
      <w:r w:rsidRPr="00D326F8">
        <w:t xml:space="preserve">MET, along with its ligand, HGF have been implicated in carcinogenesis and metastatic tumor progression, because of their ability to enhance angiogenesis, cancer cell proliferation, </w:t>
      </w:r>
      <w:proofErr w:type="gramStart"/>
      <w:r w:rsidRPr="00D326F8">
        <w:t>migration</w:t>
      </w:r>
      <w:proofErr w:type="gramEnd"/>
      <w:r w:rsidRPr="00D326F8">
        <w:t xml:space="preserve"> and invasion, as well as conferring resistance to apoptosis. Pharmacological interference with the HGF/MET axis is considered a promising strategy to inhibit primary tumor growth and metastasis in patient</w:t>
      </w:r>
      <w:r w:rsidR="00820F14" w:rsidRPr="00D326F8">
        <w:t>s</w:t>
      </w:r>
      <w:r w:rsidRPr="00D326F8">
        <w:t xml:space="preserve"> with e.g.</w:t>
      </w:r>
      <w:r w:rsidR="00B617D3" w:rsidRPr="00D326F8">
        <w:t>,</w:t>
      </w:r>
      <w:r w:rsidRPr="00D326F8">
        <w:t xml:space="preserve"> NSCLC (</w:t>
      </w:r>
      <w:r w:rsidR="00A21284" w:rsidRPr="00D326F8">
        <w:t xml:space="preserve">refer to </w:t>
      </w:r>
      <w:r w:rsidR="00D7247E" w:rsidRPr="00D326F8">
        <w:t>current</w:t>
      </w:r>
      <w:r w:rsidR="00023E28" w:rsidRPr="00D326F8">
        <w:t xml:space="preserve"> tepotinib IB and</w:t>
      </w:r>
      <w:r w:rsidR="00D7247E" w:rsidRPr="00D326F8">
        <w:t xml:space="preserve"> </w:t>
      </w:r>
      <w:hyperlink w:anchor="_Tepmetko_(tepotinib)_USPI." w:history="1">
        <w:r w:rsidR="00023E28" w:rsidRPr="00D326F8">
          <w:rPr>
            <w:rStyle w:val="Hyperlink"/>
            <w:color w:val="auto"/>
          </w:rPr>
          <w:t>tepotinib USPI</w:t>
        </w:r>
      </w:hyperlink>
      <w:r w:rsidRPr="00D326F8">
        <w:t>.</w:t>
      </w:r>
    </w:p>
    <w:p w14:paraId="4281AB2B" w14:textId="77777777" w:rsidR="00256B04" w:rsidRPr="00D326F8" w:rsidRDefault="003E23E4" w:rsidP="00DD58DA">
      <w:pPr>
        <w:pStyle w:val="BodyText"/>
      </w:pPr>
      <w:r w:rsidRPr="00D326F8">
        <w:t>Tepotinib HCl hydrate (3-{1-[(3-{5-[(1-Methyl-piperidin-4-</w:t>
      </w:r>
      <w:proofErr w:type="gramStart"/>
      <w:r w:rsidRPr="00D326F8">
        <w:t>yl)methoxy</w:t>
      </w:r>
      <w:proofErr w:type="gramEnd"/>
      <w:r w:rsidRPr="00D326F8">
        <w:t>]-pyrimidin-2-yl}phenyl)methyl]-6-oxo-1,6-dihydropyridazin-3-yl}-benzonitrile hydrochloride hydrate), at 500</w:t>
      </w:r>
      <w:r w:rsidR="00A26138" w:rsidRPr="00D326F8">
        <w:t> </w:t>
      </w:r>
      <w:r w:rsidRPr="00D326F8">
        <w:t xml:space="preserve">mg, exhibited substantial and sustained clinical activity in participants with advanced NSCLC harboring </w:t>
      </w:r>
      <w:r w:rsidRPr="00145703">
        <w:rPr>
          <w:iCs/>
        </w:rPr>
        <w:t>METex14</w:t>
      </w:r>
      <w:r w:rsidRPr="00D326F8">
        <w:t xml:space="preserve"> skipping alterations across the endpoints studied in the Phase</w:t>
      </w:r>
      <w:r w:rsidR="00A26138" w:rsidRPr="00D326F8">
        <w:t> </w:t>
      </w:r>
      <w:r w:rsidRPr="00D326F8">
        <w:t xml:space="preserve">II VISION study (MS200095_0022). The efficacy analyses provided strong evidence of a clinically meaningful response rate, deep and durable responses, and rapid onset of responses. Progression </w:t>
      </w:r>
      <w:r w:rsidR="00820F14" w:rsidRPr="00D326F8">
        <w:t>f</w:t>
      </w:r>
      <w:r w:rsidRPr="00D326F8">
        <w:t xml:space="preserve">ree </w:t>
      </w:r>
      <w:r w:rsidR="00820F14" w:rsidRPr="00D326F8">
        <w:t>s</w:t>
      </w:r>
      <w:r w:rsidRPr="00D326F8">
        <w:t xml:space="preserve">urvival and </w:t>
      </w:r>
      <w:r w:rsidR="00820F14" w:rsidRPr="00D326F8">
        <w:t>o</w:t>
      </w:r>
      <w:r w:rsidRPr="00D326F8">
        <w:t xml:space="preserve">verall </w:t>
      </w:r>
      <w:r w:rsidR="00820F14" w:rsidRPr="00D326F8">
        <w:t>s</w:t>
      </w:r>
      <w:r w:rsidRPr="00D326F8">
        <w:t xml:space="preserve">urvival analyses provided additional supportive evidence of </w:t>
      </w:r>
      <w:proofErr w:type="spellStart"/>
      <w:r w:rsidRPr="00D326F8">
        <w:t>tepotinib’s</w:t>
      </w:r>
      <w:proofErr w:type="spellEnd"/>
      <w:r w:rsidRPr="00D326F8">
        <w:t xml:space="preserve"> clinical activity. Tepotinib was well tolerated in healthy participants and patients. </w:t>
      </w:r>
    </w:p>
    <w:p w14:paraId="601A7F28" w14:textId="039078DA" w:rsidR="00DD58DA" w:rsidRPr="00D326F8" w:rsidRDefault="003E23E4" w:rsidP="00DD58DA">
      <w:pPr>
        <w:pStyle w:val="BodyText"/>
      </w:pPr>
      <w:r w:rsidRPr="00D326F8">
        <w:lastRenderedPageBreak/>
        <w:t xml:space="preserve">These data have recently led to </w:t>
      </w:r>
      <w:r w:rsidR="003B3988" w:rsidRPr="00D326F8">
        <w:t>marketing authorization</w:t>
      </w:r>
      <w:r w:rsidRPr="00D326F8">
        <w:t xml:space="preserve"> in several geographies including the conditional approval by the </w:t>
      </w:r>
      <w:r w:rsidR="00A26138" w:rsidRPr="00D326F8">
        <w:t xml:space="preserve">US </w:t>
      </w:r>
      <w:r w:rsidRPr="00D326F8">
        <w:t>FDA for treatment of patients with advanced NSCLC harboring METex14 skipping alterations (</w:t>
      </w:r>
      <w:r w:rsidR="00A21284" w:rsidRPr="00D326F8">
        <w:t xml:space="preserve">refer to </w:t>
      </w:r>
      <w:r w:rsidR="00D7247E" w:rsidRPr="00D326F8">
        <w:t>current t</w:t>
      </w:r>
      <w:r w:rsidRPr="00D326F8">
        <w:t>epotinib IB and USPI).</w:t>
      </w:r>
    </w:p>
    <w:p w14:paraId="601A7F29" w14:textId="5878E9B5" w:rsidR="00DD58DA" w:rsidRPr="00D326F8" w:rsidRDefault="003E23E4" w:rsidP="00DD58DA">
      <w:pPr>
        <w:pStyle w:val="BodyText"/>
      </w:pPr>
      <w:r w:rsidRPr="00D326F8">
        <w:t>Tepotinib is classified as a BCS Class IV compound according to the FDA BCS guidance. The geometric mean (CV%) absolute bioavailability in the fed state was 71.6% (10.8%) in healthy participants. Tepotinib has a positive food effect. The mean AUC</w:t>
      </w:r>
      <w:r w:rsidRPr="00D326F8">
        <w:rPr>
          <w:vertAlign w:val="subscript"/>
        </w:rPr>
        <w:t>0-∞</w:t>
      </w:r>
      <w:r w:rsidRPr="00D326F8">
        <w:t xml:space="preserve"> of tepotinib increased by 1.6</w:t>
      </w:r>
      <w:r w:rsidRPr="00D326F8">
        <w:noBreakHyphen/>
        <w:t>fold and C</w:t>
      </w:r>
      <w:r w:rsidRPr="00D326F8">
        <w:rPr>
          <w:vertAlign w:val="subscript"/>
        </w:rPr>
        <w:t>max</w:t>
      </w:r>
      <w:r w:rsidRPr="00D326F8">
        <w:t xml:space="preserve"> increased by 2-fold, following administration of a high-fat, high-calorie meal (approximately 800 to 1,000 calories, 150 calories from protein, 250 calories from carbohydrate, and 500 to 600 calories from fat). The median t</w:t>
      </w:r>
      <w:r w:rsidRPr="00D326F8">
        <w:rPr>
          <w:vertAlign w:val="subscript"/>
        </w:rPr>
        <w:t>max</w:t>
      </w:r>
      <w:r w:rsidRPr="00D326F8">
        <w:t xml:space="preserve"> shifted from 12 hours to 8</w:t>
      </w:r>
      <w:r w:rsidR="00A26138" w:rsidRPr="00D326F8">
        <w:t> </w:t>
      </w:r>
      <w:r w:rsidRPr="00D326F8">
        <w:t>hours. The geometric mean (CV%) VZ/F of tepotinib is 1,038 L (24.3%). Protein binding of tepotinib is 98% and is independent of drug concentration at clinically relevant exposures. The CL/F of tepotinib is 23.8 L/h (87.5%) and the half-life is 32 hours following oral administration of tepotinib in participants with cancer. Tepotinib is primarily metabolized by CYP3A4 and CYP2C8. Circulating plasma metabolites are MSC2571109A (R-enantiomer) and MSC2571107A (S-enantiomer). R</w:t>
      </w:r>
      <w:r w:rsidRPr="00D326F8">
        <w:noBreakHyphen/>
        <w:t>enantiomer MSC2571109A is more relevant in humans in terms of efficacy and safety including DDI with a plasma exposure of ~65% compared with tepotinib (AUC</w:t>
      </w:r>
      <w:r w:rsidRPr="00D326F8">
        <w:rPr>
          <w:vertAlign w:val="subscript"/>
        </w:rPr>
        <w:t>0-24h</w:t>
      </w:r>
      <w:r w:rsidRPr="00D326F8">
        <w:t>), whereas the S</w:t>
      </w:r>
      <w:r w:rsidRPr="00D326F8">
        <w:noBreakHyphen/>
        <w:t xml:space="preserve">enantiomer MSC2571107A is currently considered to be only a minor metabolite (~5% of parent drug’s AUC). Following a single oral administration of a radiolabeled dose of 500 mg tepotinib HCl hydrate, approximately 85% of the dose was recovered in feces (45% unchanged) and 13.6% in urine (7% unchanged; </w:t>
      </w:r>
      <w:r w:rsidR="00A21284" w:rsidRPr="00D326F8">
        <w:t xml:space="preserve">refer to </w:t>
      </w:r>
      <w:r w:rsidR="00D7247E" w:rsidRPr="00D326F8">
        <w:t xml:space="preserve">current </w:t>
      </w:r>
      <w:r w:rsidR="00F824DE" w:rsidRPr="00D326F8">
        <w:t>t</w:t>
      </w:r>
      <w:r w:rsidRPr="00D326F8">
        <w:t xml:space="preserve">epotinib IB and USPI). </w:t>
      </w:r>
    </w:p>
    <w:p w14:paraId="601A7F2A" w14:textId="77777777" w:rsidR="00DD58DA" w:rsidRPr="00D326F8" w:rsidRDefault="003E23E4" w:rsidP="00DD58DA">
      <w:pPr>
        <w:pStyle w:val="Caption"/>
      </w:pPr>
      <w:r w:rsidRPr="00D326F8">
        <w:t>Carbamazepine</w:t>
      </w:r>
    </w:p>
    <w:p w14:paraId="601A7F2B" w14:textId="7991B34E" w:rsidR="00DD58DA" w:rsidRPr="00D326F8" w:rsidRDefault="003E23E4" w:rsidP="00DD58DA">
      <w:pPr>
        <w:pStyle w:val="BodyText"/>
      </w:pPr>
      <w:r w:rsidRPr="00D326F8">
        <w:t>Carbamazepine (5H-dibenzo[</w:t>
      </w:r>
      <w:proofErr w:type="spellStart"/>
      <w:proofErr w:type="gramStart"/>
      <w:r w:rsidRPr="00D326F8">
        <w:t>b,f</w:t>
      </w:r>
      <w:proofErr w:type="spellEnd"/>
      <w:proofErr w:type="gramEnd"/>
      <w:r w:rsidRPr="00D326F8">
        <w:t>]azepine-5-carboxamide) is in therapeutic use since</w:t>
      </w:r>
      <w:r w:rsidR="00A26138" w:rsidRPr="00D326F8">
        <w:t> </w:t>
      </w:r>
      <w:r w:rsidRPr="00D326F8">
        <w:t>1962 (</w:t>
      </w:r>
      <w:proofErr w:type="spellStart"/>
      <w:r w:rsidR="002E504A">
        <w:fldChar w:fldCharType="begin"/>
      </w:r>
      <w:r w:rsidR="002E504A">
        <w:instrText xml:space="preserve"> HYPERLINK \l "_Moshé_2009._The" </w:instrText>
      </w:r>
      <w:r w:rsidR="002E504A">
        <w:fldChar w:fldCharType="separate"/>
      </w:r>
      <w:r w:rsidRPr="00D326F8">
        <w:rPr>
          <w:rStyle w:val="Hyperlink"/>
          <w:color w:val="auto"/>
        </w:rPr>
        <w:t>Moshé</w:t>
      </w:r>
      <w:proofErr w:type="spellEnd"/>
      <w:r w:rsidR="00256B04" w:rsidRPr="00D326F8">
        <w:rPr>
          <w:rStyle w:val="Hyperlink"/>
          <w:color w:val="auto"/>
        </w:rPr>
        <w:t> </w:t>
      </w:r>
      <w:r w:rsidRPr="00D326F8">
        <w:rPr>
          <w:rStyle w:val="Hyperlink"/>
          <w:color w:val="auto"/>
        </w:rPr>
        <w:t>2009</w:t>
      </w:r>
      <w:r w:rsidR="002E504A">
        <w:rPr>
          <w:rStyle w:val="Hyperlink"/>
          <w:color w:val="auto"/>
        </w:rPr>
        <w:fldChar w:fldCharType="end"/>
      </w:r>
      <w:r w:rsidRPr="00D326F8">
        <w:t>). It is an essential medicine (World Health Organization 2019) for the treatment of epilepsy, paroxysmal pain of trigeminal neuralgia as well as for the prophylaxis of manic</w:t>
      </w:r>
      <w:r w:rsidR="00A26138" w:rsidRPr="00D326F8">
        <w:noBreakHyphen/>
      </w:r>
      <w:r w:rsidRPr="00D326F8">
        <w:t xml:space="preserve">depressive psychosis in patients unresponsive to lithium therapy </w:t>
      </w:r>
      <w:r w:rsidR="00A26138" w:rsidRPr="00D326F8">
        <w:t>(</w:t>
      </w:r>
      <w:r w:rsidR="00A60808" w:rsidRPr="00D326F8">
        <w:t xml:space="preserve">refer to </w:t>
      </w:r>
      <w:hyperlink w:anchor="_Carbamazepine_USPI." w:history="1">
        <w:r w:rsidR="00A26138" w:rsidRPr="00D326F8">
          <w:rPr>
            <w:rStyle w:val="Hyperlink"/>
            <w:color w:val="auto"/>
          </w:rPr>
          <w:t>Carbamazepine USPI</w:t>
        </w:r>
      </w:hyperlink>
      <w:r w:rsidR="00A26138" w:rsidRPr="00D326F8">
        <w:t xml:space="preserve"> </w:t>
      </w:r>
      <w:r w:rsidRPr="00D326F8">
        <w:t>and</w:t>
      </w:r>
      <w:r w:rsidR="00A26138" w:rsidRPr="00D326F8">
        <w:t xml:space="preserve"> </w:t>
      </w:r>
      <w:hyperlink w:anchor="_Carbamazepine_SmPC." w:history="1">
        <w:r w:rsidR="00A26138" w:rsidRPr="00D326F8">
          <w:rPr>
            <w:rStyle w:val="Hyperlink"/>
            <w:color w:val="auto"/>
          </w:rPr>
          <w:t>Carbamazepine SmPC</w:t>
        </w:r>
      </w:hyperlink>
      <w:r w:rsidRPr="00D326F8">
        <w:t xml:space="preserve">). </w:t>
      </w:r>
    </w:p>
    <w:p w14:paraId="601A7F2C" w14:textId="1BF3BCCC" w:rsidR="00DD58DA" w:rsidRPr="00D326F8" w:rsidRDefault="003E23E4" w:rsidP="00DD58DA">
      <w:pPr>
        <w:pStyle w:val="BodyText"/>
      </w:pPr>
      <w:r w:rsidRPr="00D326F8">
        <w:t>Carbamazepine is classified as a BCS Class II compound according to the FDA BCS guidance. The bioavailability of carbamazepine in various oral formulations has been shown to lie between 85</w:t>
      </w:r>
      <w:r w:rsidR="000F7423" w:rsidRPr="00D326F8">
        <w:t xml:space="preserve">% to </w:t>
      </w:r>
      <w:r w:rsidRPr="00D326F8">
        <w:t>100%. Ingestion of food has no significant influence on the rate and extent of absorption. After oral administration of the conventional immediate-release tablet the maximum concentration is reached at 4 to 5 hours. Volume of distribution ranged from 0.8 to 2</w:t>
      </w:r>
      <w:r w:rsidR="00A26138" w:rsidRPr="00D326F8">
        <w:t> </w:t>
      </w:r>
      <w:r w:rsidRPr="00D326F8">
        <w:t>L/kg with a protein binding of carbamazepine of approximately 75% parent and the active metabolite of approximately 50%. Carbamazepine is metabolized in the liver to an active epoxy-metabolite, primarily by CYP3A4. It induces CYP3A4 and CYP1A2 and thereby its own metabolism during prolonged treatment which is complete in 3 to 5</w:t>
      </w:r>
      <w:r w:rsidR="00A26138" w:rsidRPr="00D326F8">
        <w:t> </w:t>
      </w:r>
      <w:r w:rsidRPr="00D326F8">
        <w:t xml:space="preserve">weeks with a fixed dosing regimen. Physiologically based pharmacokinetic simulations indicated that 14 days are sufficient to reach the maximal effect on induction at 600 mg/day </w:t>
      </w:r>
      <w:r w:rsidR="004707BE" w:rsidRPr="00D326F8">
        <w:t>(</w:t>
      </w:r>
      <w:hyperlink w:anchor="_Xu_Y,_Zhou" w:history="1">
        <w:r w:rsidR="004707BE" w:rsidRPr="00D326F8">
          <w:rPr>
            <w:rStyle w:val="Hyperlink"/>
            <w:color w:val="auto"/>
          </w:rPr>
          <w:t>Xu</w:t>
        </w:r>
        <w:r w:rsidR="00256B04" w:rsidRPr="00D326F8">
          <w:rPr>
            <w:rStyle w:val="Hyperlink"/>
            <w:color w:val="auto"/>
          </w:rPr>
          <w:t> </w:t>
        </w:r>
        <w:r w:rsidR="004707BE" w:rsidRPr="00D326F8">
          <w:rPr>
            <w:rStyle w:val="Hyperlink"/>
            <w:color w:val="auto"/>
          </w:rPr>
          <w:t>2011</w:t>
        </w:r>
      </w:hyperlink>
      <w:r w:rsidR="004707BE" w:rsidRPr="00D326F8">
        <w:t>)</w:t>
      </w:r>
      <w:r w:rsidRPr="00D326F8">
        <w:t>. The elimination half-life of unchanged carbamazepine averages approximately 36</w:t>
      </w:r>
      <w:r w:rsidR="00256B04" w:rsidRPr="00D326F8">
        <w:t> </w:t>
      </w:r>
      <w:r w:rsidRPr="00D326F8">
        <w:t>hours following a single oral dose, whereas after repeated administration it averages only 16 to 24</w:t>
      </w:r>
      <w:r w:rsidR="00A26138" w:rsidRPr="00D326F8">
        <w:t> </w:t>
      </w:r>
      <w:r w:rsidRPr="00D326F8">
        <w:t>hours (auto-induction), depending on the duration of the medication (</w:t>
      </w:r>
      <w:r w:rsidR="00A21284" w:rsidRPr="00D326F8">
        <w:t xml:space="preserve">refer to </w:t>
      </w:r>
      <w:hyperlink r:id="rId19" w:history="1">
        <w:r w:rsidR="004707BE" w:rsidRPr="00D326F8">
          <w:rPr>
            <w:rStyle w:val="Hyperlink"/>
            <w:color w:val="auto"/>
          </w:rPr>
          <w:t>Carbamazepine USPI</w:t>
        </w:r>
      </w:hyperlink>
      <w:r w:rsidR="004707BE" w:rsidRPr="00D326F8">
        <w:t xml:space="preserve"> </w:t>
      </w:r>
      <w:r w:rsidR="00A26138" w:rsidRPr="00D326F8">
        <w:t>and</w:t>
      </w:r>
      <w:r w:rsidR="004707BE" w:rsidRPr="00D326F8">
        <w:t xml:space="preserve"> </w:t>
      </w:r>
      <w:hyperlink w:anchor="_Carbamazepine_USPI." w:history="1">
        <w:r w:rsidR="004707BE" w:rsidRPr="00D326F8">
          <w:rPr>
            <w:rStyle w:val="Hyperlink"/>
            <w:color w:val="auto"/>
          </w:rPr>
          <w:t>Carbamazepine USPI</w:t>
        </w:r>
      </w:hyperlink>
      <w:r w:rsidRPr="00D326F8">
        <w:t xml:space="preserve">; </w:t>
      </w:r>
      <w:r w:rsidR="00015815" w:rsidRPr="00D326F8">
        <w:t>https://www.micromedexsolutions.com, last accessed on 19 July 2021</w:t>
      </w:r>
      <w:r w:rsidRPr="00D326F8">
        <w:t xml:space="preserve">). </w:t>
      </w:r>
    </w:p>
    <w:p w14:paraId="601A7F2D" w14:textId="33D3ACDD" w:rsidR="00DD58DA" w:rsidRPr="00D326F8" w:rsidRDefault="003E23E4" w:rsidP="00DD58DA">
      <w:pPr>
        <w:pStyle w:val="BodyText"/>
      </w:pPr>
      <w:r w:rsidRPr="00D326F8">
        <w:lastRenderedPageBreak/>
        <w:t>Carbamazepine is a strong constitutive androstane receptor agonist and a weak pregnane xenobiotic receptor agonist</w:t>
      </w:r>
      <w:r w:rsidR="00413E7F" w:rsidRPr="00D326F8">
        <w:t xml:space="preserve"> </w:t>
      </w:r>
      <w:r w:rsidR="00BA27FF" w:rsidRPr="00D326F8">
        <w:t>(</w:t>
      </w:r>
      <w:proofErr w:type="spellStart"/>
      <w:r w:rsidR="002E504A">
        <w:fldChar w:fldCharType="begin"/>
      </w:r>
      <w:r w:rsidR="002E504A">
        <w:instrText xml:space="preserve"> HYPERLINK \l "_Hakkola_J,_Hukkanen" </w:instrText>
      </w:r>
      <w:r w:rsidR="002E504A">
        <w:fldChar w:fldCharType="separate"/>
      </w:r>
      <w:r w:rsidR="00413E7F" w:rsidRPr="00D326F8">
        <w:rPr>
          <w:rStyle w:val="Hyperlink"/>
          <w:color w:val="auto"/>
        </w:rPr>
        <w:t>Hakkola</w:t>
      </w:r>
      <w:proofErr w:type="spellEnd"/>
      <w:r w:rsidR="00256B04" w:rsidRPr="00D326F8">
        <w:rPr>
          <w:rStyle w:val="Hyperlink"/>
          <w:color w:val="auto"/>
        </w:rPr>
        <w:t> </w:t>
      </w:r>
      <w:r w:rsidR="00413E7F" w:rsidRPr="00D326F8">
        <w:rPr>
          <w:rStyle w:val="Hyperlink"/>
          <w:color w:val="auto"/>
        </w:rPr>
        <w:t>2020</w:t>
      </w:r>
      <w:r w:rsidR="002E504A">
        <w:rPr>
          <w:rStyle w:val="Hyperlink"/>
          <w:color w:val="auto"/>
        </w:rPr>
        <w:fldChar w:fldCharType="end"/>
      </w:r>
      <w:r w:rsidR="00B037FA" w:rsidRPr="00D326F8">
        <w:rPr>
          <w:rStyle w:val="Hyperlink"/>
          <w:color w:val="auto"/>
        </w:rPr>
        <w:t>,</w:t>
      </w:r>
      <w:r w:rsidRPr="00D326F8">
        <w:t xml:space="preserve"> </w:t>
      </w:r>
      <w:hyperlink w:anchor="_Elmeliegy_M,_Vourvahis" w:history="1">
        <w:proofErr w:type="spellStart"/>
        <w:r w:rsidRPr="00D326F8">
          <w:rPr>
            <w:rStyle w:val="Hyperlink"/>
            <w:color w:val="auto"/>
          </w:rPr>
          <w:t>Elmeliegy</w:t>
        </w:r>
        <w:proofErr w:type="spellEnd"/>
        <w:r w:rsidR="00256B04" w:rsidRPr="00D326F8">
          <w:rPr>
            <w:rStyle w:val="Hyperlink"/>
            <w:color w:val="auto"/>
          </w:rPr>
          <w:t> </w:t>
        </w:r>
        <w:r w:rsidRPr="00D326F8">
          <w:rPr>
            <w:rStyle w:val="Hyperlink"/>
            <w:color w:val="auto"/>
          </w:rPr>
          <w:t>2020</w:t>
        </w:r>
      </w:hyperlink>
      <w:r w:rsidR="00B037FA" w:rsidRPr="00D326F8">
        <w:t>,</w:t>
      </w:r>
      <w:r w:rsidRPr="00D326F8">
        <w:t xml:space="preserve"> </w:t>
      </w:r>
      <w:hyperlink w:anchor="_Lutz_JD,_et" w:history="1">
        <w:r w:rsidRPr="00D326F8">
          <w:rPr>
            <w:rStyle w:val="Hyperlink"/>
            <w:color w:val="auto"/>
          </w:rPr>
          <w:t>Lutz</w:t>
        </w:r>
        <w:r w:rsidR="00413E7F" w:rsidRPr="00D326F8">
          <w:rPr>
            <w:rStyle w:val="Hyperlink"/>
            <w:color w:val="auto"/>
          </w:rPr>
          <w:t> </w:t>
        </w:r>
        <w:r w:rsidRPr="00D326F8">
          <w:rPr>
            <w:rStyle w:val="Hyperlink"/>
            <w:color w:val="auto"/>
          </w:rPr>
          <w:t>2018</w:t>
        </w:r>
      </w:hyperlink>
      <w:r w:rsidR="00B037FA" w:rsidRPr="00D326F8">
        <w:rPr>
          <w:rStyle w:val="Hyperlink"/>
          <w:color w:val="auto"/>
        </w:rPr>
        <w:t>,</w:t>
      </w:r>
      <w:r w:rsidRPr="00D326F8">
        <w:t xml:space="preserve"> </w:t>
      </w:r>
      <w:hyperlink w:anchor="_Giessmann_T,_et" w:history="1">
        <w:proofErr w:type="spellStart"/>
        <w:r w:rsidRPr="00D326F8">
          <w:rPr>
            <w:rStyle w:val="Hyperlink"/>
            <w:color w:val="auto"/>
          </w:rPr>
          <w:t>Giessmann</w:t>
        </w:r>
        <w:proofErr w:type="spellEnd"/>
        <w:r w:rsidR="00BA27FF" w:rsidRPr="00D326F8">
          <w:rPr>
            <w:rStyle w:val="Hyperlink"/>
            <w:color w:val="auto"/>
          </w:rPr>
          <w:t> </w:t>
        </w:r>
        <w:r w:rsidRPr="00D326F8">
          <w:rPr>
            <w:rStyle w:val="Hyperlink"/>
            <w:color w:val="auto"/>
          </w:rPr>
          <w:t>2004</w:t>
        </w:r>
      </w:hyperlink>
      <w:r w:rsidR="00B037FA" w:rsidRPr="00D326F8">
        <w:rPr>
          <w:rStyle w:val="Hyperlink"/>
          <w:color w:val="auto"/>
        </w:rPr>
        <w:t>,</w:t>
      </w:r>
      <w:r w:rsidRPr="00D326F8">
        <w:t xml:space="preserve"> </w:t>
      </w:r>
      <w:hyperlink w:anchor="_Faucette_SR,_et" w:history="1">
        <w:r w:rsidRPr="00D326F8">
          <w:rPr>
            <w:rStyle w:val="Hyperlink"/>
            <w:color w:val="auto"/>
          </w:rPr>
          <w:t>Faucette</w:t>
        </w:r>
        <w:r w:rsidR="00256B04" w:rsidRPr="00D326F8">
          <w:rPr>
            <w:rStyle w:val="Hyperlink"/>
            <w:color w:val="auto"/>
          </w:rPr>
          <w:t> </w:t>
        </w:r>
        <w:r w:rsidRPr="00D326F8">
          <w:rPr>
            <w:rStyle w:val="Hyperlink"/>
            <w:color w:val="auto"/>
          </w:rPr>
          <w:t>2007</w:t>
        </w:r>
      </w:hyperlink>
      <w:r w:rsidR="00B037FA" w:rsidRPr="00D326F8">
        <w:rPr>
          <w:rStyle w:val="Hyperlink"/>
          <w:color w:val="auto"/>
        </w:rPr>
        <w:t>,</w:t>
      </w:r>
      <w:r w:rsidRPr="00D326F8">
        <w:t xml:space="preserve"> </w:t>
      </w:r>
      <w:hyperlink w:anchor="_Oscarson_M,_Zanger" w:history="1">
        <w:r w:rsidRPr="00D326F8">
          <w:rPr>
            <w:rStyle w:val="Hyperlink"/>
            <w:color w:val="auto"/>
          </w:rPr>
          <w:t>Oscarson</w:t>
        </w:r>
        <w:r w:rsidR="00256B04" w:rsidRPr="00D326F8">
          <w:rPr>
            <w:rStyle w:val="Hyperlink"/>
            <w:color w:val="auto"/>
          </w:rPr>
          <w:t> </w:t>
        </w:r>
        <w:r w:rsidRPr="00D326F8">
          <w:rPr>
            <w:rStyle w:val="Hyperlink"/>
            <w:color w:val="auto"/>
          </w:rPr>
          <w:t>2006</w:t>
        </w:r>
      </w:hyperlink>
      <w:r w:rsidR="00B037FA" w:rsidRPr="00D326F8">
        <w:rPr>
          <w:rStyle w:val="Hyperlink"/>
          <w:color w:val="auto"/>
        </w:rPr>
        <w:t>,</w:t>
      </w:r>
      <w:r w:rsidRPr="00D326F8">
        <w:t xml:space="preserve"> </w:t>
      </w:r>
      <w:hyperlink w:anchor="_Bertilsson_L,_Tomson" w:history="1">
        <w:proofErr w:type="spellStart"/>
        <w:r w:rsidRPr="00D326F8">
          <w:rPr>
            <w:rStyle w:val="Hyperlink"/>
            <w:color w:val="auto"/>
          </w:rPr>
          <w:t>Bertilsson</w:t>
        </w:r>
        <w:proofErr w:type="spellEnd"/>
        <w:r w:rsidR="00256B04" w:rsidRPr="00D326F8">
          <w:rPr>
            <w:rStyle w:val="Hyperlink"/>
            <w:color w:val="auto"/>
          </w:rPr>
          <w:t> </w:t>
        </w:r>
        <w:r w:rsidRPr="00D326F8">
          <w:rPr>
            <w:rStyle w:val="Hyperlink"/>
            <w:color w:val="auto"/>
          </w:rPr>
          <w:t>1986</w:t>
        </w:r>
      </w:hyperlink>
      <w:r w:rsidR="00B037FA" w:rsidRPr="00D326F8">
        <w:rPr>
          <w:rStyle w:val="Hyperlink"/>
          <w:color w:val="auto"/>
        </w:rPr>
        <w:t>,</w:t>
      </w:r>
      <w:r w:rsidRPr="00D326F8">
        <w:t xml:space="preserve"> </w:t>
      </w:r>
      <w:hyperlink w:anchor="_Chan_KK,_et" w:history="1">
        <w:r w:rsidRPr="00D326F8">
          <w:rPr>
            <w:rStyle w:val="Hyperlink"/>
            <w:color w:val="auto"/>
          </w:rPr>
          <w:t>Chan</w:t>
        </w:r>
        <w:r w:rsidR="00256B04" w:rsidRPr="00D326F8">
          <w:rPr>
            <w:rStyle w:val="Hyperlink"/>
            <w:color w:val="auto"/>
          </w:rPr>
          <w:t> </w:t>
        </w:r>
        <w:r w:rsidRPr="00D326F8">
          <w:rPr>
            <w:rStyle w:val="Hyperlink"/>
            <w:color w:val="auto"/>
          </w:rPr>
          <w:t>1985</w:t>
        </w:r>
      </w:hyperlink>
      <w:r w:rsidR="00B037FA" w:rsidRPr="00D326F8">
        <w:rPr>
          <w:rStyle w:val="Hyperlink"/>
          <w:color w:val="auto"/>
        </w:rPr>
        <w:t>,</w:t>
      </w:r>
      <w:r w:rsidRPr="00D326F8">
        <w:t xml:space="preserve"> </w:t>
      </w:r>
      <w:hyperlink w:anchor="_Kuhnz_W,_et" w:history="1">
        <w:proofErr w:type="spellStart"/>
        <w:r w:rsidRPr="00D326F8">
          <w:rPr>
            <w:rStyle w:val="Hyperlink"/>
            <w:color w:val="auto"/>
          </w:rPr>
          <w:t>Kuhnz</w:t>
        </w:r>
        <w:proofErr w:type="spellEnd"/>
        <w:r w:rsidR="00413E7F" w:rsidRPr="00D326F8">
          <w:rPr>
            <w:rStyle w:val="Hyperlink"/>
            <w:color w:val="auto"/>
          </w:rPr>
          <w:t> </w:t>
        </w:r>
        <w:r w:rsidRPr="00D326F8">
          <w:rPr>
            <w:rStyle w:val="Hyperlink"/>
            <w:color w:val="auto"/>
          </w:rPr>
          <w:t>1983</w:t>
        </w:r>
      </w:hyperlink>
      <w:r w:rsidR="00B037FA" w:rsidRPr="00D326F8">
        <w:rPr>
          <w:rStyle w:val="Hyperlink"/>
          <w:color w:val="auto"/>
        </w:rPr>
        <w:t>,</w:t>
      </w:r>
      <w:r w:rsidRPr="00D326F8">
        <w:t xml:space="preserve"> </w:t>
      </w:r>
      <w:hyperlink w:anchor="_Bertilsson_L._Clinical" w:history="1">
        <w:proofErr w:type="spellStart"/>
        <w:r w:rsidRPr="00D326F8">
          <w:rPr>
            <w:rStyle w:val="Hyperlink"/>
            <w:color w:val="auto"/>
          </w:rPr>
          <w:t>Bertilsson</w:t>
        </w:r>
        <w:proofErr w:type="spellEnd"/>
        <w:r w:rsidR="00413E7F" w:rsidRPr="00D326F8">
          <w:rPr>
            <w:rStyle w:val="Hyperlink"/>
            <w:color w:val="auto"/>
          </w:rPr>
          <w:t> </w:t>
        </w:r>
        <w:r w:rsidRPr="00D326F8">
          <w:rPr>
            <w:rStyle w:val="Hyperlink"/>
            <w:color w:val="auto"/>
          </w:rPr>
          <w:t>1978</w:t>
        </w:r>
      </w:hyperlink>
      <w:r w:rsidRPr="00D326F8">
        <w:t>). The enzyme-inducing spectrum of carbamazepine covers multiple CYPs (CYP3A4, CYP2C9, CYP1A2 and CYP2B6) as well as UDP-glucuronosyltransferase enzymes, which may lead to failure of the therapeutic effects of oral contraceptives, immunosuppressants, anticoagulants and anticancer medications (</w:t>
      </w:r>
      <w:r w:rsidR="00A60808" w:rsidRPr="00D326F8">
        <w:t xml:space="preserve">refer to </w:t>
      </w:r>
      <w:hyperlink w:anchor="_Carbamazepine_USPI." w:history="1">
        <w:r w:rsidR="00413E7F" w:rsidRPr="00D326F8">
          <w:rPr>
            <w:rStyle w:val="Hyperlink"/>
            <w:color w:val="auto"/>
          </w:rPr>
          <w:t>Carbamazepine USPI</w:t>
        </w:r>
      </w:hyperlink>
      <w:r w:rsidR="00413E7F" w:rsidRPr="00D326F8">
        <w:t xml:space="preserve"> and </w:t>
      </w:r>
      <w:hyperlink w:anchor="_Carbamazepine_SmPC." w:history="1">
        <w:r w:rsidR="00413E7F" w:rsidRPr="00D326F8">
          <w:rPr>
            <w:rStyle w:val="Hyperlink"/>
            <w:color w:val="auto"/>
          </w:rPr>
          <w:t>Carbamazepine SmPC</w:t>
        </w:r>
      </w:hyperlink>
      <w:r w:rsidRPr="00D326F8">
        <w:t xml:space="preserve">). </w:t>
      </w:r>
    </w:p>
    <w:p w14:paraId="601A7F2E" w14:textId="60E91AE5" w:rsidR="00540F61" w:rsidRPr="00D326F8" w:rsidRDefault="003E23E4" w:rsidP="00DD58DA">
      <w:pPr>
        <w:pStyle w:val="BodyText"/>
      </w:pPr>
      <w:r w:rsidRPr="00D326F8">
        <w:rPr>
          <w:shd w:val="clear" w:color="auto" w:fill="FFFFFF"/>
        </w:rPr>
        <w:t>The HLA alleles (HLA-B*1502 and HLA-A*3101) are the most important pharmacogenomic variants for carbamazepine to date (</w:t>
      </w:r>
      <w:hyperlink w:anchor="_Chen_P,_Lin" w:history="1">
        <w:r w:rsidRPr="00D326F8">
          <w:rPr>
            <w:rStyle w:val="Hyperlink"/>
            <w:color w:val="auto"/>
            <w:shd w:val="clear" w:color="auto" w:fill="FFFFFF"/>
          </w:rPr>
          <w:t>Chen 2011</w:t>
        </w:r>
      </w:hyperlink>
      <w:r w:rsidR="00B037FA" w:rsidRPr="00D326F8">
        <w:rPr>
          <w:shd w:val="clear" w:color="auto" w:fill="FFFFFF"/>
        </w:rPr>
        <w:t>,</w:t>
      </w:r>
      <w:r w:rsidRPr="00D326F8">
        <w:rPr>
          <w:shd w:val="clear" w:color="auto" w:fill="FFFFFF"/>
        </w:rPr>
        <w:t xml:space="preserve"> </w:t>
      </w:r>
      <w:hyperlink w:anchor="_Thorna_CF,_Leckband" w:history="1">
        <w:proofErr w:type="spellStart"/>
        <w:r w:rsidR="00A26138" w:rsidRPr="00D326F8">
          <w:rPr>
            <w:rStyle w:val="Hyperlink"/>
            <w:color w:val="auto"/>
            <w:shd w:val="clear" w:color="auto" w:fill="FFFFFF"/>
          </w:rPr>
          <w:t>Thorna</w:t>
        </w:r>
        <w:proofErr w:type="spellEnd"/>
        <w:r w:rsidR="00A26138" w:rsidRPr="00D326F8">
          <w:rPr>
            <w:rStyle w:val="Hyperlink"/>
            <w:color w:val="auto"/>
            <w:shd w:val="clear" w:color="auto" w:fill="FFFFFF"/>
          </w:rPr>
          <w:t xml:space="preserve"> 2011</w:t>
        </w:r>
      </w:hyperlink>
      <w:r w:rsidR="004707BE" w:rsidRPr="00D326F8">
        <w:rPr>
          <w:rStyle w:val="Hyperlink"/>
          <w:color w:val="auto"/>
          <w:shd w:val="clear" w:color="auto" w:fill="FFFFFF"/>
        </w:rPr>
        <w:t>)</w:t>
      </w:r>
      <w:r w:rsidRPr="00D326F8">
        <w:rPr>
          <w:shd w:val="clear" w:color="auto" w:fill="FFFFFF"/>
        </w:rPr>
        <w:t xml:space="preserve">. There is increasing evidence regarding the association of these genetic markers and the occurrence of cutaneous adverse drug reactions such as Stevens-Johnson syndrome, toxic epidermal necrolysis, drug rash with eosinophilia and systemic symptoms, acute generalized </w:t>
      </w:r>
      <w:proofErr w:type="spellStart"/>
      <w:r w:rsidRPr="00D326F8">
        <w:rPr>
          <w:shd w:val="clear" w:color="auto" w:fill="FFFFFF"/>
        </w:rPr>
        <w:t>exanthematous</w:t>
      </w:r>
      <w:proofErr w:type="spellEnd"/>
      <w:r w:rsidRPr="00D326F8">
        <w:rPr>
          <w:shd w:val="clear" w:color="auto" w:fill="FFFFFF"/>
        </w:rPr>
        <w:t xml:space="preserve"> pustulosis and maculopapular rash. In Japanese and European patients, these reactions have been reported to be associated with the use of carbamazepine and the presence of the HLA-A*3101 allele. HLA</w:t>
      </w:r>
      <w:r w:rsidRPr="00D326F8">
        <w:rPr>
          <w:shd w:val="clear" w:color="auto" w:fill="FFFFFF"/>
        </w:rPr>
        <w:noBreakHyphen/>
        <w:t>B*1502 has been shown to be strongly associated with Stevens-Johnson syndrome and toxic epidermal necrolysis among individuals of Han Chinese, Thai and some other Asian ancestry (</w:t>
      </w:r>
      <w:r w:rsidR="00A60808" w:rsidRPr="00D326F8">
        <w:rPr>
          <w:shd w:val="clear" w:color="auto" w:fill="FFFFFF"/>
        </w:rPr>
        <w:t xml:space="preserve">refer to </w:t>
      </w:r>
      <w:hyperlink w:anchor="_Carbamazepine_USPI." w:history="1">
        <w:r w:rsidR="00413E7F" w:rsidRPr="00D326F8">
          <w:rPr>
            <w:rStyle w:val="Hyperlink"/>
            <w:color w:val="auto"/>
          </w:rPr>
          <w:t>Carbamazepine USPI</w:t>
        </w:r>
      </w:hyperlink>
      <w:r w:rsidR="00413E7F" w:rsidRPr="00D326F8">
        <w:t xml:space="preserve"> and </w:t>
      </w:r>
      <w:hyperlink w:anchor="_Carbamazepine_SmPC." w:history="1">
        <w:r w:rsidR="00413E7F" w:rsidRPr="00D326F8">
          <w:rPr>
            <w:rStyle w:val="Hyperlink"/>
            <w:color w:val="auto"/>
          </w:rPr>
          <w:t>Carbamazepine SmPC</w:t>
        </w:r>
      </w:hyperlink>
      <w:r w:rsidRPr="00D326F8">
        <w:rPr>
          <w:shd w:val="clear" w:color="auto" w:fill="FFFFFF"/>
        </w:rPr>
        <w:t>).</w:t>
      </w:r>
    </w:p>
    <w:p w14:paraId="601A7F2F" w14:textId="77777777" w:rsidR="00540F61" w:rsidRPr="00D326F8" w:rsidRDefault="003E23E4" w:rsidP="006A61B6">
      <w:pPr>
        <w:pStyle w:val="Heading2"/>
        <w:tabs>
          <w:tab w:val="clear" w:pos="4896"/>
          <w:tab w:val="num" w:pos="5130"/>
        </w:tabs>
        <w:ind w:left="1170" w:hanging="1170"/>
      </w:pPr>
      <w:bookmarkStart w:id="39" w:name="_Ref31961778"/>
      <w:bookmarkStart w:id="40" w:name="_Ref31961896"/>
      <w:bookmarkStart w:id="41" w:name="_Toc77839722"/>
      <w:r w:rsidRPr="00D326F8">
        <w:t>Benefit/Risk Assessment</w:t>
      </w:r>
      <w:bookmarkEnd w:id="39"/>
      <w:bookmarkEnd w:id="40"/>
      <w:bookmarkEnd w:id="41"/>
    </w:p>
    <w:p w14:paraId="601A7F30" w14:textId="153F3A3D" w:rsidR="00DD58DA" w:rsidRPr="00D326F8" w:rsidRDefault="003E23E4" w:rsidP="00DD58DA">
      <w:pPr>
        <w:pStyle w:val="BodyText"/>
      </w:pPr>
      <w:r w:rsidRPr="00D326F8">
        <w:rPr>
          <w:rFonts w:eastAsia="Calibri"/>
        </w:rPr>
        <w:t xml:space="preserve">More detailed information about the known and expected benefits and risks and reasonably expected </w:t>
      </w:r>
      <w:r w:rsidR="00E355AB" w:rsidRPr="00D326F8">
        <w:rPr>
          <w:rFonts w:eastAsia="Calibri"/>
        </w:rPr>
        <w:t>AEs</w:t>
      </w:r>
      <w:r w:rsidRPr="00D326F8">
        <w:rPr>
          <w:rFonts w:eastAsia="Calibri"/>
        </w:rPr>
        <w:t xml:space="preserve"> of</w:t>
      </w:r>
      <w:r w:rsidRPr="00D326F8">
        <w:t xml:space="preserve"> tepotinib </w:t>
      </w:r>
      <w:r w:rsidRPr="00D326F8">
        <w:rPr>
          <w:rFonts w:eastAsia="Calibri"/>
        </w:rPr>
        <w:t>may be found in Section</w:t>
      </w:r>
      <w:r w:rsidR="00E355AB" w:rsidRPr="00D326F8">
        <w:rPr>
          <w:rFonts w:eastAsia="Calibri"/>
        </w:rPr>
        <w:t> </w:t>
      </w:r>
      <w:r w:rsidRPr="00D326F8">
        <w:rPr>
          <w:rFonts w:eastAsia="Calibri"/>
        </w:rPr>
        <w:fldChar w:fldCharType="begin"/>
      </w:r>
      <w:r w:rsidRPr="00D326F8">
        <w:rPr>
          <w:rFonts w:eastAsia="Calibri"/>
        </w:rPr>
        <w:instrText xml:space="preserve"> REF _Ref3989357 \r \h  \* MERGEFORMAT </w:instrText>
      </w:r>
      <w:r w:rsidRPr="00D326F8">
        <w:rPr>
          <w:rFonts w:eastAsia="Calibri"/>
        </w:rPr>
      </w:r>
      <w:r w:rsidRPr="00D326F8">
        <w:rPr>
          <w:rFonts w:eastAsia="Calibri"/>
        </w:rPr>
        <w:fldChar w:fldCharType="separate"/>
      </w:r>
      <w:r w:rsidR="00173A27">
        <w:rPr>
          <w:rFonts w:eastAsia="Calibri"/>
        </w:rPr>
        <w:t>4.2</w:t>
      </w:r>
      <w:r w:rsidRPr="00D326F8">
        <w:rPr>
          <w:rFonts w:eastAsia="Calibri"/>
        </w:rPr>
        <w:fldChar w:fldCharType="end"/>
      </w:r>
      <w:r w:rsidR="00E355AB" w:rsidRPr="00D326F8">
        <w:rPr>
          <w:rFonts w:eastAsia="Calibri"/>
        </w:rPr>
        <w:t>,</w:t>
      </w:r>
      <w:r w:rsidRPr="00D326F8">
        <w:rPr>
          <w:rFonts w:eastAsia="Calibri"/>
        </w:rPr>
        <w:t xml:space="preserve"> the</w:t>
      </w:r>
      <w:r w:rsidRPr="00D326F8">
        <w:t xml:space="preserve"> IB</w:t>
      </w:r>
      <w:r w:rsidR="00E355AB" w:rsidRPr="00D326F8">
        <w:t xml:space="preserve">, and </w:t>
      </w:r>
      <w:r w:rsidR="00256B04" w:rsidRPr="00D326F8">
        <w:t xml:space="preserve">the </w:t>
      </w:r>
      <w:r w:rsidR="00E355AB" w:rsidRPr="00D326F8">
        <w:t>USPI</w:t>
      </w:r>
      <w:r w:rsidRPr="00D326F8">
        <w:t>.</w:t>
      </w:r>
    </w:p>
    <w:p w14:paraId="601A7F31" w14:textId="77777777" w:rsidR="00DD58DA" w:rsidRPr="00D326F8" w:rsidRDefault="003E23E4" w:rsidP="00DD58DA">
      <w:pPr>
        <w:pStyle w:val="BodyText"/>
      </w:pPr>
      <w:r w:rsidRPr="00D326F8">
        <w:rPr>
          <w:rFonts w:eastAsia="Calibri"/>
        </w:rPr>
        <w:t xml:space="preserve">More detailed information about the known and expected benefits and risks and reasonably expected adverse events of </w:t>
      </w:r>
      <w:r w:rsidRPr="00D326F8">
        <w:t>carbamazepine</w:t>
      </w:r>
      <w:r w:rsidRPr="00D326F8">
        <w:rPr>
          <w:color w:val="0070C0"/>
        </w:rPr>
        <w:t xml:space="preserve"> </w:t>
      </w:r>
      <w:r w:rsidRPr="00D326F8">
        <w:t>may be found in its SmPC and USPI</w:t>
      </w:r>
      <w:r w:rsidRPr="00D326F8">
        <w:rPr>
          <w:color w:val="0070C0"/>
        </w:rPr>
        <w:t>.</w:t>
      </w:r>
    </w:p>
    <w:p w14:paraId="601A7F32" w14:textId="77777777" w:rsidR="00540F61" w:rsidRPr="00D326F8" w:rsidRDefault="003E23E4" w:rsidP="00DD58DA">
      <w:pPr>
        <w:pStyle w:val="BodyText"/>
        <w:rPr>
          <w:rFonts w:eastAsia="Calibri"/>
        </w:rPr>
      </w:pPr>
      <w:r w:rsidRPr="00D326F8">
        <w:rPr>
          <w:rFonts w:eastAsia="Calibri"/>
        </w:rPr>
        <w:t>Based on the available</w:t>
      </w:r>
      <w:r w:rsidRPr="00D326F8">
        <w:t xml:space="preserve"> nonclinical and clinical</w:t>
      </w:r>
      <w:r w:rsidRPr="00D326F8">
        <w:rPr>
          <w:color w:val="0070C0"/>
        </w:rPr>
        <w:t xml:space="preserve"> </w:t>
      </w:r>
      <w:r w:rsidRPr="00D326F8">
        <w:rPr>
          <w:rFonts w:eastAsia="Calibri"/>
        </w:rPr>
        <w:t>data to date, the conduct of the study, as specified in this protocol, is considered justifiable.</w:t>
      </w:r>
    </w:p>
    <w:p w14:paraId="601A7F33" w14:textId="77777777" w:rsidR="00420A69" w:rsidRPr="00D326F8" w:rsidRDefault="003E23E4" w:rsidP="003D19B0">
      <w:pPr>
        <w:pStyle w:val="Heading3"/>
        <w:spacing w:after="240"/>
        <w:ind w:left="2019" w:hanging="2019"/>
      </w:pPr>
      <w:bookmarkStart w:id="42" w:name="_Toc521927381"/>
      <w:bookmarkStart w:id="43" w:name="_Toc499639085"/>
      <w:bookmarkStart w:id="44" w:name="_Toc450389545"/>
      <w:bookmarkStart w:id="45" w:name="_Toc450240192"/>
      <w:bookmarkStart w:id="46" w:name="_Toc447264344"/>
      <w:bookmarkStart w:id="47" w:name="_Toc528734846"/>
      <w:bookmarkStart w:id="48" w:name="_Toc23511431"/>
      <w:bookmarkStart w:id="49" w:name="_Toc77839723"/>
      <w:r w:rsidRPr="00D326F8">
        <w:t>Risk Assessment</w:t>
      </w:r>
      <w:bookmarkEnd w:id="42"/>
      <w:bookmarkEnd w:id="43"/>
      <w:bookmarkEnd w:id="44"/>
      <w:bookmarkEnd w:id="45"/>
      <w:bookmarkEnd w:id="46"/>
      <w:bookmarkEnd w:id="47"/>
      <w:bookmarkEnd w:id="48"/>
      <w:bookmarkEnd w:id="49"/>
    </w:p>
    <w:p w14:paraId="601A7F34" w14:textId="283F1FC0" w:rsidR="00DD58DA" w:rsidRPr="00D326F8" w:rsidRDefault="003E23E4" w:rsidP="00DD58DA">
      <w:pPr>
        <w:pStyle w:val="BodyText"/>
      </w:pPr>
      <w:r w:rsidRPr="00D326F8">
        <w:t>Based on the currently available nonclinical as well as clinical safety data for tepotinib, and the lack of genotoxicity in nonclinical studies, there is no objection against administration of single doses or short-term multiple administrations to healthy participants. The participants will be under close monitoring for e.g.</w:t>
      </w:r>
      <w:r w:rsidR="00B617D3" w:rsidRPr="00D326F8">
        <w:t>,</w:t>
      </w:r>
      <w:r w:rsidRPr="00D326F8">
        <w:t xml:space="preserve"> potential AEs, safety laboratory parameters, ECG, and vital signs in the clinical research unit to reduce the risk for any untoward effects of tepotinib. </w:t>
      </w:r>
    </w:p>
    <w:p w14:paraId="601A7F35" w14:textId="0E0AA06D" w:rsidR="00DD58DA" w:rsidRPr="00D326F8" w:rsidRDefault="003E23E4" w:rsidP="00DD58DA">
      <w:pPr>
        <w:pStyle w:val="BodyText"/>
      </w:pPr>
      <w:r w:rsidRPr="00D326F8">
        <w:t>Exposure to tepotinib at different dose levels including 500</w:t>
      </w:r>
      <w:r w:rsidR="00413E7F" w:rsidRPr="00D326F8">
        <w:t> </w:t>
      </w:r>
      <w:r w:rsidRPr="00D326F8">
        <w:t>mg tepotinib HCl hydrate were well tolerated by healthy participants (</w:t>
      </w:r>
      <w:r w:rsidR="00A21284" w:rsidRPr="00D326F8">
        <w:t xml:space="preserve">refer to </w:t>
      </w:r>
      <w:r w:rsidR="00D7247E" w:rsidRPr="00D326F8">
        <w:t>current t</w:t>
      </w:r>
      <w:r w:rsidRPr="00D326F8">
        <w:t>epotinib IB). Cumulatively, 702</w:t>
      </w:r>
      <w:r w:rsidR="00413E7F" w:rsidRPr="00D326F8">
        <w:t> </w:t>
      </w:r>
      <w:r w:rsidRPr="00D326F8">
        <w:t>patients and 225</w:t>
      </w:r>
      <w:r w:rsidR="00D03700" w:rsidRPr="00D326F8">
        <w:t> </w:t>
      </w:r>
      <w:r w:rsidRPr="00D326F8">
        <w:t>healthy participants and participants with hepatic impairment were exposed to tepotinib (500</w:t>
      </w:r>
      <w:r w:rsidR="00D03700" w:rsidRPr="00D326F8">
        <w:t> </w:t>
      </w:r>
      <w:r w:rsidRPr="00D326F8">
        <w:t xml:space="preserve">mg in </w:t>
      </w:r>
      <w:proofErr w:type="gramStart"/>
      <w:r w:rsidRPr="00D326F8">
        <w:t>the majority of</w:t>
      </w:r>
      <w:proofErr w:type="gramEnd"/>
      <w:r w:rsidRPr="00D326F8">
        <w:t xml:space="preserve"> healthy participant studies and 30 mg and 100</w:t>
      </w:r>
      <w:r w:rsidR="00413E7F" w:rsidRPr="00D326F8">
        <w:t> </w:t>
      </w:r>
      <w:r w:rsidRPr="00D326F8">
        <w:t>mg each in 1</w:t>
      </w:r>
      <w:r w:rsidR="00413E7F" w:rsidRPr="00D326F8">
        <w:t> </w:t>
      </w:r>
      <w:r w:rsidRPr="00D326F8">
        <w:t xml:space="preserve">study) in interventional clinical </w:t>
      </w:r>
      <w:r w:rsidR="007D4437" w:rsidRPr="00D326F8">
        <w:t xml:space="preserve">studies </w:t>
      </w:r>
      <w:r w:rsidRPr="00D326F8">
        <w:t>sponsored by Merck or any affiliate (DSUR No. 9, reporting period 25</w:t>
      </w:r>
      <w:r w:rsidR="00D03700" w:rsidRPr="00D326F8">
        <w:t> </w:t>
      </w:r>
      <w:r w:rsidRPr="00D326F8">
        <w:t>Sep</w:t>
      </w:r>
      <w:r w:rsidR="00E355AB" w:rsidRPr="00D326F8">
        <w:t>tember</w:t>
      </w:r>
      <w:r w:rsidR="00D03700" w:rsidRPr="00D326F8">
        <w:t> </w:t>
      </w:r>
      <w:r w:rsidRPr="00D326F8">
        <w:t>2020 to 24</w:t>
      </w:r>
      <w:r w:rsidR="00D03700" w:rsidRPr="00D326F8">
        <w:t> </w:t>
      </w:r>
      <w:r w:rsidRPr="00D326F8">
        <w:t>Mar</w:t>
      </w:r>
      <w:r w:rsidR="00E355AB" w:rsidRPr="00D326F8">
        <w:t>ch</w:t>
      </w:r>
      <w:r w:rsidR="00D03700" w:rsidRPr="00D326F8">
        <w:t> </w:t>
      </w:r>
      <w:r w:rsidRPr="00D326F8">
        <w:t>2021, data lock point 24</w:t>
      </w:r>
      <w:r w:rsidR="00D03700" w:rsidRPr="00D326F8">
        <w:t> </w:t>
      </w:r>
      <w:r w:rsidRPr="00D326F8">
        <w:t>March</w:t>
      </w:r>
      <w:r w:rsidR="00D03700" w:rsidRPr="00D326F8">
        <w:t> </w:t>
      </w:r>
      <w:r w:rsidRPr="00D326F8">
        <w:t>2021).</w:t>
      </w:r>
    </w:p>
    <w:p w14:paraId="601A7F36" w14:textId="1CC548A5" w:rsidR="00E355AB" w:rsidRPr="00D326F8" w:rsidRDefault="003E23E4" w:rsidP="00E355AB">
      <w:pPr>
        <w:pStyle w:val="BodyText"/>
        <w:spacing w:after="240"/>
      </w:pPr>
      <w:r w:rsidRPr="00D326F8">
        <w:t>No maximum tolerated dose could be defined in the first-in-man study EMR200095</w:t>
      </w:r>
      <w:r w:rsidR="00256B04" w:rsidRPr="00D326F8">
        <w:t>_</w:t>
      </w:r>
      <w:r w:rsidRPr="00D326F8">
        <w:t>001, using up to 1,400 mg once daily administered in 21</w:t>
      </w:r>
      <w:r w:rsidR="00256B04" w:rsidRPr="00D326F8">
        <w:noBreakHyphen/>
      </w:r>
      <w:r w:rsidRPr="00D326F8">
        <w:t>day cycles (</w:t>
      </w:r>
      <w:r w:rsidR="00A21284" w:rsidRPr="00D326F8">
        <w:t xml:space="preserve">refer to </w:t>
      </w:r>
      <w:r w:rsidR="00D7247E" w:rsidRPr="00D326F8">
        <w:t>current t</w:t>
      </w:r>
      <w:r w:rsidRPr="00D326F8">
        <w:t>epotinib IB).</w:t>
      </w:r>
    </w:p>
    <w:p w14:paraId="601A7F37" w14:textId="77777777" w:rsidR="00E355AB" w:rsidRPr="00D326F8" w:rsidRDefault="00E355AB" w:rsidP="00DD58DA">
      <w:pPr>
        <w:pStyle w:val="BodyText"/>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2911"/>
        <w:gridCol w:w="3792"/>
      </w:tblGrid>
      <w:tr w:rsidR="003B74AE" w:rsidRPr="00D326F8" w14:paraId="601A7F3B" w14:textId="77777777" w:rsidTr="00DD58DA">
        <w:trPr>
          <w:tblHeader/>
        </w:trPr>
        <w:tc>
          <w:tcPr>
            <w:tcW w:w="1309" w:type="pct"/>
            <w:tcBorders>
              <w:top w:val="single" w:sz="4" w:space="0" w:color="auto"/>
              <w:left w:val="single" w:sz="4" w:space="0" w:color="auto"/>
              <w:bottom w:val="single" w:sz="4" w:space="0" w:color="auto"/>
              <w:right w:val="single" w:sz="4" w:space="0" w:color="auto"/>
            </w:tcBorders>
            <w:vAlign w:val="bottom"/>
            <w:hideMark/>
          </w:tcPr>
          <w:p w14:paraId="601A7F38" w14:textId="77777777" w:rsidR="00DD58DA" w:rsidRPr="00D326F8" w:rsidRDefault="003E23E4" w:rsidP="001C70DF">
            <w:pPr>
              <w:spacing w:before="40" w:after="40"/>
              <w:jc w:val="center"/>
              <w:rPr>
                <w:rFonts w:ascii="Arial" w:eastAsia="Calibri" w:hAnsi="Arial" w:cs="Arial"/>
                <w:sz w:val="18"/>
              </w:rPr>
            </w:pPr>
            <w:bookmarkStart w:id="50" w:name="_Hlk72337480"/>
            <w:bookmarkStart w:id="51" w:name="_Hlk66874640"/>
            <w:r w:rsidRPr="00D326F8">
              <w:rPr>
                <w:rFonts w:ascii="Arial" w:eastAsia="MS Mincho" w:hAnsi="Arial" w:cs="Arial"/>
                <w:b/>
                <w:bCs/>
                <w:sz w:val="18"/>
                <w:lang w:val="en-GB"/>
              </w:rPr>
              <w:t>Identified and Potential Risks of Clinical Significance</w:t>
            </w:r>
          </w:p>
        </w:tc>
        <w:tc>
          <w:tcPr>
            <w:tcW w:w="1603" w:type="pct"/>
            <w:tcBorders>
              <w:top w:val="single" w:sz="4" w:space="0" w:color="auto"/>
              <w:left w:val="single" w:sz="4" w:space="0" w:color="auto"/>
              <w:bottom w:val="single" w:sz="4" w:space="0" w:color="auto"/>
              <w:right w:val="single" w:sz="4" w:space="0" w:color="auto"/>
            </w:tcBorders>
            <w:vAlign w:val="bottom"/>
            <w:hideMark/>
          </w:tcPr>
          <w:p w14:paraId="601A7F39" w14:textId="77777777" w:rsidR="00DD58DA" w:rsidRPr="00D326F8" w:rsidRDefault="003E23E4" w:rsidP="001C70DF">
            <w:pPr>
              <w:spacing w:before="40" w:after="40"/>
              <w:jc w:val="center"/>
              <w:rPr>
                <w:rFonts w:ascii="Arial" w:eastAsia="Calibri" w:hAnsi="Arial" w:cs="Arial"/>
                <w:sz w:val="18"/>
              </w:rPr>
            </w:pPr>
            <w:r w:rsidRPr="00D326F8">
              <w:rPr>
                <w:rFonts w:ascii="Arial" w:eastAsia="MS Mincho" w:hAnsi="Arial" w:cs="Arial"/>
                <w:b/>
                <w:bCs/>
                <w:sz w:val="18"/>
                <w:lang w:val="en-GB"/>
              </w:rPr>
              <w:t>Summary of Data/Rationale for Risk</w:t>
            </w:r>
          </w:p>
        </w:tc>
        <w:tc>
          <w:tcPr>
            <w:tcW w:w="2088" w:type="pct"/>
            <w:tcBorders>
              <w:top w:val="single" w:sz="4" w:space="0" w:color="auto"/>
              <w:left w:val="single" w:sz="4" w:space="0" w:color="auto"/>
              <w:bottom w:val="single" w:sz="4" w:space="0" w:color="auto"/>
              <w:right w:val="single" w:sz="4" w:space="0" w:color="auto"/>
            </w:tcBorders>
            <w:vAlign w:val="bottom"/>
            <w:hideMark/>
          </w:tcPr>
          <w:p w14:paraId="601A7F3A" w14:textId="77777777" w:rsidR="00DD58DA" w:rsidRPr="00D326F8" w:rsidRDefault="003E23E4" w:rsidP="001C70DF">
            <w:pPr>
              <w:spacing w:before="40" w:after="40"/>
              <w:jc w:val="center"/>
              <w:rPr>
                <w:rFonts w:ascii="Arial" w:eastAsia="Calibri" w:hAnsi="Arial" w:cs="Arial"/>
                <w:sz w:val="18"/>
              </w:rPr>
            </w:pPr>
            <w:r w:rsidRPr="00D326F8">
              <w:rPr>
                <w:rFonts w:ascii="Arial" w:eastAsia="MS Mincho" w:hAnsi="Arial" w:cs="Arial"/>
                <w:b/>
                <w:bCs/>
                <w:sz w:val="18"/>
                <w:lang w:val="en-GB"/>
              </w:rPr>
              <w:t>Mitigation Strategy</w:t>
            </w:r>
          </w:p>
        </w:tc>
      </w:tr>
      <w:bookmarkEnd w:id="50"/>
      <w:tr w:rsidR="003B74AE" w:rsidRPr="00D326F8" w14:paraId="601A7F3D" w14:textId="77777777" w:rsidTr="00DD58D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A7F3C" w14:textId="77777777" w:rsidR="00DD58DA" w:rsidRPr="00D326F8" w:rsidRDefault="003E23E4" w:rsidP="001C70DF">
            <w:pPr>
              <w:spacing w:before="40" w:after="40"/>
              <w:jc w:val="center"/>
              <w:rPr>
                <w:rFonts w:ascii="Arial" w:eastAsia="MS Mincho" w:hAnsi="Arial" w:cs="Arial"/>
                <w:b/>
                <w:bCs/>
                <w:sz w:val="18"/>
                <w:lang w:val="en-GB"/>
              </w:rPr>
            </w:pPr>
            <w:r w:rsidRPr="00D326F8">
              <w:rPr>
                <w:rFonts w:ascii="Arial" w:eastAsia="MS Mincho" w:hAnsi="Arial" w:cs="Arial"/>
                <w:b/>
                <w:bCs/>
                <w:sz w:val="18"/>
                <w:lang w:val="en-GB"/>
              </w:rPr>
              <w:t xml:space="preserve">Study Intervention(s) - </w:t>
            </w:r>
            <w:r w:rsidRPr="00D326F8">
              <w:rPr>
                <w:rFonts w:ascii="Arial" w:eastAsia="Calibri" w:hAnsi="Arial" w:cs="Arial"/>
                <w:b/>
                <w:bCs/>
                <w:sz w:val="18"/>
              </w:rPr>
              <w:t>Tepotinib</w:t>
            </w:r>
          </w:p>
        </w:tc>
      </w:tr>
      <w:tr w:rsidR="003B74AE" w:rsidRPr="00D326F8" w14:paraId="601A7F43"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3E" w14:textId="77777777" w:rsidR="00DD58DA" w:rsidRPr="00D326F8" w:rsidRDefault="003E23E4" w:rsidP="001C70DF">
            <w:pPr>
              <w:spacing w:before="40" w:after="40"/>
              <w:jc w:val="left"/>
              <w:rPr>
                <w:rFonts w:ascii="Arial" w:eastAsia="Calibri" w:hAnsi="Arial" w:cs="Arial"/>
                <w:sz w:val="18"/>
              </w:rPr>
            </w:pPr>
            <w:r w:rsidRPr="00D326F8">
              <w:rPr>
                <w:rFonts w:ascii="Arial" w:eastAsia="MS Mincho" w:hAnsi="Arial" w:cs="Arial"/>
                <w:sz w:val="18"/>
              </w:rPr>
              <w:t>Nonclinical Risks: Teratogenicity</w:t>
            </w:r>
          </w:p>
        </w:tc>
        <w:tc>
          <w:tcPr>
            <w:tcW w:w="1603" w:type="pct"/>
            <w:tcBorders>
              <w:top w:val="single" w:sz="4" w:space="0" w:color="auto"/>
              <w:left w:val="single" w:sz="4" w:space="0" w:color="auto"/>
              <w:bottom w:val="single" w:sz="4" w:space="0" w:color="auto"/>
              <w:right w:val="single" w:sz="4" w:space="0" w:color="auto"/>
            </w:tcBorders>
            <w:hideMark/>
          </w:tcPr>
          <w:p w14:paraId="601A7F3F"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Loss of c-Met induces teratogenic effects in c-Met knockout mice, and since a pilot embryo-fetal development study in rabbits revealed maternotoxic effects and a dose-dependent increased number of skeletal malformations.</w:t>
            </w:r>
          </w:p>
          <w:p w14:paraId="601A7F40" w14:textId="57809378"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 xml:space="preserve">For more information refer to IB </w:t>
            </w:r>
            <w:r w:rsidR="00AF50D7" w:rsidRPr="00D326F8">
              <w:rPr>
                <w:rFonts w:ascii="Arial" w:eastAsia="MS Mincho" w:hAnsi="Arial" w:cs="Arial"/>
                <w:sz w:val="18"/>
              </w:rPr>
              <w:t xml:space="preserve">(current version) </w:t>
            </w:r>
            <w:r w:rsidRPr="00D326F8">
              <w:rPr>
                <w:rFonts w:ascii="Arial" w:eastAsia="MS Mincho" w:hAnsi="Arial" w:cs="Arial"/>
                <w:sz w:val="18"/>
              </w:rPr>
              <w:t>Section</w:t>
            </w:r>
            <w:r w:rsidR="00AF50D7" w:rsidRPr="00D326F8">
              <w:rPr>
                <w:rFonts w:ascii="Arial" w:eastAsia="MS Mincho" w:hAnsi="Arial" w:cs="Arial"/>
                <w:sz w:val="18"/>
              </w:rPr>
              <w:t> </w:t>
            </w:r>
            <w:r w:rsidRPr="00D326F8">
              <w:rPr>
                <w:rFonts w:ascii="Arial" w:eastAsia="MS Mincho" w:hAnsi="Arial" w:cs="Arial"/>
                <w:sz w:val="18"/>
              </w:rPr>
              <w:t>4.3 and 6.1.1.</w:t>
            </w:r>
          </w:p>
        </w:tc>
        <w:tc>
          <w:tcPr>
            <w:tcW w:w="2088" w:type="pct"/>
            <w:tcBorders>
              <w:top w:val="single" w:sz="4" w:space="0" w:color="auto"/>
              <w:left w:val="single" w:sz="4" w:space="0" w:color="auto"/>
              <w:bottom w:val="single" w:sz="4" w:space="0" w:color="auto"/>
              <w:right w:val="single" w:sz="4" w:space="0" w:color="auto"/>
            </w:tcBorders>
            <w:hideMark/>
          </w:tcPr>
          <w:p w14:paraId="601A7F41" w14:textId="546BED41"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Only healthy women of non-</w:t>
            </w:r>
            <w:proofErr w:type="gramStart"/>
            <w:r w:rsidRPr="00D326F8">
              <w:rPr>
                <w:rFonts w:ascii="Arial" w:eastAsia="MS Mincho" w:hAnsi="Arial" w:cs="Arial"/>
                <w:sz w:val="18"/>
              </w:rPr>
              <w:t>child bearing</w:t>
            </w:r>
            <w:proofErr w:type="gramEnd"/>
            <w:r w:rsidRPr="00D326F8">
              <w:rPr>
                <w:rFonts w:ascii="Arial" w:eastAsia="MS Mincho" w:hAnsi="Arial" w:cs="Arial"/>
                <w:sz w:val="18"/>
              </w:rPr>
              <w:t xml:space="preserve"> potential that are known to be postmenopausal or surgically sterile (i.e.</w:t>
            </w:r>
            <w:r w:rsidR="00413E7F" w:rsidRPr="00D326F8">
              <w:rPr>
                <w:rFonts w:ascii="Arial" w:eastAsia="MS Mincho" w:hAnsi="Arial" w:cs="Arial"/>
                <w:sz w:val="18"/>
              </w:rPr>
              <w:t>,</w:t>
            </w:r>
            <w:r w:rsidRPr="00D326F8">
              <w:rPr>
                <w:rFonts w:ascii="Arial" w:eastAsia="MS Mincho" w:hAnsi="Arial" w:cs="Arial"/>
                <w:sz w:val="18"/>
              </w:rPr>
              <w:t xml:space="preserve"> due to hysterectomy, bilateral oophorectomy, or bilateral salpingectomy) will be enrolled in this study (details in Section</w:t>
            </w:r>
            <w:r w:rsidR="00413E7F" w:rsidRPr="00D326F8">
              <w:rPr>
                <w:rFonts w:ascii="Arial" w:eastAsia="MS Mincho" w:hAnsi="Arial" w:cs="Arial"/>
                <w:sz w:val="18"/>
              </w:rPr>
              <w:t> </w:t>
            </w:r>
            <w:r w:rsidR="00157683" w:rsidRPr="00D326F8">
              <w:rPr>
                <w:rFonts w:ascii="Arial" w:eastAsia="MS Mincho" w:hAnsi="Arial" w:cs="Arial"/>
                <w:sz w:val="18"/>
              </w:rPr>
              <w:fldChar w:fldCharType="begin"/>
            </w:r>
            <w:r w:rsidR="00157683" w:rsidRPr="00D326F8">
              <w:rPr>
                <w:rFonts w:ascii="Arial" w:eastAsia="MS Mincho" w:hAnsi="Arial" w:cs="Arial"/>
                <w:sz w:val="18"/>
              </w:rPr>
              <w:instrText xml:space="preserve"> REF _Ref3989452 \n \h </w:instrText>
            </w:r>
            <w:r w:rsidR="00D326F8">
              <w:rPr>
                <w:rFonts w:ascii="Arial" w:eastAsia="MS Mincho" w:hAnsi="Arial" w:cs="Arial"/>
                <w:sz w:val="18"/>
              </w:rPr>
              <w:instrText xml:space="preserve"> \* MERGEFORMAT </w:instrText>
            </w:r>
            <w:r w:rsidR="00157683" w:rsidRPr="00D326F8">
              <w:rPr>
                <w:rFonts w:ascii="Arial" w:eastAsia="MS Mincho" w:hAnsi="Arial" w:cs="Arial"/>
                <w:sz w:val="18"/>
              </w:rPr>
            </w:r>
            <w:r w:rsidR="00157683" w:rsidRPr="00D326F8">
              <w:rPr>
                <w:rFonts w:ascii="Arial" w:eastAsia="MS Mincho" w:hAnsi="Arial" w:cs="Arial"/>
                <w:sz w:val="18"/>
              </w:rPr>
              <w:fldChar w:fldCharType="separate"/>
            </w:r>
            <w:r w:rsidR="00173A27">
              <w:rPr>
                <w:rFonts w:ascii="Arial" w:eastAsia="MS Mincho" w:hAnsi="Arial" w:cs="Arial"/>
                <w:sz w:val="18"/>
              </w:rPr>
              <w:t>5.1</w:t>
            </w:r>
            <w:r w:rsidR="00157683" w:rsidRPr="00D326F8">
              <w:rPr>
                <w:rFonts w:ascii="Arial" w:eastAsia="MS Mincho" w:hAnsi="Arial" w:cs="Arial"/>
                <w:sz w:val="18"/>
              </w:rPr>
              <w:fldChar w:fldCharType="end"/>
            </w:r>
            <w:r w:rsidRPr="00D326F8">
              <w:rPr>
                <w:rFonts w:ascii="Arial" w:eastAsia="MS Mincho" w:hAnsi="Arial" w:cs="Arial"/>
                <w:sz w:val="18"/>
              </w:rPr>
              <w:t>). Male participants will be required to take precautions with regards to female partners.</w:t>
            </w:r>
          </w:p>
          <w:p w14:paraId="601A7F42"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Stringent criteria are applied to ensure exclusion of women of childbearing potential in this study.</w:t>
            </w:r>
          </w:p>
        </w:tc>
      </w:tr>
      <w:tr w:rsidR="003B74AE" w:rsidRPr="00D326F8" w14:paraId="601A7F47"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44"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Clinical identified risk: increased creatinine</w:t>
            </w:r>
          </w:p>
        </w:tc>
        <w:tc>
          <w:tcPr>
            <w:tcW w:w="1603" w:type="pct"/>
            <w:tcBorders>
              <w:top w:val="single" w:sz="4" w:space="0" w:color="auto"/>
              <w:left w:val="single" w:sz="4" w:space="0" w:color="auto"/>
              <w:bottom w:val="single" w:sz="4" w:space="0" w:color="auto"/>
              <w:right w:val="single" w:sz="4" w:space="0" w:color="auto"/>
            </w:tcBorders>
            <w:hideMark/>
          </w:tcPr>
          <w:p w14:paraId="601A7F45"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 xml:space="preserve">Increase of creatinine is commonly reported in clinical </w:t>
            </w:r>
            <w:r w:rsidR="007D4437" w:rsidRPr="00D326F8">
              <w:rPr>
                <w:rFonts w:ascii="Arial" w:eastAsia="MS Mincho" w:hAnsi="Arial" w:cs="Arial"/>
                <w:sz w:val="18"/>
              </w:rPr>
              <w:t>studies</w:t>
            </w:r>
            <w:r w:rsidRPr="00D326F8">
              <w:rPr>
                <w:rFonts w:ascii="Arial" w:eastAsia="MS Mincho" w:hAnsi="Arial" w:cs="Arial"/>
                <w:sz w:val="18"/>
              </w:rPr>
              <w:t>. The observed increases in creatinine are thought to occur due to competition of renal tubular secretion. The levels decrease after discontinuation from tepotinib</w:t>
            </w:r>
            <w:r w:rsidR="00B21481" w:rsidRPr="00D326F8">
              <w:rPr>
                <w:rFonts w:ascii="Arial" w:eastAsia="MS Mincho" w:hAnsi="Arial" w:cs="Arial"/>
                <w:sz w:val="18"/>
              </w:rPr>
              <w:t>.</w:t>
            </w:r>
          </w:p>
        </w:tc>
        <w:tc>
          <w:tcPr>
            <w:tcW w:w="2088" w:type="pct"/>
            <w:tcBorders>
              <w:top w:val="single" w:sz="4" w:space="0" w:color="auto"/>
              <w:left w:val="single" w:sz="4" w:space="0" w:color="auto"/>
              <w:bottom w:val="single" w:sz="4" w:space="0" w:color="auto"/>
              <w:right w:val="single" w:sz="4" w:space="0" w:color="auto"/>
            </w:tcBorders>
            <w:hideMark/>
          </w:tcPr>
          <w:p w14:paraId="601A7F46" w14:textId="29345E06" w:rsidR="00D03700" w:rsidRPr="00D326F8" w:rsidRDefault="003E23E4" w:rsidP="001C70DF">
            <w:pPr>
              <w:spacing w:before="40" w:after="40"/>
              <w:jc w:val="left"/>
              <w:rPr>
                <w:rFonts w:eastAsia="MS Mincho"/>
              </w:rPr>
            </w:pPr>
            <w:r w:rsidRPr="00D326F8">
              <w:rPr>
                <w:rFonts w:ascii="Arial" w:eastAsiaTheme="minorEastAsia" w:hAnsi="Arial"/>
                <w:sz w:val="18"/>
              </w:rPr>
              <w:t xml:space="preserve">Increases in serum creatinine were transient after single administrations. The residual risk in this single-dose study </w:t>
            </w:r>
            <w:r w:rsidR="00F25168" w:rsidRPr="00D326F8">
              <w:rPr>
                <w:rFonts w:ascii="Arial" w:eastAsia="MS Mincho" w:hAnsi="Arial" w:cs="Arial"/>
                <w:color w:val="000000"/>
                <w:sz w:val="18"/>
                <w:szCs w:val="18"/>
              </w:rPr>
              <w:t>is considered as managed by adequate measurements such as eligibility criteria (Section</w:t>
            </w:r>
            <w:r w:rsidRPr="00D326F8">
              <w:rPr>
                <w:rFonts w:ascii="Arial" w:eastAsia="MS Mincho" w:hAnsi="Arial" w:cs="Arial"/>
                <w:color w:val="000000"/>
                <w:sz w:val="18"/>
                <w:szCs w:val="18"/>
              </w:rPr>
              <w:t>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_Ref3989452 \n \h </w:instrText>
            </w:r>
            <w:r w:rsid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5.1</w:t>
            </w:r>
            <w:r w:rsidR="00157683" w:rsidRPr="00D326F8">
              <w:rPr>
                <w:rFonts w:ascii="Arial" w:eastAsia="MS Mincho" w:hAnsi="Arial" w:cs="Arial"/>
                <w:color w:val="000000"/>
                <w:sz w:val="18"/>
                <w:szCs w:val="18"/>
              </w:rPr>
              <w:fldChar w:fldCharType="end"/>
            </w:r>
            <w:r w:rsidR="00157683" w:rsidRPr="00D326F8">
              <w:rPr>
                <w:rFonts w:ascii="Arial" w:eastAsia="MS Mincho" w:hAnsi="Arial" w:cs="Arial"/>
                <w:color w:val="000000"/>
                <w:sz w:val="18"/>
                <w:szCs w:val="18"/>
              </w:rPr>
              <w:t xml:space="preserve"> and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_Ref3989475 \n \h </w:instrText>
            </w:r>
            <w:r w:rsid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5.2</w:t>
            </w:r>
            <w:r w:rsidR="00157683" w:rsidRPr="00D326F8">
              <w:rPr>
                <w:rFonts w:ascii="Arial" w:eastAsia="MS Mincho" w:hAnsi="Arial" w:cs="Arial"/>
                <w:color w:val="000000"/>
                <w:sz w:val="18"/>
                <w:szCs w:val="18"/>
              </w:rPr>
              <w:fldChar w:fldCharType="end"/>
            </w:r>
            <w:r w:rsidR="00F25168" w:rsidRPr="00D326F8">
              <w:rPr>
                <w:rFonts w:ascii="Arial" w:eastAsia="MS Mincho" w:hAnsi="Arial" w:cs="Arial"/>
                <w:color w:val="000000"/>
                <w:sz w:val="18"/>
                <w:szCs w:val="18"/>
              </w:rPr>
              <w:t xml:space="preserve">) and monitoring </w:t>
            </w:r>
            <w:r w:rsidR="00F25168" w:rsidRPr="00D326F8">
              <w:rPr>
                <w:rFonts w:ascii="Arial" w:eastAsia="MS Mincho" w:hAnsi="Arial" w:cs="Arial"/>
                <w:sz w:val="18"/>
              </w:rPr>
              <w:t>of blood creatinine by routine lab</w:t>
            </w:r>
            <w:r w:rsidR="00AF50D7" w:rsidRPr="00D326F8">
              <w:rPr>
                <w:rFonts w:ascii="Arial" w:eastAsia="MS Mincho" w:hAnsi="Arial" w:cs="Arial"/>
                <w:sz w:val="18"/>
              </w:rPr>
              <w:t>oratory testing</w:t>
            </w:r>
            <w:r w:rsidR="00F25168" w:rsidRPr="00D326F8">
              <w:rPr>
                <w:rFonts w:ascii="Arial" w:eastAsia="MS Mincho" w:hAnsi="Arial" w:cs="Arial"/>
                <w:sz w:val="18"/>
              </w:rPr>
              <w:t xml:space="preserve"> (Section</w:t>
            </w:r>
            <w:r w:rsidRPr="00D326F8">
              <w:rPr>
                <w:rFonts w:ascii="Arial" w:eastAsia="MS Mincho" w:hAnsi="Arial" w:cs="Arial"/>
                <w:sz w:val="18"/>
              </w:rPr>
              <w:t> </w:t>
            </w:r>
            <w:r w:rsidR="00157683" w:rsidRPr="00D326F8">
              <w:rPr>
                <w:rFonts w:ascii="Arial" w:eastAsia="MS Mincho" w:hAnsi="Arial" w:cs="Arial"/>
                <w:sz w:val="18"/>
              </w:rPr>
              <w:fldChar w:fldCharType="begin"/>
            </w:r>
            <w:r w:rsidR="00157683" w:rsidRPr="00D326F8">
              <w:rPr>
                <w:rFonts w:ascii="Arial" w:eastAsia="MS Mincho" w:hAnsi="Arial" w:cs="Arial"/>
                <w:sz w:val="18"/>
              </w:rPr>
              <w:instrText xml:space="preserve"> REF _Ref74915525 \n \h </w:instrText>
            </w:r>
            <w:r w:rsidR="00D326F8">
              <w:rPr>
                <w:rFonts w:ascii="Arial" w:eastAsia="MS Mincho" w:hAnsi="Arial" w:cs="Arial"/>
                <w:sz w:val="18"/>
              </w:rPr>
              <w:instrText xml:space="preserve"> \* MERGEFORMAT </w:instrText>
            </w:r>
            <w:r w:rsidR="00157683" w:rsidRPr="00D326F8">
              <w:rPr>
                <w:rFonts w:ascii="Arial" w:eastAsia="MS Mincho" w:hAnsi="Arial" w:cs="Arial"/>
                <w:sz w:val="18"/>
              </w:rPr>
            </w:r>
            <w:r w:rsidR="00157683" w:rsidRPr="00D326F8">
              <w:rPr>
                <w:rFonts w:ascii="Arial" w:eastAsia="MS Mincho" w:hAnsi="Arial" w:cs="Arial"/>
                <w:sz w:val="18"/>
              </w:rPr>
              <w:fldChar w:fldCharType="separate"/>
            </w:r>
            <w:r w:rsidR="00173A27">
              <w:rPr>
                <w:rFonts w:ascii="Arial" w:eastAsia="MS Mincho" w:hAnsi="Arial" w:cs="Arial"/>
                <w:sz w:val="18"/>
              </w:rPr>
              <w:t>8.2.4</w:t>
            </w:r>
            <w:r w:rsidR="00157683" w:rsidRPr="00D326F8">
              <w:rPr>
                <w:rFonts w:ascii="Arial" w:eastAsia="MS Mincho" w:hAnsi="Arial" w:cs="Arial"/>
                <w:sz w:val="18"/>
              </w:rPr>
              <w:fldChar w:fldCharType="end"/>
            </w:r>
            <w:r w:rsidR="00F25168" w:rsidRPr="00D326F8">
              <w:rPr>
                <w:rFonts w:ascii="Arial" w:eastAsia="MS Mincho" w:hAnsi="Arial" w:cs="Arial"/>
                <w:sz w:val="18"/>
              </w:rPr>
              <w:t xml:space="preserve"> and </w:t>
            </w:r>
            <w:hyperlink w:anchor="_Appendix_5_Clinical" w:history="1">
              <w:r w:rsidR="003A5C57" w:rsidRPr="00D326F8">
                <w:rPr>
                  <w:rStyle w:val="Hyperlink"/>
                  <w:rFonts w:ascii="Arial" w:eastAsia="MS Mincho" w:hAnsi="Arial" w:cs="Arial"/>
                  <w:color w:val="auto"/>
                  <w:sz w:val="18"/>
                </w:rPr>
                <w:t>Appendix 5</w:t>
              </w:r>
            </w:hyperlink>
            <w:r w:rsidR="00F25168" w:rsidRPr="00D326F8">
              <w:rPr>
                <w:rFonts w:ascii="Arial" w:eastAsia="MS Mincho" w:hAnsi="Arial" w:cs="Arial"/>
                <w:sz w:val="18"/>
              </w:rPr>
              <w:t>).</w:t>
            </w:r>
          </w:p>
        </w:tc>
      </w:tr>
      <w:tr w:rsidR="003B74AE" w:rsidRPr="00D326F8" w14:paraId="601A7F4C"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48"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Clinical identified risk: hypoalbuminemia</w:t>
            </w:r>
          </w:p>
        </w:tc>
        <w:tc>
          <w:tcPr>
            <w:tcW w:w="1603" w:type="pct"/>
            <w:tcBorders>
              <w:top w:val="single" w:sz="4" w:space="0" w:color="auto"/>
              <w:left w:val="single" w:sz="4" w:space="0" w:color="auto"/>
              <w:bottom w:val="single" w:sz="4" w:space="0" w:color="auto"/>
              <w:right w:val="single" w:sz="4" w:space="0" w:color="auto"/>
            </w:tcBorders>
            <w:hideMark/>
          </w:tcPr>
          <w:p w14:paraId="601A7F49"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 xml:space="preserve">Hypoalbuminemia is commonly reported in tepotinib </w:t>
            </w:r>
            <w:r w:rsidR="007D4437" w:rsidRPr="00D326F8">
              <w:rPr>
                <w:rFonts w:ascii="Arial" w:eastAsia="MS Mincho" w:hAnsi="Arial" w:cs="Arial"/>
                <w:sz w:val="18"/>
              </w:rPr>
              <w:t>studies</w:t>
            </w:r>
            <w:r w:rsidRPr="00D326F8">
              <w:rPr>
                <w:rFonts w:ascii="Arial" w:eastAsia="MS Mincho" w:hAnsi="Arial" w:cs="Arial"/>
                <w:sz w:val="18"/>
              </w:rPr>
              <w:t>.</w:t>
            </w:r>
          </w:p>
          <w:p w14:paraId="601A7F4A" w14:textId="56C81BBA"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For more information refer to IB </w:t>
            </w:r>
            <w:r w:rsidR="00AF50D7" w:rsidRPr="00D326F8">
              <w:rPr>
                <w:rFonts w:ascii="Arial" w:eastAsia="MS Mincho" w:hAnsi="Arial" w:cs="Arial"/>
                <w:sz w:val="18"/>
              </w:rPr>
              <w:t xml:space="preserve">(current version) </w:t>
            </w:r>
            <w:r w:rsidRPr="00D326F8">
              <w:rPr>
                <w:rFonts w:ascii="Arial" w:eastAsia="MS Mincho" w:hAnsi="Arial" w:cs="Arial"/>
                <w:sz w:val="18"/>
              </w:rPr>
              <w:t>Section</w:t>
            </w:r>
            <w:r w:rsidR="00AF50D7" w:rsidRPr="00D326F8">
              <w:rPr>
                <w:rFonts w:ascii="Arial" w:eastAsia="MS Mincho" w:hAnsi="Arial" w:cs="Arial"/>
                <w:sz w:val="18"/>
              </w:rPr>
              <w:t> </w:t>
            </w:r>
            <w:r w:rsidRPr="00D326F8">
              <w:rPr>
                <w:rFonts w:ascii="Arial" w:eastAsia="MS Mincho" w:hAnsi="Arial" w:cs="Arial"/>
                <w:sz w:val="18"/>
              </w:rPr>
              <w:t>5.3, 6.1.2 and 6.1.3.2</w:t>
            </w:r>
            <w:r w:rsidR="006F692F" w:rsidRPr="00D326F8">
              <w:rPr>
                <w:rFonts w:ascii="Arial" w:eastAsia="MS Mincho" w:hAnsi="Arial" w:cs="Arial"/>
                <w:sz w:val="18"/>
              </w:rPr>
              <w:t>.</w:t>
            </w:r>
          </w:p>
        </w:tc>
        <w:tc>
          <w:tcPr>
            <w:tcW w:w="2088" w:type="pct"/>
            <w:tcBorders>
              <w:top w:val="single" w:sz="4" w:space="0" w:color="auto"/>
              <w:left w:val="single" w:sz="4" w:space="0" w:color="auto"/>
              <w:bottom w:val="single" w:sz="4" w:space="0" w:color="auto"/>
              <w:right w:val="single" w:sz="4" w:space="0" w:color="auto"/>
            </w:tcBorders>
            <w:hideMark/>
          </w:tcPr>
          <w:p w14:paraId="601A7F4B" w14:textId="4D184A28"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szCs w:val="18"/>
              </w:rPr>
              <w:t xml:space="preserve">Clinically relevant hypoalbuminemia was not observed after single administrations. The residual risk </w:t>
            </w:r>
            <w:r w:rsidR="00F25168" w:rsidRPr="00D326F8">
              <w:rPr>
                <w:rFonts w:ascii="Arial" w:eastAsia="MS Mincho" w:hAnsi="Arial" w:cs="Arial"/>
                <w:sz w:val="18"/>
                <w:szCs w:val="18"/>
              </w:rPr>
              <w:t>is considered as managed by adequate measurements such as eligibility criteria (</w:t>
            </w:r>
            <w:r w:rsidR="00157683" w:rsidRPr="00D326F8">
              <w:rPr>
                <w:rFonts w:ascii="Arial" w:eastAsia="MS Mincho" w:hAnsi="Arial" w:cs="Arial"/>
                <w:sz w:val="18"/>
                <w:szCs w:val="18"/>
              </w:rPr>
              <w:t xml:space="preserve">Section </w:t>
            </w:r>
            <w:r w:rsidR="00157683" w:rsidRPr="00D326F8">
              <w:rPr>
                <w:rFonts w:ascii="Arial" w:eastAsia="MS Mincho" w:hAnsi="Arial" w:cs="Arial"/>
                <w:sz w:val="18"/>
                <w:szCs w:val="18"/>
              </w:rPr>
              <w:fldChar w:fldCharType="begin"/>
            </w:r>
            <w:r w:rsidR="00157683" w:rsidRPr="00D326F8">
              <w:rPr>
                <w:rFonts w:ascii="Arial" w:eastAsia="MS Mincho" w:hAnsi="Arial" w:cs="Arial"/>
                <w:sz w:val="18"/>
                <w:szCs w:val="18"/>
              </w:rPr>
              <w:instrText xml:space="preserve"> REF _Ref3989452 \n \h </w:instrText>
            </w:r>
            <w:r w:rsidR="00D326F8">
              <w:rPr>
                <w:rFonts w:ascii="Arial" w:eastAsia="MS Mincho" w:hAnsi="Arial" w:cs="Arial"/>
                <w:sz w:val="18"/>
                <w:szCs w:val="18"/>
              </w:rPr>
              <w:instrText xml:space="preserve"> \* MERGEFORMAT </w:instrText>
            </w:r>
            <w:r w:rsidR="00157683" w:rsidRPr="00D326F8">
              <w:rPr>
                <w:rFonts w:ascii="Arial" w:eastAsia="MS Mincho" w:hAnsi="Arial" w:cs="Arial"/>
                <w:sz w:val="18"/>
                <w:szCs w:val="18"/>
              </w:rPr>
            </w:r>
            <w:r w:rsidR="00157683" w:rsidRPr="00D326F8">
              <w:rPr>
                <w:rFonts w:ascii="Arial" w:eastAsia="MS Mincho" w:hAnsi="Arial" w:cs="Arial"/>
                <w:sz w:val="18"/>
                <w:szCs w:val="18"/>
              </w:rPr>
              <w:fldChar w:fldCharType="separate"/>
            </w:r>
            <w:r w:rsidR="00173A27">
              <w:rPr>
                <w:rFonts w:ascii="Arial" w:eastAsia="MS Mincho" w:hAnsi="Arial" w:cs="Arial"/>
                <w:sz w:val="18"/>
                <w:szCs w:val="18"/>
              </w:rPr>
              <w:t>5.1</w:t>
            </w:r>
            <w:r w:rsidR="00157683" w:rsidRPr="00D326F8">
              <w:rPr>
                <w:rFonts w:ascii="Arial" w:eastAsia="MS Mincho" w:hAnsi="Arial" w:cs="Arial"/>
                <w:sz w:val="18"/>
                <w:szCs w:val="18"/>
              </w:rPr>
              <w:fldChar w:fldCharType="end"/>
            </w:r>
            <w:r w:rsidR="00157683" w:rsidRPr="00D326F8">
              <w:rPr>
                <w:rFonts w:ascii="Arial" w:eastAsia="MS Mincho" w:hAnsi="Arial" w:cs="Arial"/>
                <w:sz w:val="18"/>
                <w:szCs w:val="18"/>
              </w:rPr>
              <w:t xml:space="preserve"> and </w:t>
            </w:r>
            <w:r w:rsidR="00157683" w:rsidRPr="00D326F8">
              <w:rPr>
                <w:rFonts w:ascii="Arial" w:eastAsia="MS Mincho" w:hAnsi="Arial" w:cs="Arial"/>
                <w:sz w:val="18"/>
                <w:szCs w:val="18"/>
              </w:rPr>
              <w:fldChar w:fldCharType="begin"/>
            </w:r>
            <w:r w:rsidR="00157683" w:rsidRPr="00D326F8">
              <w:rPr>
                <w:rFonts w:ascii="Arial" w:eastAsia="MS Mincho" w:hAnsi="Arial" w:cs="Arial"/>
                <w:sz w:val="18"/>
                <w:szCs w:val="18"/>
              </w:rPr>
              <w:instrText xml:space="preserve"> REF _Ref3989475 \n \h </w:instrText>
            </w:r>
            <w:r w:rsidR="00D326F8">
              <w:rPr>
                <w:rFonts w:ascii="Arial" w:eastAsia="MS Mincho" w:hAnsi="Arial" w:cs="Arial"/>
                <w:sz w:val="18"/>
                <w:szCs w:val="18"/>
              </w:rPr>
              <w:instrText xml:space="preserve"> \* MERGEFORMAT </w:instrText>
            </w:r>
            <w:r w:rsidR="00157683" w:rsidRPr="00D326F8">
              <w:rPr>
                <w:rFonts w:ascii="Arial" w:eastAsia="MS Mincho" w:hAnsi="Arial" w:cs="Arial"/>
                <w:sz w:val="18"/>
                <w:szCs w:val="18"/>
              </w:rPr>
            </w:r>
            <w:r w:rsidR="00157683" w:rsidRPr="00D326F8">
              <w:rPr>
                <w:rFonts w:ascii="Arial" w:eastAsia="MS Mincho" w:hAnsi="Arial" w:cs="Arial"/>
                <w:sz w:val="18"/>
                <w:szCs w:val="18"/>
              </w:rPr>
              <w:fldChar w:fldCharType="separate"/>
            </w:r>
            <w:r w:rsidR="00173A27">
              <w:rPr>
                <w:rFonts w:ascii="Arial" w:eastAsia="MS Mincho" w:hAnsi="Arial" w:cs="Arial"/>
                <w:sz w:val="18"/>
                <w:szCs w:val="18"/>
              </w:rPr>
              <w:t>5.2</w:t>
            </w:r>
            <w:r w:rsidR="00157683" w:rsidRPr="00D326F8">
              <w:rPr>
                <w:rFonts w:ascii="Arial" w:eastAsia="MS Mincho" w:hAnsi="Arial" w:cs="Arial"/>
                <w:sz w:val="18"/>
                <w:szCs w:val="18"/>
              </w:rPr>
              <w:fldChar w:fldCharType="end"/>
            </w:r>
            <w:r w:rsidR="00F25168" w:rsidRPr="00D326F8">
              <w:rPr>
                <w:rFonts w:ascii="Arial" w:eastAsia="MS Mincho" w:hAnsi="Arial" w:cs="Arial"/>
                <w:sz w:val="18"/>
                <w:szCs w:val="18"/>
              </w:rPr>
              <w:t xml:space="preserve">) and monitoring </w:t>
            </w:r>
            <w:r w:rsidR="00F25168" w:rsidRPr="00D326F8">
              <w:rPr>
                <w:rFonts w:ascii="Arial" w:eastAsia="MS Mincho" w:hAnsi="Arial" w:cs="Arial"/>
                <w:sz w:val="18"/>
              </w:rPr>
              <w:t>of</w:t>
            </w:r>
            <w:r w:rsidR="00F25168" w:rsidRPr="00D326F8">
              <w:rPr>
                <w:rFonts w:ascii="Arial" w:eastAsia="MS Mincho" w:hAnsi="Arial" w:cs="Arial"/>
                <w:sz w:val="18"/>
                <w:szCs w:val="18"/>
                <w:shd w:val="clear" w:color="auto" w:fill="CBEEF5"/>
              </w:rPr>
              <w:t xml:space="preserve"> </w:t>
            </w:r>
            <w:r w:rsidR="00F25168" w:rsidRPr="00D326F8">
              <w:rPr>
                <w:rFonts w:ascii="Arial" w:eastAsia="MS Mincho" w:hAnsi="Arial" w:cs="Arial"/>
                <w:sz w:val="18"/>
              </w:rPr>
              <w:t>albumin by routine lab</w:t>
            </w:r>
            <w:r w:rsidR="00AF50D7" w:rsidRPr="00D326F8">
              <w:rPr>
                <w:rFonts w:ascii="Arial" w:eastAsia="MS Mincho" w:hAnsi="Arial" w:cs="Arial"/>
                <w:sz w:val="18"/>
              </w:rPr>
              <w:t>oratory testing</w:t>
            </w:r>
            <w:r w:rsidR="00F25168" w:rsidRPr="00D326F8">
              <w:rPr>
                <w:rFonts w:ascii="Arial" w:eastAsia="MS Mincho" w:hAnsi="Arial" w:cs="Arial"/>
                <w:sz w:val="18"/>
              </w:rPr>
              <w:t xml:space="preserve"> (</w:t>
            </w:r>
            <w:r w:rsidR="00157683" w:rsidRPr="00D326F8">
              <w:rPr>
                <w:rFonts w:ascii="Arial" w:eastAsia="MS Mincho" w:hAnsi="Arial" w:cs="Arial"/>
                <w:sz w:val="18"/>
              </w:rPr>
              <w:t xml:space="preserve">Section </w:t>
            </w:r>
            <w:r w:rsidR="00157683" w:rsidRPr="00D326F8">
              <w:rPr>
                <w:rFonts w:ascii="Arial" w:eastAsia="MS Mincho" w:hAnsi="Arial" w:cs="Arial"/>
                <w:sz w:val="18"/>
              </w:rPr>
              <w:fldChar w:fldCharType="begin"/>
            </w:r>
            <w:r w:rsidR="00157683" w:rsidRPr="00D326F8">
              <w:rPr>
                <w:rFonts w:ascii="Arial" w:eastAsia="MS Mincho" w:hAnsi="Arial" w:cs="Arial"/>
                <w:sz w:val="18"/>
              </w:rPr>
              <w:instrText xml:space="preserve"> REF _Ref74915525 \n \h </w:instrText>
            </w:r>
            <w:r w:rsidR="00D326F8">
              <w:rPr>
                <w:rFonts w:ascii="Arial" w:eastAsia="MS Mincho" w:hAnsi="Arial" w:cs="Arial"/>
                <w:sz w:val="18"/>
              </w:rPr>
              <w:instrText xml:space="preserve"> \* MERGEFORMAT </w:instrText>
            </w:r>
            <w:r w:rsidR="00157683" w:rsidRPr="00D326F8">
              <w:rPr>
                <w:rFonts w:ascii="Arial" w:eastAsia="MS Mincho" w:hAnsi="Arial" w:cs="Arial"/>
                <w:sz w:val="18"/>
              </w:rPr>
            </w:r>
            <w:r w:rsidR="00157683" w:rsidRPr="00D326F8">
              <w:rPr>
                <w:rFonts w:ascii="Arial" w:eastAsia="MS Mincho" w:hAnsi="Arial" w:cs="Arial"/>
                <w:sz w:val="18"/>
              </w:rPr>
              <w:fldChar w:fldCharType="separate"/>
            </w:r>
            <w:r w:rsidR="00173A27">
              <w:rPr>
                <w:rFonts w:ascii="Arial" w:eastAsia="MS Mincho" w:hAnsi="Arial" w:cs="Arial"/>
                <w:sz w:val="18"/>
              </w:rPr>
              <w:t>8.2.4</w:t>
            </w:r>
            <w:r w:rsidR="00157683" w:rsidRPr="00D326F8">
              <w:rPr>
                <w:rFonts w:ascii="Arial" w:eastAsia="MS Mincho" w:hAnsi="Arial" w:cs="Arial"/>
                <w:sz w:val="18"/>
              </w:rPr>
              <w:fldChar w:fldCharType="end"/>
            </w:r>
            <w:r w:rsidR="00F25168" w:rsidRPr="00D326F8">
              <w:rPr>
                <w:rFonts w:ascii="Arial" w:eastAsia="MS Mincho" w:hAnsi="Arial" w:cs="Arial"/>
                <w:sz w:val="18"/>
              </w:rPr>
              <w:t xml:space="preserve"> and </w:t>
            </w:r>
            <w:hyperlink w:anchor="_Appendix_5_Clinical" w:history="1">
              <w:r w:rsidR="003A5C57" w:rsidRPr="00D326F8">
                <w:rPr>
                  <w:rStyle w:val="Hyperlink"/>
                  <w:rFonts w:ascii="Arial" w:eastAsia="MS Mincho" w:hAnsi="Arial" w:cs="Arial"/>
                  <w:color w:val="auto"/>
                  <w:sz w:val="18"/>
                </w:rPr>
                <w:t>Appendix 5</w:t>
              </w:r>
            </w:hyperlink>
            <w:r w:rsidR="00F25168" w:rsidRPr="00D326F8">
              <w:rPr>
                <w:rFonts w:ascii="Arial" w:eastAsia="MS Mincho" w:hAnsi="Arial" w:cs="Arial"/>
                <w:sz w:val="18"/>
              </w:rPr>
              <w:t>).</w:t>
            </w:r>
          </w:p>
        </w:tc>
      </w:tr>
      <w:tr w:rsidR="003B74AE" w:rsidRPr="00D326F8" w14:paraId="601A7F51"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4D"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 xml:space="preserve">Clinical identified risk: amylase and lipase </w:t>
            </w:r>
          </w:p>
        </w:tc>
        <w:tc>
          <w:tcPr>
            <w:tcW w:w="1603" w:type="pct"/>
            <w:tcBorders>
              <w:top w:val="single" w:sz="4" w:space="0" w:color="auto"/>
              <w:left w:val="single" w:sz="4" w:space="0" w:color="auto"/>
              <w:bottom w:val="single" w:sz="4" w:space="0" w:color="auto"/>
              <w:right w:val="single" w:sz="4" w:space="0" w:color="auto"/>
            </w:tcBorders>
            <w:hideMark/>
          </w:tcPr>
          <w:p w14:paraId="601A7F4E"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Increases were generally asymptomatic and not associated with pancreatitis.</w:t>
            </w:r>
          </w:p>
          <w:p w14:paraId="601A7F4F" w14:textId="0AF95855"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For more information refer to IB </w:t>
            </w:r>
            <w:r w:rsidR="00AF50D7" w:rsidRPr="00D326F8">
              <w:rPr>
                <w:rFonts w:ascii="Arial" w:eastAsia="MS Mincho" w:hAnsi="Arial" w:cs="Arial"/>
                <w:sz w:val="18"/>
              </w:rPr>
              <w:t>(current version)</w:t>
            </w:r>
            <w:r w:rsidRPr="00D326F8">
              <w:rPr>
                <w:rFonts w:ascii="Arial" w:eastAsia="MS Mincho" w:hAnsi="Arial" w:cs="Arial"/>
                <w:sz w:val="18"/>
              </w:rPr>
              <w:t xml:space="preserve"> Section</w:t>
            </w:r>
            <w:r w:rsidR="00AF50D7" w:rsidRPr="00D326F8">
              <w:rPr>
                <w:rFonts w:ascii="Arial" w:eastAsia="MS Mincho" w:hAnsi="Arial" w:cs="Arial"/>
                <w:sz w:val="18"/>
              </w:rPr>
              <w:t> </w:t>
            </w:r>
            <w:r w:rsidRPr="00D326F8">
              <w:rPr>
                <w:rFonts w:ascii="Arial" w:eastAsia="MS Mincho" w:hAnsi="Arial" w:cs="Arial"/>
                <w:sz w:val="18"/>
              </w:rPr>
              <w:t>5.3, 6.1.2 and 6.1.3.2</w:t>
            </w:r>
            <w:r w:rsidR="006F692F" w:rsidRPr="00D326F8">
              <w:rPr>
                <w:rFonts w:ascii="Arial" w:eastAsia="MS Mincho" w:hAnsi="Arial" w:cs="Arial"/>
                <w:sz w:val="18"/>
              </w:rPr>
              <w:t>.</w:t>
            </w:r>
          </w:p>
        </w:tc>
        <w:tc>
          <w:tcPr>
            <w:tcW w:w="2088" w:type="pct"/>
            <w:tcBorders>
              <w:top w:val="single" w:sz="4" w:space="0" w:color="auto"/>
              <w:left w:val="single" w:sz="4" w:space="0" w:color="auto"/>
              <w:bottom w:val="single" w:sz="4" w:space="0" w:color="auto"/>
              <w:right w:val="single" w:sz="4" w:space="0" w:color="auto"/>
            </w:tcBorders>
            <w:hideMark/>
          </w:tcPr>
          <w:p w14:paraId="601A7F50" w14:textId="00240FE1"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szCs w:val="18"/>
              </w:rPr>
              <w:t>The risk is considered as managed by adequate measurements such as eligibility criteria (</w:t>
            </w:r>
            <w:r w:rsidR="00157683" w:rsidRPr="00D326F8">
              <w:rPr>
                <w:rFonts w:ascii="Arial" w:eastAsia="MS Mincho" w:hAnsi="Arial" w:cs="Arial"/>
                <w:sz w:val="18"/>
                <w:szCs w:val="18"/>
              </w:rPr>
              <w:t xml:space="preserve">Section </w:t>
            </w:r>
            <w:r w:rsidR="00157683" w:rsidRPr="00D326F8">
              <w:rPr>
                <w:rFonts w:ascii="Arial" w:eastAsia="MS Mincho" w:hAnsi="Arial" w:cs="Arial"/>
                <w:sz w:val="18"/>
                <w:szCs w:val="18"/>
              </w:rPr>
              <w:fldChar w:fldCharType="begin"/>
            </w:r>
            <w:r w:rsidR="00157683" w:rsidRPr="00D326F8">
              <w:rPr>
                <w:rFonts w:ascii="Arial" w:eastAsia="MS Mincho" w:hAnsi="Arial" w:cs="Arial"/>
                <w:sz w:val="18"/>
                <w:szCs w:val="18"/>
              </w:rPr>
              <w:instrText xml:space="preserve"> REF _Ref3989452 \n \h </w:instrText>
            </w:r>
            <w:r w:rsidR="00D326F8">
              <w:rPr>
                <w:rFonts w:ascii="Arial" w:eastAsia="MS Mincho" w:hAnsi="Arial" w:cs="Arial"/>
                <w:sz w:val="18"/>
                <w:szCs w:val="18"/>
              </w:rPr>
              <w:instrText xml:space="preserve"> \* MERGEFORMAT </w:instrText>
            </w:r>
            <w:r w:rsidR="00157683" w:rsidRPr="00D326F8">
              <w:rPr>
                <w:rFonts w:ascii="Arial" w:eastAsia="MS Mincho" w:hAnsi="Arial" w:cs="Arial"/>
                <w:sz w:val="18"/>
                <w:szCs w:val="18"/>
              </w:rPr>
            </w:r>
            <w:r w:rsidR="00157683" w:rsidRPr="00D326F8">
              <w:rPr>
                <w:rFonts w:ascii="Arial" w:eastAsia="MS Mincho" w:hAnsi="Arial" w:cs="Arial"/>
                <w:sz w:val="18"/>
                <w:szCs w:val="18"/>
              </w:rPr>
              <w:fldChar w:fldCharType="separate"/>
            </w:r>
            <w:r w:rsidR="00173A27">
              <w:rPr>
                <w:rFonts w:ascii="Arial" w:eastAsia="MS Mincho" w:hAnsi="Arial" w:cs="Arial"/>
                <w:sz w:val="18"/>
                <w:szCs w:val="18"/>
              </w:rPr>
              <w:t>5.1</w:t>
            </w:r>
            <w:r w:rsidR="00157683" w:rsidRPr="00D326F8">
              <w:rPr>
                <w:rFonts w:ascii="Arial" w:eastAsia="MS Mincho" w:hAnsi="Arial" w:cs="Arial"/>
                <w:sz w:val="18"/>
                <w:szCs w:val="18"/>
              </w:rPr>
              <w:fldChar w:fldCharType="end"/>
            </w:r>
            <w:r w:rsidR="00157683" w:rsidRPr="00D326F8">
              <w:rPr>
                <w:rFonts w:ascii="Arial" w:eastAsia="MS Mincho" w:hAnsi="Arial" w:cs="Arial"/>
                <w:sz w:val="18"/>
                <w:szCs w:val="18"/>
              </w:rPr>
              <w:t xml:space="preserve"> and </w:t>
            </w:r>
            <w:r w:rsidR="00157683" w:rsidRPr="00D326F8">
              <w:rPr>
                <w:rFonts w:ascii="Arial" w:eastAsia="MS Mincho" w:hAnsi="Arial" w:cs="Arial"/>
                <w:sz w:val="18"/>
                <w:szCs w:val="18"/>
              </w:rPr>
              <w:fldChar w:fldCharType="begin"/>
            </w:r>
            <w:r w:rsidR="00157683" w:rsidRPr="00D326F8">
              <w:rPr>
                <w:rFonts w:ascii="Arial" w:eastAsia="MS Mincho" w:hAnsi="Arial" w:cs="Arial"/>
                <w:sz w:val="18"/>
                <w:szCs w:val="18"/>
              </w:rPr>
              <w:instrText xml:space="preserve"> REF _Ref3989475 \n \h </w:instrText>
            </w:r>
            <w:r w:rsidR="00D326F8">
              <w:rPr>
                <w:rFonts w:ascii="Arial" w:eastAsia="MS Mincho" w:hAnsi="Arial" w:cs="Arial"/>
                <w:sz w:val="18"/>
                <w:szCs w:val="18"/>
              </w:rPr>
              <w:instrText xml:space="preserve"> \* MERGEFORMAT </w:instrText>
            </w:r>
            <w:r w:rsidR="00157683" w:rsidRPr="00D326F8">
              <w:rPr>
                <w:rFonts w:ascii="Arial" w:eastAsia="MS Mincho" w:hAnsi="Arial" w:cs="Arial"/>
                <w:sz w:val="18"/>
                <w:szCs w:val="18"/>
              </w:rPr>
            </w:r>
            <w:r w:rsidR="00157683" w:rsidRPr="00D326F8">
              <w:rPr>
                <w:rFonts w:ascii="Arial" w:eastAsia="MS Mincho" w:hAnsi="Arial" w:cs="Arial"/>
                <w:sz w:val="18"/>
                <w:szCs w:val="18"/>
              </w:rPr>
              <w:fldChar w:fldCharType="separate"/>
            </w:r>
            <w:r w:rsidR="00173A27">
              <w:rPr>
                <w:rFonts w:ascii="Arial" w:eastAsia="MS Mincho" w:hAnsi="Arial" w:cs="Arial"/>
                <w:sz w:val="18"/>
                <w:szCs w:val="18"/>
              </w:rPr>
              <w:t>5.2</w:t>
            </w:r>
            <w:r w:rsidR="00157683" w:rsidRPr="00D326F8">
              <w:rPr>
                <w:rFonts w:ascii="Arial" w:eastAsia="MS Mincho" w:hAnsi="Arial" w:cs="Arial"/>
                <w:sz w:val="18"/>
                <w:szCs w:val="18"/>
              </w:rPr>
              <w:fldChar w:fldCharType="end"/>
            </w:r>
            <w:r w:rsidRPr="00D326F8">
              <w:rPr>
                <w:rFonts w:ascii="Arial" w:eastAsia="MS Mincho" w:hAnsi="Arial" w:cs="Arial"/>
                <w:sz w:val="18"/>
                <w:szCs w:val="18"/>
              </w:rPr>
              <w:t xml:space="preserve">) and </w:t>
            </w:r>
            <w:r w:rsidRPr="00D326F8">
              <w:rPr>
                <w:rFonts w:ascii="Arial" w:eastAsia="MS Mincho" w:hAnsi="Arial" w:cs="Arial"/>
                <w:sz w:val="18"/>
              </w:rPr>
              <w:t>monitoring of amylase and lipase by routine lab</w:t>
            </w:r>
            <w:r w:rsidR="00AF50D7" w:rsidRPr="00D326F8">
              <w:rPr>
                <w:rFonts w:ascii="Arial" w:eastAsia="MS Mincho" w:hAnsi="Arial" w:cs="Arial"/>
                <w:sz w:val="18"/>
              </w:rPr>
              <w:t>oratory testing</w:t>
            </w:r>
            <w:r w:rsidRPr="00D326F8">
              <w:rPr>
                <w:rFonts w:ascii="Arial" w:eastAsia="MS Mincho" w:hAnsi="Arial" w:cs="Arial"/>
                <w:sz w:val="18"/>
              </w:rPr>
              <w:t xml:space="preserve"> (</w:t>
            </w:r>
            <w:r w:rsidR="00157683" w:rsidRPr="00D326F8">
              <w:rPr>
                <w:rFonts w:ascii="Arial" w:eastAsia="MS Mincho" w:hAnsi="Arial" w:cs="Arial"/>
                <w:sz w:val="18"/>
              </w:rPr>
              <w:t xml:space="preserve">Section </w:t>
            </w:r>
            <w:r w:rsidR="00157683" w:rsidRPr="00D326F8">
              <w:rPr>
                <w:rFonts w:ascii="Arial" w:eastAsia="MS Mincho" w:hAnsi="Arial" w:cs="Arial"/>
                <w:sz w:val="18"/>
              </w:rPr>
              <w:fldChar w:fldCharType="begin"/>
            </w:r>
            <w:r w:rsidR="00157683" w:rsidRPr="00D326F8">
              <w:rPr>
                <w:rFonts w:ascii="Arial" w:eastAsia="MS Mincho" w:hAnsi="Arial" w:cs="Arial"/>
                <w:sz w:val="18"/>
              </w:rPr>
              <w:instrText xml:space="preserve"> REF _Ref74915525 \n \h </w:instrText>
            </w:r>
            <w:r w:rsidR="00D326F8">
              <w:rPr>
                <w:rFonts w:ascii="Arial" w:eastAsia="MS Mincho" w:hAnsi="Arial" w:cs="Arial"/>
                <w:sz w:val="18"/>
              </w:rPr>
              <w:instrText xml:space="preserve"> \* MERGEFORMAT </w:instrText>
            </w:r>
            <w:r w:rsidR="00157683" w:rsidRPr="00D326F8">
              <w:rPr>
                <w:rFonts w:ascii="Arial" w:eastAsia="MS Mincho" w:hAnsi="Arial" w:cs="Arial"/>
                <w:sz w:val="18"/>
              </w:rPr>
            </w:r>
            <w:r w:rsidR="00157683" w:rsidRPr="00D326F8">
              <w:rPr>
                <w:rFonts w:ascii="Arial" w:eastAsia="MS Mincho" w:hAnsi="Arial" w:cs="Arial"/>
                <w:sz w:val="18"/>
              </w:rPr>
              <w:fldChar w:fldCharType="separate"/>
            </w:r>
            <w:r w:rsidR="00173A27">
              <w:rPr>
                <w:rFonts w:ascii="Arial" w:eastAsia="MS Mincho" w:hAnsi="Arial" w:cs="Arial"/>
                <w:sz w:val="18"/>
              </w:rPr>
              <w:t>8.2.4</w:t>
            </w:r>
            <w:r w:rsidR="00157683" w:rsidRPr="00D326F8">
              <w:rPr>
                <w:rFonts w:ascii="Arial" w:eastAsia="MS Mincho" w:hAnsi="Arial" w:cs="Arial"/>
                <w:sz w:val="18"/>
              </w:rPr>
              <w:fldChar w:fldCharType="end"/>
            </w:r>
            <w:r w:rsidRPr="00D326F8">
              <w:rPr>
                <w:rFonts w:ascii="Arial" w:eastAsia="MS Mincho" w:hAnsi="Arial" w:cs="Arial"/>
                <w:sz w:val="18"/>
              </w:rPr>
              <w:t xml:space="preserve"> and </w:t>
            </w:r>
            <w:hyperlink w:anchor="_Appendix_5_Clinical" w:history="1">
              <w:r w:rsidR="003A5C57" w:rsidRPr="00D326F8">
                <w:rPr>
                  <w:rStyle w:val="Hyperlink"/>
                  <w:rFonts w:ascii="Arial" w:eastAsia="MS Mincho" w:hAnsi="Arial" w:cs="Arial"/>
                  <w:color w:val="auto"/>
                  <w:sz w:val="18"/>
                </w:rPr>
                <w:t>Appendix 5</w:t>
              </w:r>
            </w:hyperlink>
            <w:r w:rsidRPr="00D326F8">
              <w:rPr>
                <w:rFonts w:ascii="Arial" w:eastAsia="MS Mincho" w:hAnsi="Arial" w:cs="Arial"/>
                <w:sz w:val="18"/>
              </w:rPr>
              <w:t>).</w:t>
            </w:r>
          </w:p>
        </w:tc>
      </w:tr>
      <w:tr w:rsidR="003B74AE" w:rsidRPr="00D326F8" w14:paraId="601A7F56"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52"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Clinical identified risk: ALT and AST increased</w:t>
            </w:r>
            <w:r w:rsidRPr="00D326F8">
              <w:rPr>
                <w:rFonts w:ascii="Arial" w:eastAsia="MS Mincho" w:hAnsi="Arial" w:cs="Arial"/>
                <w:sz w:val="18"/>
              </w:rPr>
              <w:br/>
              <w:t>Potential clinical risk: severe hepatotoxicity</w:t>
            </w:r>
          </w:p>
        </w:tc>
        <w:tc>
          <w:tcPr>
            <w:tcW w:w="1603" w:type="pct"/>
            <w:tcBorders>
              <w:top w:val="single" w:sz="4" w:space="0" w:color="auto"/>
              <w:left w:val="single" w:sz="4" w:space="0" w:color="auto"/>
              <w:bottom w:val="single" w:sz="4" w:space="0" w:color="auto"/>
              <w:right w:val="single" w:sz="4" w:space="0" w:color="auto"/>
            </w:tcBorders>
            <w:hideMark/>
          </w:tcPr>
          <w:p w14:paraId="601A7F53"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The hepatobiliary system was identified as target organ of toxicity in toxicology studies.</w:t>
            </w:r>
          </w:p>
          <w:p w14:paraId="601A7F54" w14:textId="18905BE2"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For more information refer to IB </w:t>
            </w:r>
            <w:r w:rsidR="00AF50D7" w:rsidRPr="00D326F8">
              <w:rPr>
                <w:rFonts w:ascii="Arial" w:eastAsia="MS Mincho" w:hAnsi="Arial" w:cs="Arial"/>
                <w:sz w:val="18"/>
              </w:rPr>
              <w:t xml:space="preserve">(current version) </w:t>
            </w:r>
            <w:r w:rsidRPr="00D326F8">
              <w:rPr>
                <w:rFonts w:ascii="Arial" w:eastAsia="MS Mincho" w:hAnsi="Arial" w:cs="Arial"/>
                <w:sz w:val="18"/>
              </w:rPr>
              <w:t>Section</w:t>
            </w:r>
            <w:r w:rsidR="00AF50D7" w:rsidRPr="00D326F8">
              <w:rPr>
                <w:rFonts w:ascii="Arial" w:eastAsia="MS Mincho" w:hAnsi="Arial" w:cs="Arial"/>
                <w:sz w:val="18"/>
              </w:rPr>
              <w:t> </w:t>
            </w:r>
            <w:r w:rsidRPr="00D326F8">
              <w:rPr>
                <w:rFonts w:ascii="Arial" w:eastAsia="MS Mincho" w:hAnsi="Arial" w:cs="Arial"/>
                <w:sz w:val="18"/>
              </w:rPr>
              <w:t>4.3, 5.3, 6.1.2 and 6.1.3.2</w:t>
            </w:r>
            <w:r w:rsidR="006F692F" w:rsidRPr="00D326F8">
              <w:rPr>
                <w:rFonts w:ascii="Arial" w:eastAsia="MS Mincho" w:hAnsi="Arial" w:cs="Arial"/>
                <w:sz w:val="18"/>
              </w:rPr>
              <w:t>.</w:t>
            </w:r>
          </w:p>
        </w:tc>
        <w:tc>
          <w:tcPr>
            <w:tcW w:w="2088" w:type="pct"/>
            <w:tcBorders>
              <w:top w:val="single" w:sz="4" w:space="0" w:color="auto"/>
              <w:left w:val="single" w:sz="4" w:space="0" w:color="auto"/>
              <w:bottom w:val="single" w:sz="4" w:space="0" w:color="auto"/>
              <w:right w:val="single" w:sz="4" w:space="0" w:color="auto"/>
            </w:tcBorders>
            <w:hideMark/>
          </w:tcPr>
          <w:p w14:paraId="601A7F55" w14:textId="367D8CC3"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szCs w:val="18"/>
              </w:rPr>
              <w:t>The risk is considered as managed by adequate measurements such as eligibility criteria (</w:t>
            </w:r>
            <w:r w:rsidR="00157683" w:rsidRPr="00D326F8">
              <w:rPr>
                <w:rFonts w:ascii="Arial" w:eastAsia="MS Mincho" w:hAnsi="Arial" w:cs="Arial"/>
                <w:sz w:val="18"/>
                <w:szCs w:val="18"/>
              </w:rPr>
              <w:t>Section</w:t>
            </w:r>
            <w:r w:rsidR="00413E7F" w:rsidRPr="00D326F8">
              <w:rPr>
                <w:rFonts w:ascii="Arial" w:eastAsia="MS Mincho" w:hAnsi="Arial" w:cs="Arial"/>
                <w:sz w:val="18"/>
                <w:szCs w:val="18"/>
              </w:rPr>
              <w:t> </w:t>
            </w:r>
            <w:r w:rsidR="00157683" w:rsidRPr="00D326F8">
              <w:rPr>
                <w:rFonts w:ascii="Arial" w:eastAsia="MS Mincho" w:hAnsi="Arial" w:cs="Arial"/>
                <w:sz w:val="18"/>
                <w:szCs w:val="18"/>
              </w:rPr>
              <w:fldChar w:fldCharType="begin"/>
            </w:r>
            <w:r w:rsidR="00157683" w:rsidRPr="00D326F8">
              <w:rPr>
                <w:rFonts w:ascii="Arial" w:eastAsia="MS Mincho" w:hAnsi="Arial" w:cs="Arial"/>
                <w:sz w:val="18"/>
                <w:szCs w:val="18"/>
              </w:rPr>
              <w:instrText xml:space="preserve"> REF _Ref3989452 \n \h </w:instrText>
            </w:r>
            <w:r w:rsidR="00D326F8">
              <w:rPr>
                <w:rFonts w:ascii="Arial" w:eastAsia="MS Mincho" w:hAnsi="Arial" w:cs="Arial"/>
                <w:sz w:val="18"/>
                <w:szCs w:val="18"/>
              </w:rPr>
              <w:instrText xml:space="preserve"> \* MERGEFORMAT </w:instrText>
            </w:r>
            <w:r w:rsidR="00157683" w:rsidRPr="00D326F8">
              <w:rPr>
                <w:rFonts w:ascii="Arial" w:eastAsia="MS Mincho" w:hAnsi="Arial" w:cs="Arial"/>
                <w:sz w:val="18"/>
                <w:szCs w:val="18"/>
              </w:rPr>
            </w:r>
            <w:r w:rsidR="00157683" w:rsidRPr="00D326F8">
              <w:rPr>
                <w:rFonts w:ascii="Arial" w:eastAsia="MS Mincho" w:hAnsi="Arial" w:cs="Arial"/>
                <w:sz w:val="18"/>
                <w:szCs w:val="18"/>
              </w:rPr>
              <w:fldChar w:fldCharType="separate"/>
            </w:r>
            <w:r w:rsidR="00173A27">
              <w:rPr>
                <w:rFonts w:ascii="Arial" w:eastAsia="MS Mincho" w:hAnsi="Arial" w:cs="Arial"/>
                <w:sz w:val="18"/>
                <w:szCs w:val="18"/>
              </w:rPr>
              <w:t>5.1</w:t>
            </w:r>
            <w:r w:rsidR="00157683" w:rsidRPr="00D326F8">
              <w:rPr>
                <w:rFonts w:ascii="Arial" w:eastAsia="MS Mincho" w:hAnsi="Arial" w:cs="Arial"/>
                <w:sz w:val="18"/>
                <w:szCs w:val="18"/>
              </w:rPr>
              <w:fldChar w:fldCharType="end"/>
            </w:r>
            <w:r w:rsidR="00157683" w:rsidRPr="00D326F8">
              <w:rPr>
                <w:rFonts w:ascii="Arial" w:eastAsia="MS Mincho" w:hAnsi="Arial" w:cs="Arial"/>
                <w:sz w:val="18"/>
                <w:szCs w:val="18"/>
              </w:rPr>
              <w:t xml:space="preserve"> and </w:t>
            </w:r>
            <w:r w:rsidR="00157683" w:rsidRPr="00D326F8">
              <w:rPr>
                <w:rFonts w:ascii="Arial" w:eastAsia="MS Mincho" w:hAnsi="Arial" w:cs="Arial"/>
                <w:sz w:val="18"/>
                <w:szCs w:val="18"/>
              </w:rPr>
              <w:fldChar w:fldCharType="begin"/>
            </w:r>
            <w:r w:rsidR="00157683" w:rsidRPr="00D326F8">
              <w:rPr>
                <w:rFonts w:ascii="Arial" w:eastAsia="MS Mincho" w:hAnsi="Arial" w:cs="Arial"/>
                <w:sz w:val="18"/>
                <w:szCs w:val="18"/>
              </w:rPr>
              <w:instrText xml:space="preserve"> REF _Ref3989475 \n \h </w:instrText>
            </w:r>
            <w:r w:rsidR="00D326F8">
              <w:rPr>
                <w:rFonts w:ascii="Arial" w:eastAsia="MS Mincho" w:hAnsi="Arial" w:cs="Arial"/>
                <w:sz w:val="18"/>
                <w:szCs w:val="18"/>
              </w:rPr>
              <w:instrText xml:space="preserve"> \* MERGEFORMAT </w:instrText>
            </w:r>
            <w:r w:rsidR="00157683" w:rsidRPr="00D326F8">
              <w:rPr>
                <w:rFonts w:ascii="Arial" w:eastAsia="MS Mincho" w:hAnsi="Arial" w:cs="Arial"/>
                <w:sz w:val="18"/>
                <w:szCs w:val="18"/>
              </w:rPr>
            </w:r>
            <w:r w:rsidR="00157683" w:rsidRPr="00D326F8">
              <w:rPr>
                <w:rFonts w:ascii="Arial" w:eastAsia="MS Mincho" w:hAnsi="Arial" w:cs="Arial"/>
                <w:sz w:val="18"/>
                <w:szCs w:val="18"/>
              </w:rPr>
              <w:fldChar w:fldCharType="separate"/>
            </w:r>
            <w:r w:rsidR="00173A27">
              <w:rPr>
                <w:rFonts w:ascii="Arial" w:eastAsia="MS Mincho" w:hAnsi="Arial" w:cs="Arial"/>
                <w:sz w:val="18"/>
                <w:szCs w:val="18"/>
              </w:rPr>
              <w:t>5.2</w:t>
            </w:r>
            <w:r w:rsidR="00157683" w:rsidRPr="00D326F8">
              <w:rPr>
                <w:rFonts w:ascii="Arial" w:eastAsia="MS Mincho" w:hAnsi="Arial" w:cs="Arial"/>
                <w:sz w:val="18"/>
                <w:szCs w:val="18"/>
              </w:rPr>
              <w:fldChar w:fldCharType="end"/>
            </w:r>
            <w:r w:rsidRPr="00D326F8">
              <w:rPr>
                <w:rFonts w:ascii="Arial" w:eastAsia="MS Mincho" w:hAnsi="Arial" w:cs="Arial"/>
                <w:sz w:val="18"/>
                <w:szCs w:val="18"/>
              </w:rPr>
              <w:t xml:space="preserve">) and monitoring </w:t>
            </w:r>
            <w:r w:rsidRPr="00D326F8">
              <w:rPr>
                <w:rFonts w:ascii="Arial" w:eastAsia="MS Mincho" w:hAnsi="Arial" w:cs="Arial"/>
                <w:sz w:val="18"/>
              </w:rPr>
              <w:t>of ALT and AST by routine lab</w:t>
            </w:r>
            <w:r w:rsidR="00AF50D7" w:rsidRPr="00D326F8">
              <w:rPr>
                <w:rFonts w:ascii="Arial" w:eastAsia="MS Mincho" w:hAnsi="Arial" w:cs="Arial"/>
                <w:sz w:val="18"/>
              </w:rPr>
              <w:t>oratory testing</w:t>
            </w:r>
            <w:r w:rsidRPr="00D326F8">
              <w:rPr>
                <w:rFonts w:ascii="Arial" w:eastAsia="MS Mincho" w:hAnsi="Arial" w:cs="Arial"/>
                <w:sz w:val="18"/>
              </w:rPr>
              <w:t xml:space="preserve"> (</w:t>
            </w:r>
            <w:r w:rsidR="00157683" w:rsidRPr="00D326F8">
              <w:rPr>
                <w:rFonts w:ascii="Arial" w:eastAsia="MS Mincho" w:hAnsi="Arial" w:cs="Arial"/>
                <w:sz w:val="18"/>
              </w:rPr>
              <w:t>Section</w:t>
            </w:r>
            <w:r w:rsidR="00413E7F" w:rsidRPr="00D326F8">
              <w:rPr>
                <w:rFonts w:ascii="Arial" w:eastAsia="MS Mincho" w:hAnsi="Arial" w:cs="Arial"/>
                <w:sz w:val="18"/>
              </w:rPr>
              <w:t> </w:t>
            </w:r>
            <w:r w:rsidR="00157683" w:rsidRPr="00D326F8">
              <w:rPr>
                <w:rFonts w:ascii="Arial" w:eastAsia="MS Mincho" w:hAnsi="Arial" w:cs="Arial"/>
                <w:sz w:val="18"/>
              </w:rPr>
              <w:fldChar w:fldCharType="begin"/>
            </w:r>
            <w:r w:rsidR="00157683" w:rsidRPr="00D326F8">
              <w:rPr>
                <w:rFonts w:ascii="Arial" w:eastAsia="MS Mincho" w:hAnsi="Arial" w:cs="Arial"/>
                <w:sz w:val="18"/>
              </w:rPr>
              <w:instrText xml:space="preserve"> REF _Ref74915525 \n \h </w:instrText>
            </w:r>
            <w:r w:rsidR="00D326F8">
              <w:rPr>
                <w:rFonts w:ascii="Arial" w:eastAsia="MS Mincho" w:hAnsi="Arial" w:cs="Arial"/>
                <w:sz w:val="18"/>
              </w:rPr>
              <w:instrText xml:space="preserve"> \* MERGEFORMAT </w:instrText>
            </w:r>
            <w:r w:rsidR="00157683" w:rsidRPr="00D326F8">
              <w:rPr>
                <w:rFonts w:ascii="Arial" w:eastAsia="MS Mincho" w:hAnsi="Arial" w:cs="Arial"/>
                <w:sz w:val="18"/>
              </w:rPr>
            </w:r>
            <w:r w:rsidR="00157683" w:rsidRPr="00D326F8">
              <w:rPr>
                <w:rFonts w:ascii="Arial" w:eastAsia="MS Mincho" w:hAnsi="Arial" w:cs="Arial"/>
                <w:sz w:val="18"/>
              </w:rPr>
              <w:fldChar w:fldCharType="separate"/>
            </w:r>
            <w:r w:rsidR="00173A27">
              <w:rPr>
                <w:rFonts w:ascii="Arial" w:eastAsia="MS Mincho" w:hAnsi="Arial" w:cs="Arial"/>
                <w:sz w:val="18"/>
              </w:rPr>
              <w:t>8.2.4</w:t>
            </w:r>
            <w:r w:rsidR="00157683" w:rsidRPr="00D326F8">
              <w:rPr>
                <w:rFonts w:ascii="Arial" w:eastAsia="MS Mincho" w:hAnsi="Arial" w:cs="Arial"/>
                <w:sz w:val="18"/>
              </w:rPr>
              <w:fldChar w:fldCharType="end"/>
            </w:r>
            <w:r w:rsidRPr="00D326F8">
              <w:rPr>
                <w:rFonts w:ascii="Arial" w:eastAsia="MS Mincho" w:hAnsi="Arial" w:cs="Arial"/>
                <w:sz w:val="18"/>
              </w:rPr>
              <w:t xml:space="preserve"> and </w:t>
            </w:r>
            <w:hyperlink w:anchor="_Appendix_5_Clinical" w:history="1">
              <w:r w:rsidR="003A5C57" w:rsidRPr="00D326F8">
                <w:rPr>
                  <w:rStyle w:val="Hyperlink"/>
                  <w:rFonts w:ascii="Arial" w:eastAsia="MS Mincho" w:hAnsi="Arial" w:cs="Arial"/>
                  <w:color w:val="auto"/>
                  <w:sz w:val="18"/>
                </w:rPr>
                <w:t>Appendix 5</w:t>
              </w:r>
            </w:hyperlink>
            <w:r w:rsidRPr="00D326F8">
              <w:rPr>
                <w:rFonts w:ascii="Arial" w:eastAsia="MS Mincho" w:hAnsi="Arial" w:cs="Arial"/>
                <w:sz w:val="18"/>
              </w:rPr>
              <w:t>).</w:t>
            </w:r>
          </w:p>
        </w:tc>
      </w:tr>
      <w:tr w:rsidR="003B74AE" w:rsidRPr="00D326F8" w14:paraId="601A7F5B"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57"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Clinical identified risks of gastrointestinal toxicity</w:t>
            </w:r>
          </w:p>
        </w:tc>
        <w:tc>
          <w:tcPr>
            <w:tcW w:w="1603" w:type="pct"/>
            <w:tcBorders>
              <w:top w:val="single" w:sz="4" w:space="0" w:color="auto"/>
              <w:left w:val="single" w:sz="4" w:space="0" w:color="auto"/>
              <w:bottom w:val="single" w:sz="4" w:space="0" w:color="auto"/>
              <w:right w:val="single" w:sz="4" w:space="0" w:color="auto"/>
            </w:tcBorders>
            <w:hideMark/>
          </w:tcPr>
          <w:p w14:paraId="601A7F58"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 xml:space="preserve">The gastrointestinal tract was identified as target organ of toxicity in toxicology studies. Diarrhea, nausea, and vomiting is commonly reported in tepotinib </w:t>
            </w:r>
            <w:r w:rsidR="007D4437" w:rsidRPr="00D326F8">
              <w:rPr>
                <w:rFonts w:ascii="Arial" w:eastAsia="MS Mincho" w:hAnsi="Arial" w:cs="Arial"/>
                <w:sz w:val="18"/>
              </w:rPr>
              <w:t>studies</w:t>
            </w:r>
            <w:r w:rsidRPr="00D326F8">
              <w:rPr>
                <w:rFonts w:ascii="Arial" w:eastAsia="MS Mincho" w:hAnsi="Arial" w:cs="Arial"/>
                <w:sz w:val="18"/>
              </w:rPr>
              <w:t>.</w:t>
            </w:r>
          </w:p>
          <w:p w14:paraId="601A7F59" w14:textId="6639CDDD"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For more information refer to IB </w:t>
            </w:r>
            <w:r w:rsidR="00AF50D7" w:rsidRPr="00D326F8">
              <w:rPr>
                <w:rFonts w:ascii="Arial" w:eastAsia="MS Mincho" w:hAnsi="Arial" w:cs="Arial"/>
                <w:sz w:val="18"/>
              </w:rPr>
              <w:t>(current version)</w:t>
            </w:r>
            <w:r w:rsidRPr="00D326F8">
              <w:rPr>
                <w:rFonts w:ascii="Arial" w:eastAsia="MS Mincho" w:hAnsi="Arial" w:cs="Arial"/>
                <w:sz w:val="18"/>
              </w:rPr>
              <w:t xml:space="preserve"> Section</w:t>
            </w:r>
            <w:r w:rsidR="00AF50D7" w:rsidRPr="00D326F8">
              <w:rPr>
                <w:rFonts w:ascii="Arial" w:eastAsia="MS Mincho" w:hAnsi="Arial" w:cs="Arial"/>
                <w:sz w:val="18"/>
              </w:rPr>
              <w:t> </w:t>
            </w:r>
            <w:r w:rsidRPr="00D326F8">
              <w:rPr>
                <w:rFonts w:ascii="Arial" w:eastAsia="MS Mincho" w:hAnsi="Arial" w:cs="Arial"/>
                <w:sz w:val="18"/>
              </w:rPr>
              <w:t>4.3, 5.3, 6.1.2 and 6.1.3.2</w:t>
            </w:r>
            <w:r w:rsidR="006F692F" w:rsidRPr="00D326F8">
              <w:rPr>
                <w:rFonts w:ascii="Arial" w:eastAsia="MS Mincho" w:hAnsi="Arial" w:cs="Arial"/>
                <w:sz w:val="18"/>
              </w:rPr>
              <w:t>.</w:t>
            </w:r>
          </w:p>
        </w:tc>
        <w:tc>
          <w:tcPr>
            <w:tcW w:w="2088" w:type="pct"/>
            <w:tcBorders>
              <w:top w:val="single" w:sz="4" w:space="0" w:color="auto"/>
              <w:left w:val="single" w:sz="4" w:space="0" w:color="auto"/>
              <w:bottom w:val="single" w:sz="4" w:space="0" w:color="auto"/>
              <w:right w:val="single" w:sz="4" w:space="0" w:color="auto"/>
            </w:tcBorders>
            <w:hideMark/>
          </w:tcPr>
          <w:p w14:paraId="601A7F5A" w14:textId="262D9AAE"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color w:val="000000"/>
                <w:sz w:val="18"/>
                <w:szCs w:val="18"/>
              </w:rPr>
              <w:t>The risk is considered as managed by adequate measurements such as eligibility criteria (</w:t>
            </w:r>
            <w:r w:rsidR="00157683" w:rsidRPr="00D326F8">
              <w:rPr>
                <w:rFonts w:ascii="Arial" w:eastAsia="MS Mincho" w:hAnsi="Arial" w:cs="Arial"/>
                <w:color w:val="000000"/>
                <w:sz w:val="18"/>
                <w:szCs w:val="18"/>
              </w:rPr>
              <w:t xml:space="preserve">Section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_Ref3989452 \n \h </w:instrText>
            </w:r>
            <w:r w:rsid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5.1</w:t>
            </w:r>
            <w:r w:rsidR="00157683" w:rsidRPr="00D326F8">
              <w:rPr>
                <w:rFonts w:ascii="Arial" w:eastAsia="MS Mincho" w:hAnsi="Arial" w:cs="Arial"/>
                <w:color w:val="000000"/>
                <w:sz w:val="18"/>
                <w:szCs w:val="18"/>
              </w:rPr>
              <w:fldChar w:fldCharType="end"/>
            </w:r>
            <w:r w:rsidR="00157683" w:rsidRPr="00D326F8">
              <w:rPr>
                <w:rFonts w:ascii="Arial" w:eastAsia="MS Mincho" w:hAnsi="Arial" w:cs="Arial"/>
                <w:color w:val="000000"/>
                <w:sz w:val="18"/>
                <w:szCs w:val="18"/>
              </w:rPr>
              <w:t xml:space="preserve"> and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_Ref3989475 \n \h </w:instrText>
            </w:r>
            <w:r w:rsid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5.2</w:t>
            </w:r>
            <w:r w:rsidR="00157683" w:rsidRPr="00D326F8">
              <w:rPr>
                <w:rFonts w:ascii="Arial" w:eastAsia="MS Mincho" w:hAnsi="Arial" w:cs="Arial"/>
                <w:color w:val="000000"/>
                <w:sz w:val="18"/>
                <w:szCs w:val="18"/>
              </w:rPr>
              <w:fldChar w:fldCharType="end"/>
            </w:r>
            <w:r w:rsidRPr="00D326F8">
              <w:rPr>
                <w:rFonts w:ascii="Arial" w:eastAsia="MS Mincho" w:hAnsi="Arial" w:cs="Arial"/>
                <w:color w:val="000000"/>
                <w:sz w:val="18"/>
                <w:szCs w:val="18"/>
              </w:rPr>
              <w:t>) and</w:t>
            </w:r>
            <w:r w:rsidRPr="00D326F8">
              <w:rPr>
                <w:rFonts w:ascii="Arial" w:eastAsia="MS Mincho" w:hAnsi="Arial" w:cs="Arial"/>
                <w:sz w:val="18"/>
              </w:rPr>
              <w:t xml:space="preserve"> monitoring of gastrointestinal-related AEs</w:t>
            </w:r>
            <w:r w:rsidR="00413E7F" w:rsidRPr="00D326F8">
              <w:rPr>
                <w:rFonts w:ascii="Arial" w:eastAsia="MS Mincho" w:hAnsi="Arial" w:cs="Arial"/>
                <w:sz w:val="18"/>
              </w:rPr>
              <w:t>.</w:t>
            </w:r>
          </w:p>
        </w:tc>
      </w:tr>
      <w:tr w:rsidR="003B74AE" w:rsidRPr="00D326F8" w14:paraId="601A7F5F" w14:textId="77777777" w:rsidTr="00DD58DA">
        <w:tc>
          <w:tcPr>
            <w:tcW w:w="1309" w:type="pct"/>
            <w:tcBorders>
              <w:top w:val="single" w:sz="4" w:space="0" w:color="auto"/>
              <w:left w:val="single" w:sz="4" w:space="0" w:color="auto"/>
              <w:bottom w:val="single" w:sz="4" w:space="0" w:color="auto"/>
              <w:right w:val="single" w:sz="4" w:space="0" w:color="auto"/>
            </w:tcBorders>
          </w:tcPr>
          <w:p w14:paraId="601A7F5C" w14:textId="77777777" w:rsidR="00A622F1" w:rsidRPr="00D326F8" w:rsidRDefault="003E23E4" w:rsidP="001C70DF">
            <w:pPr>
              <w:keepNext/>
              <w:keepLines/>
              <w:spacing w:before="40" w:after="40"/>
              <w:jc w:val="left"/>
              <w:rPr>
                <w:rFonts w:ascii="Arial" w:eastAsia="MS Mincho" w:hAnsi="Arial" w:cs="Arial"/>
                <w:sz w:val="18"/>
              </w:rPr>
            </w:pPr>
            <w:r w:rsidRPr="00D326F8">
              <w:rPr>
                <w:rFonts w:ascii="Arial" w:eastAsia="MS Mincho" w:hAnsi="Arial" w:cs="Arial"/>
                <w:sz w:val="18"/>
                <w:szCs w:val="18"/>
              </w:rPr>
              <w:lastRenderedPageBreak/>
              <w:t>Clinical identified risk: b</w:t>
            </w:r>
            <w:r w:rsidRPr="00D326F8">
              <w:rPr>
                <w:rFonts w:ascii="Arial" w:eastAsia="MS Mincho" w:hAnsi="Arial" w:cs="Arial"/>
                <w:color w:val="000000"/>
                <w:sz w:val="18"/>
                <w:szCs w:val="18"/>
              </w:rPr>
              <w:t xml:space="preserve">lood </w:t>
            </w:r>
            <w:r w:rsidR="003B3988" w:rsidRPr="00D326F8">
              <w:rPr>
                <w:rFonts w:ascii="Arial" w:eastAsia="MS Mincho" w:hAnsi="Arial" w:cs="Arial"/>
                <w:color w:val="000000"/>
                <w:sz w:val="18"/>
                <w:szCs w:val="18"/>
              </w:rPr>
              <w:t>ALP</w:t>
            </w:r>
            <w:r w:rsidRPr="00D326F8">
              <w:rPr>
                <w:rFonts w:ascii="Arial" w:eastAsia="MS Mincho" w:hAnsi="Arial" w:cs="Arial"/>
                <w:color w:val="000000"/>
                <w:sz w:val="18"/>
                <w:szCs w:val="18"/>
              </w:rPr>
              <w:t xml:space="preserve"> increased </w:t>
            </w:r>
          </w:p>
        </w:tc>
        <w:tc>
          <w:tcPr>
            <w:tcW w:w="1603" w:type="pct"/>
            <w:tcBorders>
              <w:top w:val="single" w:sz="4" w:space="0" w:color="auto"/>
              <w:left w:val="single" w:sz="4" w:space="0" w:color="auto"/>
              <w:bottom w:val="single" w:sz="4" w:space="0" w:color="auto"/>
              <w:right w:val="single" w:sz="4" w:space="0" w:color="auto"/>
            </w:tcBorders>
          </w:tcPr>
          <w:p w14:paraId="601A7F5D" w14:textId="77777777" w:rsidR="00A622F1" w:rsidRPr="00D326F8" w:rsidRDefault="003E23E4" w:rsidP="001C70DF">
            <w:pPr>
              <w:keepNext/>
              <w:keepLines/>
              <w:spacing w:before="40" w:after="40"/>
              <w:jc w:val="left"/>
              <w:rPr>
                <w:rFonts w:ascii="Arial" w:eastAsia="MS Mincho" w:hAnsi="Arial" w:cs="Arial"/>
                <w:sz w:val="18"/>
              </w:rPr>
            </w:pPr>
            <w:r w:rsidRPr="00D326F8">
              <w:rPr>
                <w:rFonts w:ascii="Arial" w:eastAsia="MS Mincho" w:hAnsi="Arial" w:cs="Arial"/>
                <w:sz w:val="18"/>
                <w:szCs w:val="18"/>
              </w:rPr>
              <w:t>The hepatobiliary system was identified as target organ of toxicity in toxicology studies. The increases were asymptomatic, non-serious and low grade</w:t>
            </w:r>
            <w:r w:rsidR="003B3988" w:rsidRPr="00D326F8">
              <w:rPr>
                <w:rFonts w:ascii="Arial" w:eastAsia="MS Mincho" w:hAnsi="Arial" w:cs="Arial"/>
                <w:sz w:val="18"/>
                <w:szCs w:val="18"/>
              </w:rPr>
              <w:t>.</w:t>
            </w:r>
          </w:p>
        </w:tc>
        <w:tc>
          <w:tcPr>
            <w:tcW w:w="2088" w:type="pct"/>
            <w:tcBorders>
              <w:top w:val="single" w:sz="4" w:space="0" w:color="auto"/>
              <w:left w:val="single" w:sz="4" w:space="0" w:color="auto"/>
              <w:bottom w:val="single" w:sz="4" w:space="0" w:color="auto"/>
              <w:right w:val="single" w:sz="4" w:space="0" w:color="auto"/>
            </w:tcBorders>
          </w:tcPr>
          <w:p w14:paraId="601A7F5E" w14:textId="0B47BB91" w:rsidR="00A622F1" w:rsidRPr="00D326F8" w:rsidRDefault="003E23E4" w:rsidP="001C70DF">
            <w:pPr>
              <w:keepNext/>
              <w:keepLines/>
              <w:spacing w:before="40" w:after="40"/>
              <w:jc w:val="left"/>
              <w:rPr>
                <w:rFonts w:ascii="Arial" w:eastAsia="MS Mincho" w:hAnsi="Arial" w:cs="Arial"/>
                <w:color w:val="000000"/>
                <w:sz w:val="18"/>
                <w:szCs w:val="18"/>
              </w:rPr>
            </w:pPr>
            <w:r w:rsidRPr="00D326F8">
              <w:rPr>
                <w:rFonts w:ascii="Arial" w:eastAsia="MS Mincho" w:hAnsi="Arial" w:cs="Arial"/>
                <w:color w:val="000000"/>
                <w:sz w:val="18"/>
                <w:szCs w:val="18"/>
              </w:rPr>
              <w:t>The risk is considered as managed by adequate measurements such as eligibility criteria and monitoring of ALP by routine lab</w:t>
            </w:r>
            <w:r w:rsidR="00AF50D7" w:rsidRPr="00D326F8">
              <w:rPr>
                <w:rFonts w:ascii="Arial" w:eastAsia="MS Mincho" w:hAnsi="Arial" w:cs="Arial"/>
                <w:color w:val="000000"/>
                <w:sz w:val="18"/>
                <w:szCs w:val="18"/>
              </w:rPr>
              <w:t>oratory testing</w:t>
            </w:r>
            <w:r w:rsidR="004F49B1" w:rsidRPr="00D326F8">
              <w:rPr>
                <w:rFonts w:ascii="Arial" w:eastAsia="MS Mincho" w:hAnsi="Arial" w:cs="Arial"/>
                <w:color w:val="000000"/>
                <w:sz w:val="18"/>
                <w:szCs w:val="18"/>
              </w:rPr>
              <w:t xml:space="preserve"> </w:t>
            </w:r>
            <w:r w:rsidR="004F49B1" w:rsidRPr="00D326F8">
              <w:rPr>
                <w:rFonts w:ascii="Arial" w:eastAsia="MS Mincho" w:hAnsi="Arial" w:cs="Arial"/>
                <w:sz w:val="18"/>
              </w:rPr>
              <w:t>(Section </w:t>
            </w:r>
            <w:r w:rsidR="004F49B1" w:rsidRPr="00D326F8">
              <w:rPr>
                <w:rFonts w:ascii="Arial" w:eastAsia="MS Mincho" w:hAnsi="Arial" w:cs="Arial"/>
                <w:sz w:val="18"/>
              </w:rPr>
              <w:fldChar w:fldCharType="begin"/>
            </w:r>
            <w:r w:rsidR="004F49B1" w:rsidRPr="00D326F8">
              <w:rPr>
                <w:rFonts w:ascii="Arial" w:eastAsia="MS Mincho" w:hAnsi="Arial" w:cs="Arial"/>
                <w:sz w:val="18"/>
              </w:rPr>
              <w:instrText xml:space="preserve"> REF _Ref74915525 \n \h </w:instrText>
            </w:r>
            <w:r w:rsidR="00D326F8">
              <w:rPr>
                <w:rFonts w:ascii="Arial" w:eastAsia="MS Mincho" w:hAnsi="Arial" w:cs="Arial"/>
                <w:sz w:val="18"/>
              </w:rPr>
              <w:instrText xml:space="preserve"> \* MERGEFORMAT </w:instrText>
            </w:r>
            <w:r w:rsidR="004F49B1" w:rsidRPr="00D326F8">
              <w:rPr>
                <w:rFonts w:ascii="Arial" w:eastAsia="MS Mincho" w:hAnsi="Arial" w:cs="Arial"/>
                <w:sz w:val="18"/>
              </w:rPr>
            </w:r>
            <w:r w:rsidR="004F49B1" w:rsidRPr="00D326F8">
              <w:rPr>
                <w:rFonts w:ascii="Arial" w:eastAsia="MS Mincho" w:hAnsi="Arial" w:cs="Arial"/>
                <w:sz w:val="18"/>
              </w:rPr>
              <w:fldChar w:fldCharType="separate"/>
            </w:r>
            <w:r w:rsidR="00173A27">
              <w:rPr>
                <w:rFonts w:ascii="Arial" w:eastAsia="MS Mincho" w:hAnsi="Arial" w:cs="Arial"/>
                <w:sz w:val="18"/>
              </w:rPr>
              <w:t>8.2.4</w:t>
            </w:r>
            <w:r w:rsidR="004F49B1" w:rsidRPr="00D326F8">
              <w:rPr>
                <w:rFonts w:ascii="Arial" w:eastAsia="MS Mincho" w:hAnsi="Arial" w:cs="Arial"/>
                <w:sz w:val="18"/>
              </w:rPr>
              <w:fldChar w:fldCharType="end"/>
            </w:r>
            <w:r w:rsidR="004F49B1" w:rsidRPr="00D326F8">
              <w:rPr>
                <w:rFonts w:ascii="Arial" w:eastAsia="MS Mincho" w:hAnsi="Arial" w:cs="Arial"/>
                <w:sz w:val="18"/>
              </w:rPr>
              <w:t xml:space="preserve"> and </w:t>
            </w:r>
            <w:hyperlink w:anchor="_Appendix_5_Clinical" w:history="1">
              <w:r w:rsidR="004F49B1" w:rsidRPr="00D326F8">
                <w:rPr>
                  <w:rStyle w:val="Hyperlink"/>
                  <w:rFonts w:ascii="Arial" w:eastAsia="MS Mincho" w:hAnsi="Arial" w:cs="Arial"/>
                  <w:color w:val="auto"/>
                  <w:sz w:val="18"/>
                </w:rPr>
                <w:t>Appendix 5</w:t>
              </w:r>
            </w:hyperlink>
            <w:r w:rsidR="004F49B1" w:rsidRPr="00D326F8">
              <w:rPr>
                <w:rFonts w:ascii="Arial" w:eastAsia="MS Mincho" w:hAnsi="Arial" w:cs="Arial"/>
                <w:sz w:val="18"/>
              </w:rPr>
              <w:t>)</w:t>
            </w:r>
            <w:r w:rsidR="00413E7F" w:rsidRPr="00D326F8">
              <w:rPr>
                <w:rFonts w:ascii="Arial" w:eastAsia="MS Mincho" w:hAnsi="Arial" w:cs="Arial"/>
                <w:color w:val="000000"/>
                <w:sz w:val="18"/>
                <w:szCs w:val="18"/>
              </w:rPr>
              <w:t>.</w:t>
            </w:r>
          </w:p>
        </w:tc>
      </w:tr>
      <w:tr w:rsidR="003B74AE" w:rsidRPr="00D326F8" w14:paraId="601A7F64"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60"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Potential clinical risk: QTc prolongation</w:t>
            </w:r>
          </w:p>
        </w:tc>
        <w:tc>
          <w:tcPr>
            <w:tcW w:w="1603" w:type="pct"/>
            <w:tcBorders>
              <w:top w:val="single" w:sz="4" w:space="0" w:color="auto"/>
              <w:left w:val="single" w:sz="4" w:space="0" w:color="auto"/>
              <w:bottom w:val="single" w:sz="4" w:space="0" w:color="auto"/>
              <w:right w:val="single" w:sz="4" w:space="0" w:color="auto"/>
            </w:tcBorders>
            <w:hideMark/>
          </w:tcPr>
          <w:p w14:paraId="601A7F61"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In an exposure-QTc analysis across multiple studies, tepotinib did not prolong the QTcF interval in cancer patients to a clinically relevant extent.</w:t>
            </w:r>
          </w:p>
          <w:p w14:paraId="601A7F62" w14:textId="0E6904BF"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 xml:space="preserve">For more information refer to IB </w:t>
            </w:r>
            <w:r w:rsidR="00AF50D7" w:rsidRPr="00D326F8">
              <w:rPr>
                <w:rFonts w:ascii="Arial" w:eastAsia="MS Mincho" w:hAnsi="Arial" w:cs="Arial"/>
                <w:sz w:val="18"/>
              </w:rPr>
              <w:t>(current version)</w:t>
            </w:r>
            <w:r w:rsidRPr="00D326F8">
              <w:rPr>
                <w:rFonts w:ascii="Arial" w:eastAsia="MS Mincho" w:hAnsi="Arial" w:cs="Arial"/>
                <w:sz w:val="18"/>
              </w:rPr>
              <w:t xml:space="preserve"> Section 5.2.12.3 and 6.1.3.3.</w:t>
            </w:r>
            <w:r w:rsidR="006F692F" w:rsidRPr="00D326F8">
              <w:rPr>
                <w:rFonts w:ascii="Arial" w:eastAsia="MS Mincho" w:hAnsi="Arial" w:cs="Arial"/>
                <w:sz w:val="18"/>
              </w:rPr>
              <w:t>1.</w:t>
            </w:r>
          </w:p>
        </w:tc>
        <w:tc>
          <w:tcPr>
            <w:tcW w:w="2088" w:type="pct"/>
            <w:tcBorders>
              <w:top w:val="single" w:sz="4" w:space="0" w:color="auto"/>
              <w:left w:val="single" w:sz="4" w:space="0" w:color="auto"/>
              <w:bottom w:val="single" w:sz="4" w:space="0" w:color="auto"/>
              <w:right w:val="single" w:sz="4" w:space="0" w:color="auto"/>
            </w:tcBorders>
            <w:hideMark/>
          </w:tcPr>
          <w:p w14:paraId="601A7F63" w14:textId="7D9324A4"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color w:val="000000"/>
                <w:sz w:val="18"/>
                <w:szCs w:val="18"/>
              </w:rPr>
              <w:t>The risk is considered as managed by adequate measurements such as eligibility criteria (</w:t>
            </w:r>
            <w:r w:rsidR="00157683" w:rsidRPr="00D326F8">
              <w:rPr>
                <w:rFonts w:ascii="Arial" w:eastAsia="MS Mincho" w:hAnsi="Arial" w:cs="Arial"/>
                <w:color w:val="000000"/>
                <w:sz w:val="18"/>
                <w:szCs w:val="18"/>
              </w:rPr>
              <w:t xml:space="preserve">Section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_Ref3989452 \n \h </w:instrText>
            </w:r>
            <w:r w:rsid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5.1</w:t>
            </w:r>
            <w:r w:rsidR="00157683" w:rsidRPr="00D326F8">
              <w:rPr>
                <w:rFonts w:ascii="Arial" w:eastAsia="MS Mincho" w:hAnsi="Arial" w:cs="Arial"/>
                <w:color w:val="000000"/>
                <w:sz w:val="18"/>
                <w:szCs w:val="18"/>
              </w:rPr>
              <w:fldChar w:fldCharType="end"/>
            </w:r>
            <w:r w:rsidR="00157683" w:rsidRPr="00D326F8">
              <w:rPr>
                <w:rFonts w:ascii="Arial" w:eastAsia="MS Mincho" w:hAnsi="Arial" w:cs="Arial"/>
                <w:color w:val="000000"/>
                <w:sz w:val="18"/>
                <w:szCs w:val="18"/>
              </w:rPr>
              <w:t xml:space="preserve"> and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_Ref3989475 \n \h </w:instrText>
            </w:r>
            <w:r w:rsid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5.2</w:t>
            </w:r>
            <w:r w:rsidR="00157683" w:rsidRPr="00D326F8">
              <w:rPr>
                <w:rFonts w:ascii="Arial" w:eastAsia="MS Mincho" w:hAnsi="Arial" w:cs="Arial"/>
                <w:color w:val="000000"/>
                <w:sz w:val="18"/>
                <w:szCs w:val="18"/>
              </w:rPr>
              <w:fldChar w:fldCharType="end"/>
            </w:r>
            <w:r w:rsidRPr="00D326F8">
              <w:rPr>
                <w:rFonts w:ascii="Arial" w:eastAsia="MS Mincho" w:hAnsi="Arial" w:cs="Arial"/>
                <w:color w:val="000000"/>
                <w:sz w:val="18"/>
                <w:szCs w:val="18"/>
              </w:rPr>
              <w:t xml:space="preserve">) and </w:t>
            </w:r>
            <w:r w:rsidRPr="00D326F8">
              <w:rPr>
                <w:rFonts w:ascii="Arial" w:eastAsia="MS Mincho" w:hAnsi="Arial" w:cs="Arial"/>
                <w:sz w:val="18"/>
              </w:rPr>
              <w:t>ECG monitoring (Section</w:t>
            </w:r>
            <w:r w:rsidR="00157683" w:rsidRPr="00D326F8">
              <w:rPr>
                <w:rFonts w:ascii="Arial" w:eastAsia="MS Mincho" w:hAnsi="Arial" w:cs="Arial"/>
                <w:sz w:val="18"/>
              </w:rPr>
              <w:t xml:space="preserve"> </w:t>
            </w:r>
            <w:r w:rsidR="00157683" w:rsidRPr="00D326F8">
              <w:rPr>
                <w:rFonts w:ascii="Arial" w:eastAsia="MS Mincho" w:hAnsi="Arial" w:cs="Arial"/>
                <w:sz w:val="18"/>
              </w:rPr>
              <w:fldChar w:fldCharType="begin"/>
            </w:r>
            <w:r w:rsidR="00157683" w:rsidRPr="00D326F8">
              <w:rPr>
                <w:rFonts w:ascii="Arial" w:eastAsia="MS Mincho" w:hAnsi="Arial" w:cs="Arial"/>
                <w:sz w:val="18"/>
              </w:rPr>
              <w:instrText xml:space="preserve"> REF _Ref74915576 \n \h </w:instrText>
            </w:r>
            <w:r w:rsidR="00D326F8">
              <w:rPr>
                <w:rFonts w:ascii="Arial" w:eastAsia="MS Mincho" w:hAnsi="Arial" w:cs="Arial"/>
                <w:sz w:val="18"/>
              </w:rPr>
              <w:instrText xml:space="preserve"> \* MERGEFORMAT </w:instrText>
            </w:r>
            <w:r w:rsidR="00157683" w:rsidRPr="00D326F8">
              <w:rPr>
                <w:rFonts w:ascii="Arial" w:eastAsia="MS Mincho" w:hAnsi="Arial" w:cs="Arial"/>
                <w:sz w:val="18"/>
              </w:rPr>
            </w:r>
            <w:r w:rsidR="00157683" w:rsidRPr="00D326F8">
              <w:rPr>
                <w:rFonts w:ascii="Arial" w:eastAsia="MS Mincho" w:hAnsi="Arial" w:cs="Arial"/>
                <w:sz w:val="18"/>
              </w:rPr>
              <w:fldChar w:fldCharType="separate"/>
            </w:r>
            <w:r w:rsidR="00173A27">
              <w:rPr>
                <w:rFonts w:ascii="Arial" w:eastAsia="MS Mincho" w:hAnsi="Arial" w:cs="Arial"/>
                <w:sz w:val="18"/>
              </w:rPr>
              <w:t>8.2.3</w:t>
            </w:r>
            <w:r w:rsidR="00157683" w:rsidRPr="00D326F8">
              <w:rPr>
                <w:rFonts w:ascii="Arial" w:eastAsia="MS Mincho" w:hAnsi="Arial" w:cs="Arial"/>
                <w:sz w:val="18"/>
              </w:rPr>
              <w:fldChar w:fldCharType="end"/>
            </w:r>
            <w:r w:rsidRPr="00D326F8">
              <w:rPr>
                <w:rFonts w:ascii="Arial" w:eastAsia="MS Mincho" w:hAnsi="Arial" w:cs="Arial"/>
                <w:sz w:val="18"/>
              </w:rPr>
              <w:t>).</w:t>
            </w:r>
          </w:p>
        </w:tc>
      </w:tr>
      <w:tr w:rsidR="003B74AE" w:rsidRPr="00D326F8" w14:paraId="601A7F66" w14:textId="77777777" w:rsidTr="00DD58D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A7F65" w14:textId="77777777" w:rsidR="00DD58DA" w:rsidRPr="00D326F8" w:rsidRDefault="003E23E4" w:rsidP="001C70DF">
            <w:pPr>
              <w:spacing w:before="40" w:after="40"/>
              <w:jc w:val="center"/>
              <w:rPr>
                <w:rFonts w:ascii="Arial" w:eastAsia="MS Mincho" w:hAnsi="Arial" w:cs="Arial"/>
                <w:b/>
                <w:bCs/>
                <w:sz w:val="18"/>
              </w:rPr>
            </w:pPr>
            <w:r w:rsidRPr="00D326F8">
              <w:rPr>
                <w:rFonts w:ascii="Arial" w:eastAsia="MS Mincho" w:hAnsi="Arial" w:cs="Arial"/>
                <w:b/>
                <w:bCs/>
                <w:sz w:val="18"/>
                <w:lang w:val="en-GB"/>
              </w:rPr>
              <w:t>Study Intervention(s) – Carbamazepine</w:t>
            </w:r>
          </w:p>
        </w:tc>
      </w:tr>
      <w:tr w:rsidR="003B74AE" w:rsidRPr="00D326F8" w14:paraId="601A7F6A"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67" w14:textId="77777777" w:rsidR="00DD58DA" w:rsidRPr="00D326F8" w:rsidRDefault="003E23E4" w:rsidP="001C70DF">
            <w:pPr>
              <w:spacing w:before="40" w:after="40"/>
              <w:jc w:val="left"/>
              <w:rPr>
                <w:rFonts w:ascii="Arial" w:eastAsia="MS Mincho" w:hAnsi="Arial"/>
                <w:sz w:val="18"/>
              </w:rPr>
            </w:pPr>
            <w:r w:rsidRPr="00D326F8">
              <w:rPr>
                <w:rFonts w:ascii="Arial" w:eastAsia="MS Mincho" w:hAnsi="Arial" w:cs="Arial"/>
                <w:sz w:val="18"/>
              </w:rPr>
              <w:t>Identified Risks: Hepatitis, hyperbilirubinemia (frequency unknown). AEs with a frequency of common include fever gastrointestinal disturbance, and immunological reaction, increased liver function tests (AST, ALT, bilirubin)</w:t>
            </w:r>
          </w:p>
        </w:tc>
        <w:tc>
          <w:tcPr>
            <w:tcW w:w="1603" w:type="pct"/>
            <w:tcBorders>
              <w:top w:val="single" w:sz="4" w:space="0" w:color="auto"/>
              <w:left w:val="single" w:sz="4" w:space="0" w:color="auto"/>
              <w:bottom w:val="single" w:sz="4" w:space="0" w:color="auto"/>
              <w:right w:val="single" w:sz="4" w:space="0" w:color="auto"/>
            </w:tcBorders>
            <w:hideMark/>
          </w:tcPr>
          <w:p w14:paraId="601A7F68"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Refer to carbamazepine SmPC and USPI.</w:t>
            </w:r>
          </w:p>
        </w:tc>
        <w:tc>
          <w:tcPr>
            <w:tcW w:w="2088" w:type="pct"/>
            <w:tcBorders>
              <w:top w:val="single" w:sz="4" w:space="0" w:color="auto"/>
              <w:left w:val="single" w:sz="4" w:space="0" w:color="auto"/>
              <w:bottom w:val="single" w:sz="4" w:space="0" w:color="auto"/>
              <w:right w:val="single" w:sz="4" w:space="0" w:color="auto"/>
            </w:tcBorders>
            <w:hideMark/>
          </w:tcPr>
          <w:p w14:paraId="601A7F69" w14:textId="4B0CB130"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color w:val="000000"/>
                <w:sz w:val="18"/>
                <w:szCs w:val="18"/>
              </w:rPr>
              <w:t>The risk from potential overlapping toxicities with regards to LFT is considered as managed by adequate measurements such as eligibility criteria (</w:t>
            </w:r>
            <w:r w:rsidR="00157683" w:rsidRPr="00D326F8">
              <w:rPr>
                <w:rFonts w:ascii="Arial" w:eastAsia="MS Mincho" w:hAnsi="Arial" w:cs="Arial"/>
                <w:color w:val="000000"/>
                <w:sz w:val="18"/>
                <w:szCs w:val="18"/>
              </w:rPr>
              <w:t xml:space="preserve">Section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_Ref3989452 \n \h </w:instrText>
            </w:r>
            <w:r w:rsid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5.1</w:t>
            </w:r>
            <w:r w:rsidR="00157683" w:rsidRPr="00D326F8">
              <w:rPr>
                <w:rFonts w:ascii="Arial" w:eastAsia="MS Mincho" w:hAnsi="Arial" w:cs="Arial"/>
                <w:color w:val="000000"/>
                <w:sz w:val="18"/>
                <w:szCs w:val="18"/>
              </w:rPr>
              <w:fldChar w:fldCharType="end"/>
            </w:r>
            <w:r w:rsidR="00157683" w:rsidRPr="00D326F8">
              <w:rPr>
                <w:rFonts w:ascii="Arial" w:eastAsia="MS Mincho" w:hAnsi="Arial" w:cs="Arial"/>
                <w:color w:val="000000"/>
                <w:sz w:val="18"/>
                <w:szCs w:val="18"/>
              </w:rPr>
              <w:t xml:space="preserve"> and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_Ref3989475 \n \h </w:instrText>
            </w:r>
            <w:r w:rsid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5.2</w:t>
            </w:r>
            <w:r w:rsidR="00157683" w:rsidRPr="00D326F8">
              <w:rPr>
                <w:rFonts w:ascii="Arial" w:eastAsia="MS Mincho" w:hAnsi="Arial" w:cs="Arial"/>
                <w:color w:val="000000"/>
                <w:sz w:val="18"/>
                <w:szCs w:val="18"/>
              </w:rPr>
              <w:fldChar w:fldCharType="end"/>
            </w:r>
            <w:r w:rsidRPr="00D326F8">
              <w:rPr>
                <w:rFonts w:ascii="Arial" w:eastAsia="MS Mincho" w:hAnsi="Arial" w:cs="Arial"/>
                <w:color w:val="000000"/>
                <w:sz w:val="18"/>
                <w:szCs w:val="18"/>
              </w:rPr>
              <w:t>) and close monitoring. Inclusion will be only allowed for participants with adequate hepatic function.</w:t>
            </w:r>
          </w:p>
        </w:tc>
      </w:tr>
      <w:tr w:rsidR="003B74AE" w:rsidRPr="00D326F8" w14:paraId="601A7F6E"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6B" w14:textId="77777777" w:rsidR="00DD58DA" w:rsidRPr="00D326F8" w:rsidRDefault="003E23E4" w:rsidP="001C70DF">
            <w:pPr>
              <w:spacing w:before="40" w:after="40"/>
              <w:jc w:val="left"/>
              <w:rPr>
                <w:rFonts w:ascii="Arial" w:eastAsia="MS Mincho" w:hAnsi="Arial" w:cs="Arial"/>
                <w:color w:val="000000"/>
                <w:sz w:val="18"/>
                <w:szCs w:val="18"/>
              </w:rPr>
            </w:pPr>
            <w:r w:rsidRPr="00D326F8">
              <w:rPr>
                <w:rFonts w:ascii="Arial" w:eastAsia="MS Mincho" w:hAnsi="Arial" w:cs="Arial"/>
                <w:color w:val="000000"/>
                <w:sz w:val="18"/>
                <w:szCs w:val="18"/>
              </w:rPr>
              <w:t xml:space="preserve">Severe cutaneous adverse reactions including Stevens-Johnson syndrome, toxic epidermal necrolysis, drug reaction with eosinophilia and systemic symptoms and acute generalized </w:t>
            </w:r>
            <w:proofErr w:type="spellStart"/>
            <w:r w:rsidRPr="00D326F8">
              <w:rPr>
                <w:rFonts w:ascii="Arial" w:eastAsia="MS Mincho" w:hAnsi="Arial" w:cs="Arial"/>
                <w:color w:val="000000"/>
                <w:sz w:val="18"/>
                <w:szCs w:val="18"/>
              </w:rPr>
              <w:t>exanthematous</w:t>
            </w:r>
            <w:proofErr w:type="spellEnd"/>
            <w:r w:rsidRPr="00D326F8">
              <w:rPr>
                <w:rFonts w:ascii="Arial" w:eastAsia="MS Mincho" w:hAnsi="Arial" w:cs="Arial"/>
                <w:color w:val="000000"/>
                <w:sz w:val="18"/>
                <w:szCs w:val="18"/>
              </w:rPr>
              <w:t xml:space="preserve"> pustulosis; urticaria</w:t>
            </w:r>
          </w:p>
        </w:tc>
        <w:tc>
          <w:tcPr>
            <w:tcW w:w="1603" w:type="pct"/>
            <w:tcBorders>
              <w:top w:val="single" w:sz="4" w:space="0" w:color="auto"/>
              <w:left w:val="single" w:sz="4" w:space="0" w:color="auto"/>
              <w:bottom w:val="single" w:sz="4" w:space="0" w:color="auto"/>
              <w:right w:val="single" w:sz="4" w:space="0" w:color="auto"/>
            </w:tcBorders>
            <w:hideMark/>
          </w:tcPr>
          <w:p w14:paraId="601A7F6C"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Refer to carbamazepine SmPC and USPI.</w:t>
            </w:r>
          </w:p>
        </w:tc>
        <w:tc>
          <w:tcPr>
            <w:tcW w:w="2088" w:type="pct"/>
            <w:tcBorders>
              <w:top w:val="single" w:sz="4" w:space="0" w:color="auto"/>
              <w:left w:val="single" w:sz="4" w:space="0" w:color="auto"/>
              <w:bottom w:val="single" w:sz="4" w:space="0" w:color="auto"/>
              <w:right w:val="single" w:sz="4" w:space="0" w:color="auto"/>
            </w:tcBorders>
            <w:hideMark/>
          </w:tcPr>
          <w:p w14:paraId="601A7F6D" w14:textId="19BD2B6C"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color w:val="000000"/>
                <w:sz w:val="18"/>
                <w:szCs w:val="18"/>
              </w:rPr>
              <w:t>The risk is considered as managed by adequate measurements such as eligibility criteria (</w:t>
            </w:r>
            <w:r w:rsidR="00157683" w:rsidRPr="00D326F8">
              <w:rPr>
                <w:rFonts w:ascii="Arial" w:eastAsia="MS Mincho" w:hAnsi="Arial" w:cs="Arial"/>
                <w:color w:val="000000"/>
                <w:sz w:val="18"/>
                <w:szCs w:val="18"/>
              </w:rPr>
              <w:t xml:space="preserve">Section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_Ref3989452 \n \h </w:instrText>
            </w:r>
            <w:r w:rsidR="00256B04" w:rsidRP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5.1</w:t>
            </w:r>
            <w:r w:rsidR="00157683" w:rsidRPr="00D326F8">
              <w:rPr>
                <w:rFonts w:ascii="Arial" w:eastAsia="MS Mincho" w:hAnsi="Arial" w:cs="Arial"/>
                <w:color w:val="000000"/>
                <w:sz w:val="18"/>
                <w:szCs w:val="18"/>
              </w:rPr>
              <w:fldChar w:fldCharType="end"/>
            </w:r>
            <w:r w:rsidR="00157683" w:rsidRPr="00D326F8">
              <w:rPr>
                <w:rFonts w:ascii="Arial" w:eastAsia="MS Mincho" w:hAnsi="Arial" w:cs="Arial"/>
                <w:color w:val="000000"/>
                <w:sz w:val="18"/>
                <w:szCs w:val="18"/>
              </w:rPr>
              <w:t xml:space="preserve"> and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_Ref3989475 \n \h </w:instrText>
            </w:r>
            <w:r w:rsidR="00256B04" w:rsidRP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5.2</w:t>
            </w:r>
            <w:r w:rsidR="00157683" w:rsidRPr="00D326F8">
              <w:rPr>
                <w:rFonts w:ascii="Arial" w:eastAsia="MS Mincho" w:hAnsi="Arial" w:cs="Arial"/>
                <w:color w:val="000000"/>
                <w:sz w:val="18"/>
                <w:szCs w:val="18"/>
              </w:rPr>
              <w:fldChar w:fldCharType="end"/>
            </w:r>
            <w:r w:rsidRPr="00D326F8">
              <w:rPr>
                <w:rFonts w:ascii="Arial" w:eastAsia="MS Mincho" w:hAnsi="Arial" w:cs="Arial"/>
                <w:color w:val="000000"/>
                <w:sz w:val="18"/>
                <w:szCs w:val="18"/>
              </w:rPr>
              <w:t>) and by close monitoring</w:t>
            </w:r>
            <w:r w:rsidRPr="00D326F8">
              <w:rPr>
                <w:rFonts w:ascii="Arial" w:eastAsia="MS Mincho" w:hAnsi="Arial" w:cs="Arial"/>
                <w:sz w:val="18"/>
              </w:rPr>
              <w:t xml:space="preserve"> for skin reactions, </w:t>
            </w:r>
            <w:proofErr w:type="gramStart"/>
            <w:r w:rsidRPr="00D326F8">
              <w:rPr>
                <w:rFonts w:ascii="Arial" w:eastAsia="MS Mincho" w:hAnsi="Arial" w:cs="Arial"/>
                <w:sz w:val="18"/>
              </w:rPr>
              <w:t>fever</w:t>
            </w:r>
            <w:proofErr w:type="gramEnd"/>
            <w:r w:rsidRPr="00D326F8">
              <w:rPr>
                <w:rFonts w:ascii="Arial" w:eastAsia="MS Mincho" w:hAnsi="Arial" w:cs="Arial"/>
                <w:sz w:val="18"/>
              </w:rPr>
              <w:t xml:space="preserve"> and lymphadenopathy.</w:t>
            </w:r>
          </w:p>
        </w:tc>
      </w:tr>
      <w:tr w:rsidR="003B74AE" w:rsidRPr="00D326F8" w14:paraId="601A7F72"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6F" w14:textId="77777777" w:rsidR="00DD58DA" w:rsidRPr="00D326F8" w:rsidRDefault="003E23E4" w:rsidP="001C70DF">
            <w:pPr>
              <w:spacing w:before="40" w:after="40"/>
              <w:jc w:val="left"/>
              <w:rPr>
                <w:rFonts w:ascii="Arial" w:eastAsia="MS Mincho" w:hAnsi="Arial" w:cs="Arial"/>
                <w:color w:val="000000"/>
                <w:sz w:val="18"/>
                <w:szCs w:val="18"/>
              </w:rPr>
            </w:pPr>
            <w:r w:rsidRPr="00D326F8">
              <w:rPr>
                <w:rFonts w:ascii="Arial" w:eastAsia="MS Mincho" w:hAnsi="Arial" w:cs="Arial"/>
                <w:color w:val="000000"/>
                <w:sz w:val="18"/>
                <w:szCs w:val="18"/>
              </w:rPr>
              <w:t xml:space="preserve">Agranulocytosis, leucopenia, thrombocytopenia, </w:t>
            </w:r>
            <w:r w:rsidR="004F49B1" w:rsidRPr="00D326F8">
              <w:rPr>
                <w:rFonts w:ascii="Arial" w:eastAsia="MS Mincho" w:hAnsi="Arial" w:cs="Arial"/>
                <w:color w:val="000000"/>
                <w:sz w:val="18"/>
                <w:szCs w:val="18"/>
              </w:rPr>
              <w:t xml:space="preserve">and </w:t>
            </w:r>
            <w:r w:rsidRPr="00D326F8">
              <w:rPr>
                <w:rFonts w:ascii="Arial" w:eastAsia="MS Mincho" w:hAnsi="Arial" w:cs="Arial"/>
                <w:color w:val="000000"/>
                <w:sz w:val="18"/>
                <w:szCs w:val="18"/>
              </w:rPr>
              <w:t>eosinophilia</w:t>
            </w:r>
          </w:p>
        </w:tc>
        <w:tc>
          <w:tcPr>
            <w:tcW w:w="1603" w:type="pct"/>
            <w:tcBorders>
              <w:top w:val="single" w:sz="4" w:space="0" w:color="auto"/>
              <w:left w:val="single" w:sz="4" w:space="0" w:color="auto"/>
              <w:bottom w:val="single" w:sz="4" w:space="0" w:color="auto"/>
              <w:right w:val="single" w:sz="4" w:space="0" w:color="auto"/>
            </w:tcBorders>
            <w:hideMark/>
          </w:tcPr>
          <w:p w14:paraId="601A7F70"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Refer to carbamazepine SmPC and USPI.</w:t>
            </w:r>
          </w:p>
        </w:tc>
        <w:tc>
          <w:tcPr>
            <w:tcW w:w="2088" w:type="pct"/>
            <w:tcBorders>
              <w:top w:val="single" w:sz="4" w:space="0" w:color="auto"/>
              <w:left w:val="single" w:sz="4" w:space="0" w:color="auto"/>
              <w:bottom w:val="single" w:sz="4" w:space="0" w:color="auto"/>
              <w:right w:val="single" w:sz="4" w:space="0" w:color="auto"/>
            </w:tcBorders>
            <w:hideMark/>
          </w:tcPr>
          <w:p w14:paraId="601A7F71" w14:textId="5AE9039F" w:rsidR="00DD58DA" w:rsidRPr="00D326F8" w:rsidRDefault="003E23E4" w:rsidP="001C70DF">
            <w:pPr>
              <w:spacing w:before="40" w:after="40"/>
              <w:jc w:val="left"/>
              <w:rPr>
                <w:rFonts w:ascii="Arial" w:eastAsia="MS Mincho" w:hAnsi="Arial" w:cs="Arial"/>
                <w:color w:val="000000"/>
                <w:sz w:val="18"/>
                <w:szCs w:val="18"/>
              </w:rPr>
            </w:pPr>
            <w:r w:rsidRPr="00D326F8">
              <w:rPr>
                <w:rFonts w:ascii="Arial" w:eastAsia="MS Mincho" w:hAnsi="Arial" w:cs="Arial"/>
                <w:color w:val="000000"/>
                <w:sz w:val="18"/>
                <w:szCs w:val="18"/>
              </w:rPr>
              <w:t>The risk is considered as managed by adequate measurements such as eligibility criteria (</w:t>
            </w:r>
            <w:r w:rsidR="00157683" w:rsidRPr="00D326F8">
              <w:rPr>
                <w:rFonts w:ascii="Arial" w:eastAsia="MS Mincho" w:hAnsi="Arial" w:cs="Arial"/>
                <w:color w:val="000000"/>
                <w:sz w:val="18"/>
                <w:szCs w:val="18"/>
              </w:rPr>
              <w:t xml:space="preserve">Section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_Ref3989452 \n \h </w:instrText>
            </w:r>
            <w:r w:rsidR="00256B04" w:rsidRP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5.1</w:t>
            </w:r>
            <w:r w:rsidR="00157683" w:rsidRPr="00D326F8">
              <w:rPr>
                <w:rFonts w:ascii="Arial" w:eastAsia="MS Mincho" w:hAnsi="Arial" w:cs="Arial"/>
                <w:color w:val="000000"/>
                <w:sz w:val="18"/>
                <w:szCs w:val="18"/>
              </w:rPr>
              <w:fldChar w:fldCharType="end"/>
            </w:r>
            <w:r w:rsidR="00157683" w:rsidRPr="00D326F8">
              <w:rPr>
                <w:rFonts w:ascii="Arial" w:eastAsia="MS Mincho" w:hAnsi="Arial" w:cs="Arial"/>
                <w:color w:val="000000"/>
                <w:sz w:val="18"/>
                <w:szCs w:val="18"/>
              </w:rPr>
              <w:t xml:space="preserve"> and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_Ref3989475 \n \h </w:instrText>
            </w:r>
            <w:r w:rsidR="00256B04" w:rsidRP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5.2</w:t>
            </w:r>
            <w:r w:rsidR="00157683" w:rsidRPr="00D326F8">
              <w:rPr>
                <w:rFonts w:ascii="Arial" w:eastAsia="MS Mincho" w:hAnsi="Arial" w:cs="Arial"/>
                <w:color w:val="000000"/>
                <w:sz w:val="18"/>
                <w:szCs w:val="18"/>
              </w:rPr>
              <w:fldChar w:fldCharType="end"/>
            </w:r>
            <w:r w:rsidRPr="00D326F8">
              <w:rPr>
                <w:rFonts w:ascii="Arial" w:eastAsia="MS Mincho" w:hAnsi="Arial" w:cs="Arial"/>
                <w:color w:val="000000"/>
                <w:sz w:val="18"/>
                <w:szCs w:val="18"/>
              </w:rPr>
              <w:t>) and by monitoring of hematology parameters.</w:t>
            </w:r>
          </w:p>
        </w:tc>
      </w:tr>
      <w:tr w:rsidR="003B74AE" w:rsidRPr="00D326F8" w14:paraId="601A7F76"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73" w14:textId="77777777" w:rsidR="00DD58DA" w:rsidRPr="00D326F8" w:rsidRDefault="003E23E4" w:rsidP="001C70DF">
            <w:pPr>
              <w:spacing w:before="40" w:after="40"/>
              <w:jc w:val="left"/>
              <w:rPr>
                <w:rFonts w:ascii="Arial" w:eastAsia="MS Mincho" w:hAnsi="Arial" w:cs="Arial"/>
                <w:color w:val="000000"/>
                <w:sz w:val="18"/>
                <w:szCs w:val="18"/>
              </w:rPr>
            </w:pPr>
            <w:r w:rsidRPr="00D326F8">
              <w:rPr>
                <w:rFonts w:ascii="Arial" w:eastAsia="MS Mincho" w:hAnsi="Arial" w:cs="Arial"/>
                <w:color w:val="000000"/>
                <w:sz w:val="18"/>
                <w:szCs w:val="18"/>
              </w:rPr>
              <w:t xml:space="preserve">Ataxia, dizziness, somnolence, diplopia, fatigue, </w:t>
            </w:r>
            <w:r w:rsidR="004F49B1" w:rsidRPr="00D326F8">
              <w:rPr>
                <w:rFonts w:ascii="Arial" w:eastAsia="MS Mincho" w:hAnsi="Arial" w:cs="Arial"/>
                <w:color w:val="000000"/>
                <w:sz w:val="18"/>
                <w:szCs w:val="18"/>
              </w:rPr>
              <w:t xml:space="preserve">and </w:t>
            </w:r>
            <w:r w:rsidRPr="00D326F8">
              <w:rPr>
                <w:rFonts w:ascii="Arial" w:eastAsia="MS Mincho" w:hAnsi="Arial" w:cs="Arial"/>
                <w:color w:val="000000"/>
                <w:sz w:val="18"/>
                <w:szCs w:val="18"/>
              </w:rPr>
              <w:t>accommodation disorders (e.g.</w:t>
            </w:r>
            <w:r w:rsidR="00B617D3" w:rsidRPr="00D326F8">
              <w:rPr>
                <w:rFonts w:ascii="Arial" w:eastAsia="MS Mincho" w:hAnsi="Arial" w:cs="Arial"/>
                <w:color w:val="000000"/>
                <w:sz w:val="18"/>
                <w:szCs w:val="18"/>
              </w:rPr>
              <w:t>,</w:t>
            </w:r>
            <w:r w:rsidRPr="00D326F8">
              <w:rPr>
                <w:rFonts w:ascii="Arial" w:eastAsia="MS Mincho" w:hAnsi="Arial" w:cs="Arial"/>
                <w:color w:val="000000"/>
                <w:sz w:val="18"/>
                <w:szCs w:val="18"/>
              </w:rPr>
              <w:t xml:space="preserve"> blurred vision)</w:t>
            </w:r>
          </w:p>
        </w:tc>
        <w:tc>
          <w:tcPr>
            <w:tcW w:w="1603" w:type="pct"/>
            <w:tcBorders>
              <w:top w:val="single" w:sz="4" w:space="0" w:color="auto"/>
              <w:left w:val="single" w:sz="4" w:space="0" w:color="auto"/>
              <w:bottom w:val="single" w:sz="4" w:space="0" w:color="auto"/>
              <w:right w:val="single" w:sz="4" w:space="0" w:color="auto"/>
            </w:tcBorders>
            <w:hideMark/>
          </w:tcPr>
          <w:p w14:paraId="601A7F74" w14:textId="77777777" w:rsidR="00DD58DA" w:rsidRPr="00D326F8" w:rsidRDefault="003E23E4" w:rsidP="001C70DF">
            <w:pPr>
              <w:spacing w:before="40" w:after="40"/>
              <w:jc w:val="left"/>
              <w:rPr>
                <w:rFonts w:ascii="Arial" w:eastAsia="MS Mincho" w:hAnsi="Arial" w:cs="Arial"/>
                <w:sz w:val="18"/>
                <w:szCs w:val="18"/>
              </w:rPr>
            </w:pPr>
            <w:r w:rsidRPr="00D326F8">
              <w:rPr>
                <w:rFonts w:ascii="Arial" w:eastAsia="MS Mincho" w:hAnsi="Arial" w:cs="Arial"/>
                <w:sz w:val="18"/>
              </w:rPr>
              <w:t>Refer to carbamazepine SmPC and USPI.</w:t>
            </w:r>
          </w:p>
        </w:tc>
        <w:tc>
          <w:tcPr>
            <w:tcW w:w="2088" w:type="pct"/>
            <w:tcBorders>
              <w:top w:val="single" w:sz="4" w:space="0" w:color="auto"/>
              <w:left w:val="single" w:sz="4" w:space="0" w:color="auto"/>
              <w:bottom w:val="single" w:sz="4" w:space="0" w:color="auto"/>
              <w:right w:val="single" w:sz="4" w:space="0" w:color="auto"/>
            </w:tcBorders>
            <w:hideMark/>
          </w:tcPr>
          <w:p w14:paraId="601A7F75" w14:textId="03AF6845"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color w:val="000000" w:themeColor="text1"/>
                <w:sz w:val="18"/>
              </w:rPr>
              <w:t>The risk is considered as managed by adequate measurements such as eligibility criteria (</w:t>
            </w:r>
            <w:r w:rsidR="00157683" w:rsidRPr="00D326F8">
              <w:rPr>
                <w:rFonts w:ascii="Arial" w:eastAsia="MS Mincho" w:hAnsi="Arial" w:cs="Arial"/>
                <w:color w:val="000000"/>
                <w:sz w:val="18"/>
                <w:szCs w:val="18"/>
              </w:rPr>
              <w:t xml:space="preserve">Section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_Ref3989452 \n \h </w:instrText>
            </w:r>
            <w:r w:rsidR="00256B04" w:rsidRP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5.1</w:t>
            </w:r>
            <w:r w:rsidR="00157683" w:rsidRPr="00D326F8">
              <w:rPr>
                <w:rFonts w:ascii="Arial" w:eastAsia="MS Mincho" w:hAnsi="Arial" w:cs="Arial"/>
                <w:color w:val="000000"/>
                <w:sz w:val="18"/>
                <w:szCs w:val="18"/>
              </w:rPr>
              <w:fldChar w:fldCharType="end"/>
            </w:r>
            <w:r w:rsidR="00157683" w:rsidRPr="00D326F8">
              <w:rPr>
                <w:rFonts w:ascii="Arial" w:eastAsia="MS Mincho" w:hAnsi="Arial" w:cs="Arial"/>
                <w:color w:val="000000"/>
                <w:sz w:val="18"/>
                <w:szCs w:val="18"/>
              </w:rPr>
              <w:t xml:space="preserve"> and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_Ref3989475 \n \h </w:instrText>
            </w:r>
            <w:r w:rsidR="00256B04" w:rsidRP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5.2</w:t>
            </w:r>
            <w:r w:rsidR="00157683" w:rsidRPr="00D326F8">
              <w:rPr>
                <w:rFonts w:ascii="Arial" w:eastAsia="MS Mincho" w:hAnsi="Arial" w:cs="Arial"/>
                <w:color w:val="000000"/>
                <w:sz w:val="18"/>
                <w:szCs w:val="18"/>
              </w:rPr>
              <w:fldChar w:fldCharType="end"/>
            </w:r>
            <w:r w:rsidRPr="00D326F8">
              <w:rPr>
                <w:rFonts w:ascii="Arial" w:eastAsia="MS Mincho" w:hAnsi="Arial" w:cs="Arial"/>
                <w:color w:val="000000" w:themeColor="text1"/>
                <w:sz w:val="18"/>
              </w:rPr>
              <w:t xml:space="preserve">) and by advising participants to </w:t>
            </w:r>
            <w:r w:rsidRPr="00D326F8">
              <w:rPr>
                <w:rFonts w:ascii="Arial" w:eastAsia="MS Mincho" w:hAnsi="Arial" w:cs="Arial"/>
                <w:sz w:val="18"/>
              </w:rPr>
              <w:t>be careful when driving a vehicle or operating machinery.</w:t>
            </w:r>
          </w:p>
        </w:tc>
      </w:tr>
      <w:tr w:rsidR="003B74AE" w:rsidRPr="00D326F8" w14:paraId="601A7F7A"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77" w14:textId="77777777" w:rsidR="00DD58DA" w:rsidRPr="00D326F8" w:rsidRDefault="003E23E4" w:rsidP="001C70DF">
            <w:pPr>
              <w:spacing w:before="40" w:after="40"/>
              <w:jc w:val="left"/>
              <w:rPr>
                <w:rFonts w:ascii="Arial" w:eastAsia="MS Mincho" w:hAnsi="Arial" w:cs="Arial"/>
                <w:color w:val="000000"/>
                <w:sz w:val="18"/>
                <w:szCs w:val="18"/>
              </w:rPr>
            </w:pPr>
            <w:r w:rsidRPr="00D326F8">
              <w:rPr>
                <w:rFonts w:ascii="Arial" w:eastAsia="MS Mincho" w:hAnsi="Arial" w:cs="Arial"/>
                <w:color w:val="000000"/>
                <w:sz w:val="18"/>
                <w:szCs w:val="18"/>
              </w:rPr>
              <w:t xml:space="preserve">Vomiting, nausea, </w:t>
            </w:r>
            <w:r w:rsidR="004F49B1" w:rsidRPr="00D326F8">
              <w:rPr>
                <w:rFonts w:ascii="Arial" w:eastAsia="MS Mincho" w:hAnsi="Arial" w:cs="Arial"/>
                <w:color w:val="000000"/>
                <w:sz w:val="18"/>
                <w:szCs w:val="18"/>
              </w:rPr>
              <w:t xml:space="preserve">and </w:t>
            </w:r>
            <w:r w:rsidRPr="00D326F8">
              <w:rPr>
                <w:rFonts w:ascii="Arial" w:eastAsia="MS Mincho" w:hAnsi="Arial" w:cs="Arial"/>
                <w:color w:val="000000"/>
                <w:sz w:val="18"/>
                <w:szCs w:val="18"/>
              </w:rPr>
              <w:t>dry mouth</w:t>
            </w:r>
          </w:p>
        </w:tc>
        <w:tc>
          <w:tcPr>
            <w:tcW w:w="1603" w:type="pct"/>
            <w:tcBorders>
              <w:top w:val="single" w:sz="4" w:space="0" w:color="auto"/>
              <w:left w:val="single" w:sz="4" w:space="0" w:color="auto"/>
              <w:bottom w:val="single" w:sz="4" w:space="0" w:color="auto"/>
              <w:right w:val="single" w:sz="4" w:space="0" w:color="auto"/>
            </w:tcBorders>
            <w:hideMark/>
          </w:tcPr>
          <w:p w14:paraId="601A7F78" w14:textId="77777777"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sz w:val="18"/>
              </w:rPr>
              <w:t>Refer to carbamazepine SmPC and USPI.</w:t>
            </w:r>
          </w:p>
        </w:tc>
        <w:tc>
          <w:tcPr>
            <w:tcW w:w="2088" w:type="pct"/>
            <w:tcBorders>
              <w:top w:val="single" w:sz="4" w:space="0" w:color="auto"/>
              <w:left w:val="single" w:sz="4" w:space="0" w:color="auto"/>
              <w:bottom w:val="single" w:sz="4" w:space="0" w:color="auto"/>
              <w:right w:val="single" w:sz="4" w:space="0" w:color="auto"/>
            </w:tcBorders>
            <w:hideMark/>
          </w:tcPr>
          <w:p w14:paraId="601A7F79" w14:textId="3A7B40D5" w:rsidR="00DD58DA" w:rsidRPr="00D326F8" w:rsidRDefault="003E23E4" w:rsidP="001C70DF">
            <w:pPr>
              <w:spacing w:before="40" w:after="40"/>
              <w:jc w:val="left"/>
              <w:rPr>
                <w:rFonts w:ascii="Arial" w:eastAsia="MS Mincho" w:hAnsi="Arial" w:cs="Arial"/>
                <w:sz w:val="18"/>
              </w:rPr>
            </w:pPr>
            <w:r w:rsidRPr="00D326F8">
              <w:rPr>
                <w:rFonts w:ascii="Arial" w:eastAsia="MS Mincho" w:hAnsi="Arial" w:cs="Arial"/>
                <w:color w:val="000000" w:themeColor="text1"/>
                <w:sz w:val="18"/>
              </w:rPr>
              <w:t>The risk is considered as managed by adequate measurements such as eligibility criteria (</w:t>
            </w:r>
            <w:r w:rsidR="00157683" w:rsidRPr="00D326F8">
              <w:rPr>
                <w:rFonts w:ascii="Arial" w:eastAsia="MS Mincho" w:hAnsi="Arial" w:cs="Arial"/>
                <w:color w:val="000000"/>
                <w:sz w:val="18"/>
                <w:szCs w:val="18"/>
              </w:rPr>
              <w:t xml:space="preserve">Section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_Ref3989452 \n \h </w:instrText>
            </w:r>
            <w:r w:rsidR="00256B04" w:rsidRP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5.1</w:t>
            </w:r>
            <w:r w:rsidR="00157683" w:rsidRPr="00D326F8">
              <w:rPr>
                <w:rFonts w:ascii="Arial" w:eastAsia="MS Mincho" w:hAnsi="Arial" w:cs="Arial"/>
                <w:color w:val="000000"/>
                <w:sz w:val="18"/>
                <w:szCs w:val="18"/>
              </w:rPr>
              <w:fldChar w:fldCharType="end"/>
            </w:r>
            <w:r w:rsidR="00157683" w:rsidRPr="00D326F8">
              <w:rPr>
                <w:rFonts w:ascii="Arial" w:eastAsia="MS Mincho" w:hAnsi="Arial" w:cs="Arial"/>
                <w:color w:val="000000"/>
                <w:sz w:val="18"/>
                <w:szCs w:val="18"/>
              </w:rPr>
              <w:t xml:space="preserve"> and </w:t>
            </w:r>
            <w:r w:rsidR="00157683" w:rsidRPr="00D326F8">
              <w:rPr>
                <w:rFonts w:ascii="Arial" w:eastAsia="MS Mincho" w:hAnsi="Arial" w:cs="Arial"/>
                <w:color w:val="000000"/>
                <w:sz w:val="18"/>
                <w:szCs w:val="18"/>
              </w:rPr>
              <w:fldChar w:fldCharType="begin"/>
            </w:r>
            <w:r w:rsidR="00157683" w:rsidRPr="00D326F8">
              <w:rPr>
                <w:rFonts w:ascii="Arial" w:eastAsia="MS Mincho" w:hAnsi="Arial" w:cs="Arial"/>
                <w:color w:val="000000"/>
                <w:sz w:val="18"/>
                <w:szCs w:val="18"/>
              </w:rPr>
              <w:instrText xml:space="preserve"> REF _Ref3989475 \n \h </w:instrText>
            </w:r>
            <w:r w:rsidR="00256B04" w:rsidRPr="00D326F8">
              <w:rPr>
                <w:rFonts w:ascii="Arial" w:eastAsia="MS Mincho" w:hAnsi="Arial" w:cs="Arial"/>
                <w:color w:val="000000"/>
                <w:sz w:val="18"/>
                <w:szCs w:val="18"/>
              </w:rPr>
              <w:instrText xml:space="preserve"> \* MERGEFORMAT </w:instrText>
            </w:r>
            <w:r w:rsidR="00157683" w:rsidRPr="00D326F8">
              <w:rPr>
                <w:rFonts w:ascii="Arial" w:eastAsia="MS Mincho" w:hAnsi="Arial" w:cs="Arial"/>
                <w:color w:val="000000"/>
                <w:sz w:val="18"/>
                <w:szCs w:val="18"/>
              </w:rPr>
            </w:r>
            <w:r w:rsidR="00157683" w:rsidRPr="00D326F8">
              <w:rPr>
                <w:rFonts w:ascii="Arial" w:eastAsia="MS Mincho" w:hAnsi="Arial" w:cs="Arial"/>
                <w:color w:val="000000"/>
                <w:sz w:val="18"/>
                <w:szCs w:val="18"/>
              </w:rPr>
              <w:fldChar w:fldCharType="separate"/>
            </w:r>
            <w:r w:rsidR="00173A27">
              <w:rPr>
                <w:rFonts w:ascii="Arial" w:eastAsia="MS Mincho" w:hAnsi="Arial" w:cs="Arial"/>
                <w:color w:val="000000"/>
                <w:sz w:val="18"/>
                <w:szCs w:val="18"/>
              </w:rPr>
              <w:t>5.2</w:t>
            </w:r>
            <w:r w:rsidR="00157683" w:rsidRPr="00D326F8">
              <w:rPr>
                <w:rFonts w:ascii="Arial" w:eastAsia="MS Mincho" w:hAnsi="Arial" w:cs="Arial"/>
                <w:color w:val="000000"/>
                <w:sz w:val="18"/>
                <w:szCs w:val="18"/>
              </w:rPr>
              <w:fldChar w:fldCharType="end"/>
            </w:r>
            <w:r w:rsidRPr="00D326F8">
              <w:rPr>
                <w:rFonts w:ascii="Arial" w:eastAsia="MS Mincho" w:hAnsi="Arial" w:cs="Arial"/>
                <w:color w:val="000000" w:themeColor="text1"/>
                <w:sz w:val="18"/>
              </w:rPr>
              <w:t>) and</w:t>
            </w:r>
            <w:r w:rsidRPr="00D326F8">
              <w:rPr>
                <w:rFonts w:ascii="Arial" w:eastAsia="MS Mincho" w:hAnsi="Arial" w:cs="Arial"/>
                <w:sz w:val="18"/>
              </w:rPr>
              <w:t xml:space="preserve"> monitoring of gastrointestinal-related AEs.</w:t>
            </w:r>
          </w:p>
        </w:tc>
      </w:tr>
      <w:tr w:rsidR="003B74AE" w:rsidRPr="00D326F8" w14:paraId="601A7F7C" w14:textId="77777777" w:rsidTr="00DD58D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A7F7B" w14:textId="77777777" w:rsidR="00DD58DA" w:rsidRPr="00D326F8" w:rsidRDefault="003E23E4" w:rsidP="001C70DF">
            <w:pPr>
              <w:keepNext/>
              <w:keepLines/>
              <w:spacing w:before="40" w:after="40"/>
              <w:jc w:val="center"/>
              <w:rPr>
                <w:rFonts w:ascii="Arial" w:eastAsia="MS Mincho" w:hAnsi="Arial" w:cs="Arial"/>
                <w:b/>
                <w:bCs/>
                <w:sz w:val="18"/>
              </w:rPr>
            </w:pPr>
            <w:r w:rsidRPr="00D326F8">
              <w:rPr>
                <w:rFonts w:ascii="Arial" w:eastAsia="Calibri" w:hAnsi="Arial" w:cs="Arial"/>
                <w:b/>
                <w:bCs/>
                <w:sz w:val="18"/>
                <w:lang w:val="en-GB"/>
              </w:rPr>
              <w:lastRenderedPageBreak/>
              <w:t>Study Procedures</w:t>
            </w:r>
          </w:p>
        </w:tc>
      </w:tr>
      <w:tr w:rsidR="003B74AE" w:rsidRPr="00D326F8" w14:paraId="601A7F80"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7D" w14:textId="77777777" w:rsidR="00DD58DA" w:rsidRPr="00D326F8" w:rsidRDefault="003E23E4" w:rsidP="001C70DF">
            <w:pPr>
              <w:keepNext/>
              <w:keepLines/>
              <w:spacing w:before="40" w:after="40"/>
              <w:jc w:val="left"/>
              <w:rPr>
                <w:rFonts w:ascii="Arial" w:eastAsia="Calibri" w:hAnsi="Arial"/>
                <w:sz w:val="18"/>
              </w:rPr>
            </w:pPr>
            <w:r w:rsidRPr="00D326F8">
              <w:rPr>
                <w:rFonts w:ascii="Arial" w:eastAsia="MS Mincho" w:hAnsi="Arial" w:cs="Arial"/>
                <w:sz w:val="18"/>
              </w:rPr>
              <w:t>Blood draw</w:t>
            </w:r>
          </w:p>
        </w:tc>
        <w:tc>
          <w:tcPr>
            <w:tcW w:w="1603" w:type="pct"/>
            <w:tcBorders>
              <w:top w:val="single" w:sz="4" w:space="0" w:color="auto"/>
              <w:left w:val="single" w:sz="4" w:space="0" w:color="auto"/>
              <w:bottom w:val="single" w:sz="4" w:space="0" w:color="auto"/>
              <w:right w:val="single" w:sz="4" w:space="0" w:color="auto"/>
            </w:tcBorders>
            <w:hideMark/>
          </w:tcPr>
          <w:p w14:paraId="601A7F7E" w14:textId="77777777" w:rsidR="00DD58DA" w:rsidRPr="00D326F8" w:rsidRDefault="003E23E4" w:rsidP="001C70DF">
            <w:pPr>
              <w:keepNext/>
              <w:keepLines/>
              <w:spacing w:before="40" w:after="40"/>
              <w:jc w:val="left"/>
              <w:rPr>
                <w:rFonts w:ascii="Arial" w:eastAsia="MS Mincho" w:hAnsi="Arial" w:cs="Arial"/>
                <w:sz w:val="18"/>
              </w:rPr>
            </w:pPr>
            <w:r w:rsidRPr="00D326F8">
              <w:rPr>
                <w:rFonts w:ascii="Arial" w:eastAsia="MS Mincho" w:hAnsi="Arial" w:cs="Arial"/>
                <w:sz w:val="18"/>
              </w:rPr>
              <w:t>Blood draws have the potential to cause AEs such as fainting or hematoma.</w:t>
            </w:r>
          </w:p>
        </w:tc>
        <w:tc>
          <w:tcPr>
            <w:tcW w:w="2088" w:type="pct"/>
            <w:tcBorders>
              <w:top w:val="single" w:sz="4" w:space="0" w:color="auto"/>
              <w:left w:val="single" w:sz="4" w:space="0" w:color="auto"/>
              <w:bottom w:val="single" w:sz="4" w:space="0" w:color="auto"/>
              <w:right w:val="single" w:sz="4" w:space="0" w:color="auto"/>
            </w:tcBorders>
            <w:hideMark/>
          </w:tcPr>
          <w:p w14:paraId="601A7F7F" w14:textId="77777777" w:rsidR="00DD58DA" w:rsidRPr="00D326F8" w:rsidRDefault="003E23E4" w:rsidP="001C70DF">
            <w:pPr>
              <w:keepNext/>
              <w:keepLines/>
              <w:spacing w:before="40" w:after="40"/>
              <w:jc w:val="left"/>
              <w:rPr>
                <w:rFonts w:ascii="Arial" w:eastAsia="MS Mincho" w:hAnsi="Arial" w:cs="Arial"/>
                <w:sz w:val="18"/>
              </w:rPr>
            </w:pPr>
            <w:r w:rsidRPr="00D326F8">
              <w:rPr>
                <w:rFonts w:ascii="Arial" w:eastAsia="MS Mincho" w:hAnsi="Arial" w:cs="Arial"/>
                <w:sz w:val="18"/>
              </w:rPr>
              <w:t>Amount of blood drawn will be strictly controlled. Participants will be in a hospital setting with support from highly trained professionals.</w:t>
            </w:r>
          </w:p>
        </w:tc>
      </w:tr>
      <w:tr w:rsidR="003B74AE" w:rsidRPr="00D326F8" w14:paraId="601A7F84" w14:textId="77777777" w:rsidTr="00DD58DA">
        <w:tc>
          <w:tcPr>
            <w:tcW w:w="1309" w:type="pct"/>
            <w:tcBorders>
              <w:top w:val="single" w:sz="4" w:space="0" w:color="auto"/>
              <w:left w:val="single" w:sz="4" w:space="0" w:color="auto"/>
              <w:bottom w:val="single" w:sz="4" w:space="0" w:color="auto"/>
              <w:right w:val="single" w:sz="4" w:space="0" w:color="auto"/>
            </w:tcBorders>
            <w:hideMark/>
          </w:tcPr>
          <w:p w14:paraId="601A7F81" w14:textId="77777777" w:rsidR="00DD58DA" w:rsidRPr="00D326F8" w:rsidRDefault="003E23E4" w:rsidP="001C70DF">
            <w:pPr>
              <w:keepNext/>
              <w:keepLines/>
              <w:spacing w:before="40" w:after="40"/>
              <w:jc w:val="left"/>
              <w:rPr>
                <w:rFonts w:ascii="Arial" w:eastAsia="Calibri" w:hAnsi="Arial" w:cs="Arial"/>
                <w:sz w:val="18"/>
              </w:rPr>
            </w:pPr>
            <w:r w:rsidRPr="00D326F8">
              <w:rPr>
                <w:rFonts w:ascii="Arial" w:eastAsia="MS Mincho" w:hAnsi="Arial" w:cs="Arial"/>
                <w:sz w:val="18"/>
              </w:rPr>
              <w:t>ECG</w:t>
            </w:r>
          </w:p>
        </w:tc>
        <w:tc>
          <w:tcPr>
            <w:tcW w:w="1603" w:type="pct"/>
            <w:tcBorders>
              <w:top w:val="single" w:sz="4" w:space="0" w:color="auto"/>
              <w:left w:val="single" w:sz="4" w:space="0" w:color="auto"/>
              <w:bottom w:val="single" w:sz="4" w:space="0" w:color="auto"/>
              <w:right w:val="single" w:sz="4" w:space="0" w:color="auto"/>
            </w:tcBorders>
            <w:hideMark/>
          </w:tcPr>
          <w:p w14:paraId="601A7F82" w14:textId="77777777" w:rsidR="00DD58DA" w:rsidRPr="00D326F8" w:rsidRDefault="003E23E4" w:rsidP="001C70DF">
            <w:pPr>
              <w:keepNext/>
              <w:keepLines/>
              <w:spacing w:before="40" w:after="40"/>
              <w:jc w:val="left"/>
              <w:rPr>
                <w:rFonts w:ascii="Arial" w:eastAsia="MS Mincho" w:hAnsi="Arial" w:cs="Arial"/>
                <w:sz w:val="18"/>
              </w:rPr>
            </w:pPr>
            <w:r w:rsidRPr="00D326F8">
              <w:rPr>
                <w:rFonts w:ascii="Arial" w:eastAsia="MS Mincho" w:hAnsi="Arial" w:cs="Arial"/>
                <w:sz w:val="18"/>
              </w:rPr>
              <w:t>Contact allergies can develop during ECG procedures.</w:t>
            </w:r>
          </w:p>
        </w:tc>
        <w:tc>
          <w:tcPr>
            <w:tcW w:w="2088" w:type="pct"/>
            <w:tcBorders>
              <w:top w:val="single" w:sz="4" w:space="0" w:color="auto"/>
              <w:left w:val="single" w:sz="4" w:space="0" w:color="auto"/>
              <w:bottom w:val="single" w:sz="4" w:space="0" w:color="auto"/>
              <w:right w:val="single" w:sz="4" w:space="0" w:color="auto"/>
            </w:tcBorders>
            <w:hideMark/>
          </w:tcPr>
          <w:p w14:paraId="601A7F83" w14:textId="77777777" w:rsidR="00DD58DA" w:rsidRPr="00D326F8" w:rsidRDefault="003E23E4" w:rsidP="001C70DF">
            <w:pPr>
              <w:keepNext/>
              <w:keepLines/>
              <w:spacing w:before="40" w:after="40"/>
              <w:jc w:val="left"/>
              <w:rPr>
                <w:rFonts w:ascii="Arial" w:eastAsia="MS Mincho" w:hAnsi="Arial" w:cs="Arial"/>
                <w:sz w:val="18"/>
              </w:rPr>
            </w:pPr>
            <w:r w:rsidRPr="00D326F8">
              <w:rPr>
                <w:rFonts w:ascii="Arial" w:eastAsia="MS Mincho" w:hAnsi="Arial" w:cs="Arial"/>
                <w:sz w:val="18"/>
              </w:rPr>
              <w:t xml:space="preserve">Participants with known contact allergies will not be included in the study. </w:t>
            </w:r>
          </w:p>
        </w:tc>
      </w:tr>
      <w:tr w:rsidR="003B74AE" w:rsidRPr="00D326F8" w14:paraId="601A7F86" w14:textId="77777777" w:rsidTr="00DD58D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A7F85" w14:textId="77777777" w:rsidR="00DD58DA" w:rsidRPr="00D326F8" w:rsidRDefault="003E23E4" w:rsidP="001C70DF">
            <w:pPr>
              <w:spacing w:before="40" w:after="40"/>
              <w:jc w:val="center"/>
              <w:rPr>
                <w:rFonts w:ascii="Arial" w:eastAsia="Calibri" w:hAnsi="Arial" w:cs="Arial"/>
                <w:b/>
                <w:bCs/>
                <w:sz w:val="18"/>
                <w:lang w:val="en-GB"/>
              </w:rPr>
            </w:pPr>
            <w:r w:rsidRPr="00D326F8">
              <w:rPr>
                <w:rFonts w:ascii="Arial" w:eastAsia="Calibri" w:hAnsi="Arial" w:cs="Arial"/>
                <w:b/>
                <w:bCs/>
                <w:sz w:val="18"/>
                <w:lang w:val="en-GB"/>
              </w:rPr>
              <w:t>Other</w:t>
            </w:r>
          </w:p>
        </w:tc>
      </w:tr>
      <w:tr w:rsidR="003B74AE" w:rsidRPr="00D326F8" w14:paraId="601A7F8A" w14:textId="77777777" w:rsidTr="005822B7">
        <w:tc>
          <w:tcPr>
            <w:tcW w:w="1309" w:type="pct"/>
            <w:tcBorders>
              <w:top w:val="single" w:sz="4" w:space="0" w:color="auto"/>
              <w:left w:val="single" w:sz="4" w:space="0" w:color="auto"/>
              <w:bottom w:val="single" w:sz="4" w:space="0" w:color="auto"/>
              <w:right w:val="single" w:sz="4" w:space="0" w:color="auto"/>
            </w:tcBorders>
            <w:hideMark/>
          </w:tcPr>
          <w:p w14:paraId="601A7F87" w14:textId="77777777" w:rsidR="00DD58DA" w:rsidRPr="00D326F8" w:rsidRDefault="003E23E4" w:rsidP="001C70DF">
            <w:pPr>
              <w:spacing w:before="40" w:after="40"/>
              <w:jc w:val="left"/>
              <w:rPr>
                <w:rFonts w:ascii="Arial" w:eastAsia="Calibri" w:hAnsi="Arial" w:cs="Arial"/>
                <w:sz w:val="18"/>
              </w:rPr>
            </w:pPr>
            <w:bookmarkStart w:id="52" w:name="_Hlk72337440"/>
            <w:r w:rsidRPr="00D326F8">
              <w:rPr>
                <w:rFonts w:ascii="Arial" w:eastAsia="Calibri" w:hAnsi="Arial" w:cs="Arial"/>
                <w:sz w:val="18"/>
              </w:rPr>
              <w:t>Not applicable</w:t>
            </w:r>
          </w:p>
        </w:tc>
        <w:tc>
          <w:tcPr>
            <w:tcW w:w="1603" w:type="pct"/>
            <w:tcBorders>
              <w:top w:val="single" w:sz="4" w:space="0" w:color="auto"/>
              <w:left w:val="single" w:sz="4" w:space="0" w:color="auto"/>
              <w:bottom w:val="single" w:sz="4" w:space="0" w:color="auto"/>
              <w:right w:val="single" w:sz="4" w:space="0" w:color="auto"/>
            </w:tcBorders>
          </w:tcPr>
          <w:p w14:paraId="601A7F88" w14:textId="77777777" w:rsidR="00DD58DA" w:rsidRPr="00D326F8" w:rsidRDefault="00DD58DA" w:rsidP="001C70DF">
            <w:pPr>
              <w:spacing w:before="40" w:after="40"/>
              <w:jc w:val="left"/>
              <w:rPr>
                <w:rFonts w:ascii="Arial" w:eastAsia="Calibri" w:hAnsi="Arial" w:cs="Arial"/>
                <w:sz w:val="18"/>
              </w:rPr>
            </w:pPr>
          </w:p>
        </w:tc>
        <w:tc>
          <w:tcPr>
            <w:tcW w:w="2088" w:type="pct"/>
            <w:tcBorders>
              <w:top w:val="single" w:sz="4" w:space="0" w:color="auto"/>
              <w:left w:val="single" w:sz="4" w:space="0" w:color="auto"/>
              <w:bottom w:val="single" w:sz="4" w:space="0" w:color="auto"/>
              <w:right w:val="single" w:sz="4" w:space="0" w:color="auto"/>
            </w:tcBorders>
          </w:tcPr>
          <w:p w14:paraId="601A7F89" w14:textId="77777777" w:rsidR="00DD58DA" w:rsidRPr="00D326F8" w:rsidRDefault="00DD58DA" w:rsidP="001C70DF">
            <w:pPr>
              <w:spacing w:before="40" w:after="40"/>
              <w:jc w:val="left"/>
              <w:rPr>
                <w:rFonts w:ascii="Arial" w:eastAsia="Calibri" w:hAnsi="Arial" w:cs="Arial"/>
                <w:sz w:val="18"/>
              </w:rPr>
            </w:pPr>
          </w:p>
        </w:tc>
      </w:tr>
      <w:tr w:rsidR="003B74AE" w:rsidRPr="00D326F8" w14:paraId="601A7F8C" w14:textId="77777777" w:rsidTr="005822B7">
        <w:tc>
          <w:tcPr>
            <w:tcW w:w="5000" w:type="pct"/>
            <w:gridSpan w:val="3"/>
            <w:tcBorders>
              <w:top w:val="single" w:sz="4" w:space="0" w:color="auto"/>
              <w:left w:val="nil"/>
              <w:bottom w:val="nil"/>
              <w:right w:val="nil"/>
            </w:tcBorders>
          </w:tcPr>
          <w:p w14:paraId="601A7F8B" w14:textId="7F994775" w:rsidR="005822B7" w:rsidRPr="00D326F8" w:rsidRDefault="003E23E4" w:rsidP="005822B7">
            <w:pPr>
              <w:pStyle w:val="Tablefootnote"/>
              <w:rPr>
                <w:rFonts w:eastAsia="Calibri"/>
              </w:rPr>
            </w:pPr>
            <w:r w:rsidRPr="00D326F8">
              <w:rPr>
                <w:rFonts w:eastAsia="Calibri"/>
              </w:rPr>
              <w:t xml:space="preserve">AEs=adverse events, ALP=alkaline phosphatase, ALT=alanine aminotransferase, AST=aspartate aminotransferase, c-Met=tyrosine-protein kinase Met or hepatocyte growth factor receptor, ECG=electrocardiogram, IB=investigator’s brochure, LFT=liver function test, SmPC=summary of product characteristics, USPI=United States </w:t>
            </w:r>
            <w:r w:rsidR="00256B04" w:rsidRPr="00D326F8">
              <w:rPr>
                <w:rFonts w:eastAsia="Calibri"/>
              </w:rPr>
              <w:t>p</w:t>
            </w:r>
            <w:r w:rsidRPr="00D326F8">
              <w:rPr>
                <w:rFonts w:eastAsia="Calibri"/>
              </w:rPr>
              <w:t>rescribing information.</w:t>
            </w:r>
          </w:p>
        </w:tc>
      </w:tr>
    </w:tbl>
    <w:p w14:paraId="601A7F8D" w14:textId="77777777" w:rsidR="00DD58DA" w:rsidRPr="00D326F8" w:rsidRDefault="003E23E4" w:rsidP="006A0BB7">
      <w:pPr>
        <w:keepNext/>
        <w:numPr>
          <w:ilvl w:val="3"/>
          <w:numId w:val="4"/>
        </w:numPr>
        <w:outlineLvl w:val="3"/>
        <w:rPr>
          <w:rFonts w:eastAsia="MS Mincho"/>
          <w:b/>
          <w:sz w:val="28"/>
        </w:rPr>
      </w:pPr>
      <w:bookmarkStart w:id="53" w:name="_Toc56754661"/>
      <w:bookmarkStart w:id="54" w:name="_Toc64014650"/>
      <w:bookmarkStart w:id="55" w:name="_Toc72351792"/>
      <w:bookmarkEnd w:id="51"/>
      <w:bookmarkEnd w:id="52"/>
      <w:r w:rsidRPr="00D326F8">
        <w:rPr>
          <w:rFonts w:eastAsia="MS Mincho"/>
          <w:b/>
          <w:sz w:val="28"/>
        </w:rPr>
        <w:t>Potential Risks associated with the COVID-19 Pandemic Situation</w:t>
      </w:r>
      <w:bookmarkEnd w:id="53"/>
      <w:bookmarkEnd w:id="54"/>
      <w:bookmarkEnd w:id="55"/>
    </w:p>
    <w:p w14:paraId="601A7F8E" w14:textId="77777777" w:rsidR="00DD58DA" w:rsidRPr="00D326F8" w:rsidRDefault="003E23E4" w:rsidP="00DD58DA">
      <w:pPr>
        <w:spacing w:after="120"/>
        <w:rPr>
          <w:rFonts w:eastAsia="MS Mincho"/>
        </w:rPr>
      </w:pPr>
      <w:bookmarkStart w:id="56" w:name="_Hlk59381567"/>
      <w:r w:rsidRPr="00D326F8">
        <w:rPr>
          <w:rFonts w:eastAsia="MS Mincho"/>
        </w:rPr>
        <w:t xml:space="preserve">As for the general population, there is a risk of a SARS-CoV-2 infection for study participants </w:t>
      </w:r>
      <w:proofErr w:type="gramStart"/>
      <w:r w:rsidRPr="00D326F8">
        <w:rPr>
          <w:rFonts w:eastAsia="MS Mincho"/>
        </w:rPr>
        <w:t>as long as</w:t>
      </w:r>
      <w:proofErr w:type="gramEnd"/>
      <w:r w:rsidRPr="00D326F8">
        <w:rPr>
          <w:rFonts w:eastAsia="MS Mincho"/>
        </w:rPr>
        <w:t xml:space="preserve"> the COVID-19 pandemic situation is ongoing. </w:t>
      </w:r>
    </w:p>
    <w:p w14:paraId="601A7F8F" w14:textId="7380B22A" w:rsidR="00DD58DA" w:rsidRPr="00D326F8" w:rsidRDefault="003E23E4" w:rsidP="00DD58DA">
      <w:pPr>
        <w:spacing w:after="120"/>
        <w:rPr>
          <w:rFonts w:eastAsia="MS Mincho"/>
        </w:rPr>
      </w:pPr>
      <w:r w:rsidRPr="00D326F8">
        <w:rPr>
          <w:rFonts w:eastAsia="MS Mincho"/>
        </w:rPr>
        <w:t>During the entire study, all recommendations issued by the Robert Koch Institute as well as local guidelines will be followed with respect to the minimization of the risk of disease spreading, e.g.</w:t>
      </w:r>
      <w:r w:rsidR="00B617D3" w:rsidRPr="00D326F8">
        <w:rPr>
          <w:rFonts w:eastAsia="MS Mincho"/>
        </w:rPr>
        <w:t>,</w:t>
      </w:r>
      <w:r w:rsidRPr="00D326F8">
        <w:rPr>
          <w:rFonts w:eastAsia="MS Mincho"/>
        </w:rPr>
        <w:t xml:space="preserve"> social distancing, disinfection, hygiene, and wearing of appropriate mouth-nose masks. During the pandemic situation, further measures according to recommendations and requirements from local </w:t>
      </w:r>
      <w:r w:rsidR="00632039" w:rsidRPr="00D326F8">
        <w:rPr>
          <w:rFonts w:eastAsia="MS Mincho"/>
        </w:rPr>
        <w:t>H</w:t>
      </w:r>
      <w:r w:rsidRPr="00D326F8">
        <w:rPr>
          <w:rFonts w:eastAsia="MS Mincho"/>
        </w:rPr>
        <w:t xml:space="preserve">ealth </w:t>
      </w:r>
      <w:r w:rsidR="00632039" w:rsidRPr="00D326F8">
        <w:rPr>
          <w:rFonts w:eastAsia="MS Mincho"/>
        </w:rPr>
        <w:t>A</w:t>
      </w:r>
      <w:r w:rsidRPr="00D326F8">
        <w:rPr>
          <w:rFonts w:eastAsia="MS Mincho"/>
        </w:rPr>
        <w:t xml:space="preserve">uthorities may become necessary and will be followed within the context of this study as far as applicable, </w:t>
      </w:r>
      <w:proofErr w:type="gramStart"/>
      <w:r w:rsidRPr="00D326F8">
        <w:rPr>
          <w:rFonts w:eastAsia="MS Mincho"/>
        </w:rPr>
        <w:t>in order to</w:t>
      </w:r>
      <w:proofErr w:type="gramEnd"/>
      <w:r w:rsidRPr="00D326F8">
        <w:rPr>
          <w:rFonts w:eastAsia="MS Mincho"/>
        </w:rPr>
        <w:t xml:space="preserve"> ensure full implementation of the principles of GCP with priority on participant safety in this study also during the COVID</w:t>
      </w:r>
      <w:r w:rsidR="00632039" w:rsidRPr="00D326F8">
        <w:rPr>
          <w:rFonts w:eastAsia="MS Mincho"/>
        </w:rPr>
        <w:noBreakHyphen/>
      </w:r>
      <w:r w:rsidRPr="00D326F8">
        <w:rPr>
          <w:rFonts w:eastAsia="MS Mincho"/>
        </w:rPr>
        <w:t>19 pandemic situation.</w:t>
      </w:r>
      <w:r w:rsidRPr="00D326F8">
        <w:rPr>
          <w:rFonts w:eastAsia="MS Mincho"/>
          <w:lang w:val="en-GB"/>
        </w:rPr>
        <w:t xml:space="preserve"> These measures are described in a preventive action plan implemented at the Investigator site.</w:t>
      </w:r>
    </w:p>
    <w:p w14:paraId="601A7F90" w14:textId="77777777" w:rsidR="00DD58DA" w:rsidRPr="00D326F8" w:rsidRDefault="003E23E4" w:rsidP="00DD58DA">
      <w:pPr>
        <w:pStyle w:val="BodyText"/>
      </w:pPr>
      <w:proofErr w:type="gramStart"/>
      <w:r w:rsidRPr="00D326F8">
        <w:rPr>
          <w:rFonts w:eastAsia="MS Mincho"/>
        </w:rPr>
        <w:t>In order to</w:t>
      </w:r>
      <w:proofErr w:type="gramEnd"/>
      <w:r w:rsidRPr="00D326F8">
        <w:rPr>
          <w:rFonts w:eastAsia="MS Mincho"/>
        </w:rPr>
        <w:t xml:space="preserve"> minimize the risk coming from a current infection and the risk of getting infected by other participants during the in-house </w:t>
      </w:r>
      <w:r w:rsidR="003B3988" w:rsidRPr="00D326F8">
        <w:rPr>
          <w:rFonts w:eastAsia="MS Mincho"/>
        </w:rPr>
        <w:t>periods</w:t>
      </w:r>
      <w:r w:rsidRPr="00D326F8">
        <w:rPr>
          <w:rFonts w:eastAsia="MS Mincho"/>
        </w:rPr>
        <w:t xml:space="preserve"> of the study, the following measures are to be implemented: Only participants without any symptoms of a respiratory disease and without contact to any known SARS-CoV-2 positive patient or COVID-19 patient will be included into the study. Furthermore, as a part of the clinical study procedures, participants will be closely monitored (including for signs of COVID-19) during the entire study duration. The continuation of the study in the case of a SARS</w:t>
      </w:r>
      <w:r w:rsidRPr="00D326F8">
        <w:rPr>
          <w:rFonts w:eastAsia="MS Mincho"/>
        </w:rPr>
        <w:noBreakHyphen/>
        <w:t>CoV</w:t>
      </w:r>
      <w:r w:rsidRPr="00D326F8">
        <w:rPr>
          <w:rFonts w:eastAsia="MS Mincho"/>
        </w:rPr>
        <w:noBreakHyphen/>
        <w:t>2 infection in a study participant or in an identified contact to a SARS</w:t>
      </w:r>
      <w:r w:rsidRPr="00D326F8">
        <w:rPr>
          <w:rFonts w:eastAsia="MS Mincho"/>
        </w:rPr>
        <w:noBreakHyphen/>
        <w:t>CoV</w:t>
      </w:r>
      <w:r w:rsidRPr="00D326F8">
        <w:rPr>
          <w:rFonts w:eastAsia="MS Mincho"/>
        </w:rPr>
        <w:noBreakHyphen/>
        <w:t>2 positive participant or COVID</w:t>
      </w:r>
      <w:r w:rsidRPr="00D326F8">
        <w:rPr>
          <w:rFonts w:eastAsia="MS Mincho"/>
        </w:rPr>
        <w:noBreakHyphen/>
        <w:t>19 patient will be decided at the Investigator’s discretion and in agreement with the medical monitoring team. The Sponsor will monitor the events related to any SARS-CoV</w:t>
      </w:r>
      <w:r w:rsidRPr="00D326F8">
        <w:rPr>
          <w:rFonts w:eastAsia="MS Mincho"/>
        </w:rPr>
        <w:noBreakHyphen/>
        <w:t>2 infection reported following tepotinib regularly and update the recommendations, if necessary.</w:t>
      </w:r>
      <w:bookmarkEnd w:id="56"/>
    </w:p>
    <w:p w14:paraId="601A7F91" w14:textId="77777777" w:rsidR="00420A69" w:rsidRPr="00D326F8" w:rsidRDefault="003E23E4" w:rsidP="00B254C1">
      <w:pPr>
        <w:pStyle w:val="Heading3"/>
      </w:pPr>
      <w:bookmarkStart w:id="57" w:name="_Toc528734847"/>
      <w:bookmarkStart w:id="58" w:name="_Toc23511432"/>
      <w:bookmarkStart w:id="59" w:name="_Toc77839724"/>
      <w:r w:rsidRPr="00D326F8">
        <w:lastRenderedPageBreak/>
        <w:t>Benefit Assessment</w:t>
      </w:r>
      <w:bookmarkEnd w:id="57"/>
      <w:bookmarkEnd w:id="58"/>
      <w:bookmarkEnd w:id="59"/>
    </w:p>
    <w:p w14:paraId="601A7F92" w14:textId="77777777" w:rsidR="00420A69" w:rsidRPr="00D326F8" w:rsidRDefault="003E23E4" w:rsidP="00DD58DA">
      <w:pPr>
        <w:pStyle w:val="BodyText"/>
        <w:rPr>
          <w:rFonts w:eastAsia="Calibri"/>
        </w:rPr>
      </w:pPr>
      <w:r w:rsidRPr="00D326F8">
        <w:rPr>
          <w:rFonts w:eastAsia="Calibri"/>
        </w:rPr>
        <w:t>Healthy participants may not expect a benefit from participating in a clinical study with tepotinib. The inclusion of healthy participants minimizes variability compared to a study in patients. This study significantly contributes to the process of developing new therapies to areas of unmet need.</w:t>
      </w:r>
    </w:p>
    <w:p w14:paraId="601A7F93" w14:textId="77777777" w:rsidR="00420A69" w:rsidRPr="00D326F8" w:rsidRDefault="003E23E4" w:rsidP="00B254C1">
      <w:pPr>
        <w:pStyle w:val="Heading3"/>
      </w:pPr>
      <w:bookmarkStart w:id="60" w:name="_Toc528734848"/>
      <w:bookmarkStart w:id="61" w:name="_Toc23511433"/>
      <w:bookmarkStart w:id="62" w:name="_Toc77839725"/>
      <w:r w:rsidRPr="00D326F8">
        <w:t>Overall Benefit: Risk Conclusion</w:t>
      </w:r>
      <w:bookmarkEnd w:id="60"/>
      <w:bookmarkEnd w:id="61"/>
      <w:bookmarkEnd w:id="62"/>
    </w:p>
    <w:p w14:paraId="601A7F94" w14:textId="7BFBBD44" w:rsidR="00420A69" w:rsidRPr="00D326F8" w:rsidRDefault="003E23E4" w:rsidP="001C44E9">
      <w:pPr>
        <w:pStyle w:val="BodyText"/>
        <w:rPr>
          <w:rFonts w:eastAsia="Calibri"/>
        </w:rPr>
      </w:pPr>
      <w:r w:rsidRPr="00D326F8">
        <w:t>Risk minimization measures routinely implemented in early phase clinical studies are considered adequate, including exclusion criteria (Section</w:t>
      </w:r>
      <w:r w:rsidR="00157683" w:rsidRPr="00D326F8">
        <w:t xml:space="preserve"> </w:t>
      </w:r>
      <w:r w:rsidR="00157683" w:rsidRPr="00D326F8">
        <w:fldChar w:fldCharType="begin"/>
      </w:r>
      <w:r w:rsidR="00157683" w:rsidRPr="00D326F8">
        <w:instrText xml:space="preserve"> REF _Ref3989475 \n \h </w:instrText>
      </w:r>
      <w:r w:rsidR="00D326F8">
        <w:instrText xml:space="preserve"> \* MERGEFORMAT </w:instrText>
      </w:r>
      <w:r w:rsidR="00157683" w:rsidRPr="00D326F8">
        <w:fldChar w:fldCharType="separate"/>
      </w:r>
      <w:r w:rsidR="00173A27">
        <w:t>5.2</w:t>
      </w:r>
      <w:r w:rsidR="00157683" w:rsidRPr="00D326F8">
        <w:fldChar w:fldCharType="end"/>
      </w:r>
      <w:r w:rsidRPr="00D326F8">
        <w:t>), close biochemical and hematology laboratory monitoring (Section</w:t>
      </w:r>
      <w:r w:rsidR="00157683" w:rsidRPr="00D326F8">
        <w:t xml:space="preserve"> </w:t>
      </w:r>
      <w:r w:rsidR="00157683" w:rsidRPr="00D326F8">
        <w:fldChar w:fldCharType="begin"/>
      </w:r>
      <w:r w:rsidR="00157683" w:rsidRPr="00D326F8">
        <w:instrText xml:space="preserve"> REF _Ref74915673 \n \h </w:instrText>
      </w:r>
      <w:r w:rsidR="00D326F8">
        <w:instrText xml:space="preserve"> \* MERGEFORMAT </w:instrText>
      </w:r>
      <w:r w:rsidR="00157683" w:rsidRPr="00D326F8">
        <w:fldChar w:fldCharType="separate"/>
      </w:r>
      <w:r w:rsidR="00173A27">
        <w:t>8.2.4</w:t>
      </w:r>
      <w:r w:rsidR="00157683" w:rsidRPr="00D326F8">
        <w:fldChar w:fldCharType="end"/>
      </w:r>
      <w:r w:rsidRPr="00D326F8">
        <w:t>), stringent contraception requirements (e.g.</w:t>
      </w:r>
      <w:r w:rsidR="00B617D3" w:rsidRPr="00D326F8">
        <w:t>,</w:t>
      </w:r>
      <w:r w:rsidRPr="00D326F8">
        <w:t xml:space="preserve"> WOCBP excluded; </w:t>
      </w:r>
      <w:r w:rsidR="00157683" w:rsidRPr="00D326F8">
        <w:t>Section</w:t>
      </w:r>
      <w:r w:rsidR="00632039" w:rsidRPr="00D326F8">
        <w:t> </w:t>
      </w:r>
      <w:r w:rsidR="00157683" w:rsidRPr="00D326F8">
        <w:fldChar w:fldCharType="begin"/>
      </w:r>
      <w:r w:rsidR="00157683" w:rsidRPr="00D326F8">
        <w:instrText xml:space="preserve"> REF _Ref3989475 \n \h </w:instrText>
      </w:r>
      <w:r w:rsidR="00D326F8">
        <w:instrText xml:space="preserve"> \* MERGEFORMAT </w:instrText>
      </w:r>
      <w:r w:rsidR="00157683" w:rsidRPr="00D326F8">
        <w:fldChar w:fldCharType="separate"/>
      </w:r>
      <w:r w:rsidR="00173A27">
        <w:t>5.2</w:t>
      </w:r>
      <w:r w:rsidR="00157683" w:rsidRPr="00D326F8">
        <w:fldChar w:fldCharType="end"/>
      </w:r>
      <w:r w:rsidRPr="00D326F8">
        <w:t xml:space="preserve">), adverse events and the observation of vital signs and </w:t>
      </w:r>
      <w:r w:rsidR="00255707" w:rsidRPr="00D326F8">
        <w:t xml:space="preserve">ECGs </w:t>
      </w:r>
      <w:r w:rsidRPr="00D326F8">
        <w:t>(Sections</w:t>
      </w:r>
      <w:r w:rsidR="003B3988" w:rsidRPr="00D326F8">
        <w:t> </w:t>
      </w:r>
      <w:r w:rsidR="00157683" w:rsidRPr="00D326F8">
        <w:fldChar w:fldCharType="begin"/>
      </w:r>
      <w:r w:rsidR="00157683" w:rsidRPr="00D326F8">
        <w:instrText xml:space="preserve"> REF _Ref74915692 \n \h </w:instrText>
      </w:r>
      <w:r w:rsidR="00D326F8">
        <w:instrText xml:space="preserve"> \* MERGEFORMAT </w:instrText>
      </w:r>
      <w:r w:rsidR="00157683" w:rsidRPr="00D326F8">
        <w:fldChar w:fldCharType="separate"/>
      </w:r>
      <w:r w:rsidR="00173A27">
        <w:t>8.2.2</w:t>
      </w:r>
      <w:r w:rsidR="00157683" w:rsidRPr="00D326F8">
        <w:fldChar w:fldCharType="end"/>
      </w:r>
      <w:r w:rsidRPr="00D326F8">
        <w:t xml:space="preserve"> and </w:t>
      </w:r>
      <w:r w:rsidR="00157683" w:rsidRPr="00D326F8">
        <w:fldChar w:fldCharType="begin"/>
      </w:r>
      <w:r w:rsidR="00157683" w:rsidRPr="00D326F8">
        <w:instrText xml:space="preserve"> REF _Ref74915706 \n \h </w:instrText>
      </w:r>
      <w:r w:rsidR="00D326F8">
        <w:instrText xml:space="preserve"> \* MERGEFORMAT </w:instrText>
      </w:r>
      <w:r w:rsidR="00157683" w:rsidRPr="00D326F8">
        <w:fldChar w:fldCharType="separate"/>
      </w:r>
      <w:r w:rsidR="00173A27">
        <w:t>8.2.3</w:t>
      </w:r>
      <w:r w:rsidR="00157683" w:rsidRPr="00D326F8">
        <w:fldChar w:fldCharType="end"/>
      </w:r>
      <w:r w:rsidRPr="00D326F8">
        <w:t>). Tepotinib and/or carbamazepine will be discontinued in case of events that unacceptably endanger the safety of the participant (Section</w:t>
      </w:r>
      <w:r w:rsidR="00632039" w:rsidRPr="00D326F8">
        <w:t> </w:t>
      </w:r>
      <w:r w:rsidR="00157683" w:rsidRPr="00D326F8">
        <w:fldChar w:fldCharType="begin"/>
      </w:r>
      <w:r w:rsidR="00157683" w:rsidRPr="00D326F8">
        <w:instrText xml:space="preserve"> REF _Ref74915720 \n \h </w:instrText>
      </w:r>
      <w:r w:rsidR="00D326F8">
        <w:instrText xml:space="preserve"> \* MERGEFORMAT </w:instrText>
      </w:r>
      <w:r w:rsidR="00157683" w:rsidRPr="00D326F8">
        <w:fldChar w:fldCharType="separate"/>
      </w:r>
      <w:r w:rsidR="00173A27">
        <w:t>8.3</w:t>
      </w:r>
      <w:r w:rsidR="00157683" w:rsidRPr="00D326F8">
        <w:fldChar w:fldCharType="end"/>
      </w:r>
      <w:r w:rsidRPr="00D326F8">
        <w:t xml:space="preserve">). Considering the measures taken to minimize risk to participants in this study, the potential risks identified in association with </w:t>
      </w:r>
      <w:proofErr w:type="gramStart"/>
      <w:r w:rsidRPr="00D326F8">
        <w:t>tepotinib</w:t>
      </w:r>
      <w:proofErr w:type="gramEnd"/>
      <w:r w:rsidRPr="00D326F8">
        <w:t xml:space="preserve"> and carbamazepine are considered justified in healthy participants.</w:t>
      </w:r>
    </w:p>
    <w:p w14:paraId="601A7F95" w14:textId="77777777" w:rsidR="005C29A6" w:rsidRPr="00D326F8" w:rsidRDefault="003E23E4" w:rsidP="006E7232">
      <w:pPr>
        <w:pStyle w:val="Heading1"/>
      </w:pPr>
      <w:bookmarkStart w:id="63" w:name="_Ref74478285"/>
      <w:bookmarkStart w:id="64" w:name="_Ref74916082"/>
      <w:bookmarkStart w:id="65" w:name="_Toc77839726"/>
      <w:r w:rsidRPr="00D326F8">
        <w:t>Objectives and Endpoints</w:t>
      </w:r>
      <w:bookmarkEnd w:id="63"/>
      <w:bookmarkEnd w:id="64"/>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5034"/>
        <w:gridCol w:w="701"/>
      </w:tblGrid>
      <w:tr w:rsidR="003B74AE" w:rsidRPr="00D326F8" w14:paraId="601A7F99" w14:textId="77777777" w:rsidTr="00BC73C5">
        <w:trPr>
          <w:cantSplit/>
          <w:tblHeader/>
        </w:trPr>
        <w:tc>
          <w:tcPr>
            <w:tcW w:w="1874" w:type="pct"/>
            <w:tcBorders>
              <w:top w:val="single" w:sz="4" w:space="0" w:color="auto"/>
              <w:left w:val="single" w:sz="4" w:space="0" w:color="auto"/>
              <w:bottom w:val="single" w:sz="4" w:space="0" w:color="auto"/>
              <w:right w:val="single" w:sz="4" w:space="0" w:color="auto"/>
            </w:tcBorders>
            <w:hideMark/>
          </w:tcPr>
          <w:p w14:paraId="601A7F96" w14:textId="77777777" w:rsidR="00BC73C5" w:rsidRPr="00D326F8" w:rsidRDefault="003E23E4" w:rsidP="00BC73C5">
            <w:pPr>
              <w:keepNext/>
              <w:spacing w:before="40" w:after="40"/>
              <w:jc w:val="left"/>
              <w:rPr>
                <w:rFonts w:ascii="Arial" w:eastAsia="MS Mincho" w:hAnsi="Arial" w:cs="Arial"/>
                <w:b/>
                <w:bCs/>
                <w:sz w:val="18"/>
              </w:rPr>
            </w:pPr>
            <w:bookmarkStart w:id="66" w:name="_Hlk27062239"/>
            <w:bookmarkStart w:id="67" w:name="_Hlk66875579"/>
            <w:r w:rsidRPr="00D326F8">
              <w:rPr>
                <w:rFonts w:ascii="Arial" w:eastAsia="MS Mincho" w:hAnsi="Arial" w:cs="Arial"/>
                <w:b/>
                <w:bCs/>
                <w:sz w:val="18"/>
              </w:rPr>
              <w:t>Objectives</w:t>
            </w:r>
          </w:p>
        </w:tc>
        <w:tc>
          <w:tcPr>
            <w:tcW w:w="2744" w:type="pct"/>
            <w:tcBorders>
              <w:top w:val="single" w:sz="4" w:space="0" w:color="auto"/>
              <w:left w:val="single" w:sz="4" w:space="0" w:color="auto"/>
              <w:bottom w:val="single" w:sz="4" w:space="0" w:color="auto"/>
              <w:right w:val="single" w:sz="4" w:space="0" w:color="auto"/>
            </w:tcBorders>
            <w:hideMark/>
          </w:tcPr>
          <w:p w14:paraId="601A7F97" w14:textId="77777777" w:rsidR="00BC73C5" w:rsidRPr="00D326F8" w:rsidRDefault="003E23E4" w:rsidP="00BC73C5">
            <w:pPr>
              <w:keepNext/>
              <w:spacing w:before="40" w:after="40"/>
              <w:jc w:val="left"/>
              <w:rPr>
                <w:rFonts w:ascii="Arial" w:eastAsia="MS Mincho" w:hAnsi="Arial" w:cs="Arial"/>
                <w:b/>
                <w:bCs/>
                <w:sz w:val="18"/>
              </w:rPr>
            </w:pPr>
            <w:r w:rsidRPr="00D326F8">
              <w:rPr>
                <w:rFonts w:ascii="Arial" w:eastAsia="MS Mincho" w:hAnsi="Arial" w:cs="Arial"/>
                <w:b/>
                <w:bCs/>
                <w:sz w:val="18"/>
              </w:rPr>
              <w:t xml:space="preserve">Endpoints </w:t>
            </w:r>
          </w:p>
        </w:tc>
        <w:tc>
          <w:tcPr>
            <w:tcW w:w="382" w:type="pct"/>
            <w:tcBorders>
              <w:top w:val="single" w:sz="4" w:space="0" w:color="auto"/>
              <w:left w:val="single" w:sz="4" w:space="0" w:color="auto"/>
              <w:bottom w:val="single" w:sz="4" w:space="0" w:color="auto"/>
              <w:right w:val="single" w:sz="4" w:space="0" w:color="auto"/>
            </w:tcBorders>
            <w:hideMark/>
          </w:tcPr>
          <w:p w14:paraId="601A7F98" w14:textId="77777777" w:rsidR="00BC73C5" w:rsidRPr="00D326F8" w:rsidRDefault="003E23E4" w:rsidP="00BC73C5">
            <w:pPr>
              <w:keepNext/>
              <w:spacing w:before="40" w:after="40"/>
              <w:jc w:val="left"/>
              <w:rPr>
                <w:rFonts w:ascii="Arial" w:eastAsia="MS Mincho" w:hAnsi="Arial" w:cs="Arial"/>
                <w:b/>
                <w:bCs/>
                <w:sz w:val="18"/>
              </w:rPr>
            </w:pPr>
            <w:r w:rsidRPr="00D326F8">
              <w:rPr>
                <w:rFonts w:ascii="Arial" w:eastAsia="MS Mincho" w:hAnsi="Arial" w:cs="Arial"/>
                <w:b/>
                <w:bCs/>
                <w:sz w:val="18"/>
              </w:rPr>
              <w:t>Ref #</w:t>
            </w:r>
          </w:p>
        </w:tc>
      </w:tr>
      <w:tr w:rsidR="003B74AE" w:rsidRPr="00D326F8" w14:paraId="601A7F9D" w14:textId="77777777" w:rsidTr="00BC73C5">
        <w:trPr>
          <w:cantSplit/>
        </w:trPr>
        <w:tc>
          <w:tcPr>
            <w:tcW w:w="187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A7F9A" w14:textId="77777777" w:rsidR="00BC73C5" w:rsidRPr="00D326F8" w:rsidRDefault="003E23E4" w:rsidP="00BC73C5">
            <w:pPr>
              <w:keepNext/>
              <w:spacing w:before="40" w:after="40"/>
              <w:jc w:val="left"/>
              <w:rPr>
                <w:rFonts w:ascii="Arial" w:eastAsia="MS Mincho" w:hAnsi="Arial" w:cs="Arial"/>
                <w:b/>
                <w:bCs/>
                <w:sz w:val="18"/>
              </w:rPr>
            </w:pPr>
            <w:r w:rsidRPr="00D326F8">
              <w:rPr>
                <w:rFonts w:ascii="Arial" w:eastAsia="MS Mincho" w:hAnsi="Arial" w:cs="Arial"/>
                <w:b/>
                <w:bCs/>
                <w:sz w:val="18"/>
              </w:rPr>
              <w:t>Primary</w:t>
            </w:r>
          </w:p>
        </w:tc>
        <w:tc>
          <w:tcPr>
            <w:tcW w:w="27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F9B" w14:textId="77777777" w:rsidR="00BC73C5" w:rsidRPr="00D326F8" w:rsidRDefault="00BC73C5" w:rsidP="00BC73C5">
            <w:pPr>
              <w:keepNext/>
              <w:spacing w:before="40" w:after="40"/>
              <w:jc w:val="left"/>
              <w:rPr>
                <w:rFonts w:ascii="Arial" w:eastAsia="MS Mincho" w:hAnsi="Arial" w:cs="Arial"/>
                <w:b/>
                <w:bCs/>
                <w:sz w:val="18"/>
                <w:lang w:val="en-GB"/>
              </w:rPr>
            </w:pPr>
          </w:p>
        </w:tc>
        <w:tc>
          <w:tcPr>
            <w:tcW w:w="3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F9C" w14:textId="77777777" w:rsidR="00BC73C5" w:rsidRPr="00D326F8" w:rsidRDefault="00BC73C5" w:rsidP="00BC73C5">
            <w:pPr>
              <w:keepNext/>
              <w:spacing w:before="40" w:after="40"/>
              <w:jc w:val="left"/>
              <w:rPr>
                <w:rFonts w:ascii="Arial" w:eastAsia="MS Mincho" w:hAnsi="Arial" w:cs="Arial"/>
                <w:b/>
                <w:bCs/>
                <w:sz w:val="18"/>
              </w:rPr>
            </w:pPr>
          </w:p>
        </w:tc>
      </w:tr>
      <w:tr w:rsidR="003B74AE" w:rsidRPr="00D326F8" w14:paraId="601A7FA1" w14:textId="77777777" w:rsidTr="00BC73C5">
        <w:trPr>
          <w:cantSplit/>
        </w:trPr>
        <w:tc>
          <w:tcPr>
            <w:tcW w:w="1874" w:type="pct"/>
            <w:tcBorders>
              <w:top w:val="single" w:sz="4" w:space="0" w:color="auto"/>
              <w:left w:val="single" w:sz="4" w:space="0" w:color="auto"/>
              <w:bottom w:val="single" w:sz="4" w:space="0" w:color="auto"/>
              <w:right w:val="single" w:sz="4" w:space="0" w:color="auto"/>
            </w:tcBorders>
            <w:hideMark/>
          </w:tcPr>
          <w:p w14:paraId="601A7F9E" w14:textId="77777777" w:rsidR="00BC73C5" w:rsidRPr="00D326F8" w:rsidRDefault="003E23E4" w:rsidP="00BC73C5">
            <w:pPr>
              <w:keepNext/>
              <w:spacing w:before="40" w:after="40"/>
              <w:jc w:val="left"/>
              <w:rPr>
                <w:rFonts w:ascii="Arial" w:eastAsia="MS Mincho" w:hAnsi="Arial" w:cs="Arial"/>
                <w:sz w:val="18"/>
              </w:rPr>
            </w:pPr>
            <w:r w:rsidRPr="00D326F8">
              <w:rPr>
                <w:rFonts w:ascii="Arial" w:eastAsia="MS Mincho" w:hAnsi="Arial" w:cs="Arial"/>
                <w:sz w:val="18"/>
              </w:rPr>
              <w:t>To investigate the effect of multiple doses of carbamazepine on the PK of a single dose of tepotinib in healthy participants</w:t>
            </w:r>
          </w:p>
        </w:tc>
        <w:tc>
          <w:tcPr>
            <w:tcW w:w="2744" w:type="pct"/>
            <w:tcBorders>
              <w:top w:val="single" w:sz="4" w:space="0" w:color="auto"/>
              <w:left w:val="single" w:sz="4" w:space="0" w:color="auto"/>
              <w:bottom w:val="single" w:sz="4" w:space="0" w:color="auto"/>
              <w:right w:val="single" w:sz="4" w:space="0" w:color="auto"/>
            </w:tcBorders>
            <w:hideMark/>
          </w:tcPr>
          <w:p w14:paraId="601A7F9F" w14:textId="7A08BE07" w:rsidR="00BC73C5" w:rsidRPr="00D326F8" w:rsidRDefault="003E23E4" w:rsidP="00145703">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Plasma tepotinib AUC</w:t>
            </w:r>
            <w:r w:rsidRPr="00D326F8">
              <w:rPr>
                <w:rFonts w:ascii="Arial" w:eastAsia="MS Mincho" w:hAnsi="Arial" w:cs="Arial"/>
                <w:sz w:val="18"/>
                <w:vertAlign w:val="subscript"/>
              </w:rPr>
              <w:t>0-∞</w:t>
            </w:r>
            <w:r w:rsidRPr="00D326F8">
              <w:rPr>
                <w:rFonts w:ascii="Arial" w:eastAsia="MS Mincho" w:hAnsi="Arial" w:cs="Arial"/>
                <w:sz w:val="18"/>
              </w:rPr>
              <w:t>, AUC</w:t>
            </w:r>
            <w:r w:rsidRPr="00D326F8">
              <w:rPr>
                <w:rFonts w:ascii="Arial" w:eastAsia="MS Mincho" w:hAnsi="Arial" w:cs="Arial"/>
                <w:sz w:val="18"/>
                <w:vertAlign w:val="subscript"/>
              </w:rPr>
              <w:t>0</w:t>
            </w:r>
            <w:r w:rsidRPr="00D326F8">
              <w:rPr>
                <w:rFonts w:ascii="Arial" w:eastAsia="MS Mincho" w:hAnsi="Arial" w:cs="Arial"/>
                <w:sz w:val="18"/>
                <w:vertAlign w:val="subscript"/>
              </w:rPr>
              <w:noBreakHyphen/>
              <w:t>tlast</w:t>
            </w:r>
            <w:r w:rsidR="00145703" w:rsidRPr="00145703">
              <w:rPr>
                <w:rFonts w:ascii="Arial" w:eastAsia="MS Mincho" w:hAnsi="Arial" w:cs="Arial"/>
                <w:sz w:val="18"/>
              </w:rPr>
              <w:t>,</w:t>
            </w:r>
            <w:r w:rsidR="00145703">
              <w:rPr>
                <w:rFonts w:ascii="Arial" w:eastAsia="MS Mincho" w:hAnsi="Arial" w:cs="Arial"/>
                <w:sz w:val="18"/>
                <w:vertAlign w:val="subscript"/>
              </w:rPr>
              <w:t xml:space="preserve"> </w:t>
            </w:r>
            <w:r w:rsidRPr="00D326F8">
              <w:rPr>
                <w:rFonts w:ascii="Arial" w:eastAsia="MS Mincho" w:hAnsi="Arial" w:cs="Arial"/>
                <w:sz w:val="18"/>
              </w:rPr>
              <w:t>and C</w:t>
            </w:r>
            <w:r w:rsidRPr="00D326F8">
              <w:rPr>
                <w:rFonts w:ascii="Arial" w:eastAsia="MS Mincho" w:hAnsi="Arial" w:cs="Arial"/>
                <w:sz w:val="18"/>
                <w:vertAlign w:val="subscript"/>
              </w:rPr>
              <w:t>max</w:t>
            </w:r>
          </w:p>
        </w:tc>
        <w:tc>
          <w:tcPr>
            <w:tcW w:w="382" w:type="pct"/>
            <w:tcBorders>
              <w:top w:val="single" w:sz="4" w:space="0" w:color="auto"/>
              <w:left w:val="single" w:sz="4" w:space="0" w:color="auto"/>
              <w:bottom w:val="single" w:sz="4" w:space="0" w:color="auto"/>
              <w:right w:val="single" w:sz="4" w:space="0" w:color="auto"/>
            </w:tcBorders>
            <w:hideMark/>
          </w:tcPr>
          <w:p w14:paraId="601A7FA0" w14:textId="77777777" w:rsidR="00BC73C5" w:rsidRPr="00D326F8" w:rsidRDefault="003E23E4" w:rsidP="00BC73C5">
            <w:pPr>
              <w:keepNext/>
              <w:spacing w:before="40" w:after="40"/>
              <w:jc w:val="left"/>
              <w:rPr>
                <w:rFonts w:ascii="Arial" w:eastAsia="MS Mincho" w:hAnsi="Arial" w:cs="Arial"/>
                <w:sz w:val="18"/>
              </w:rPr>
            </w:pPr>
            <w:r w:rsidRPr="00D326F8">
              <w:rPr>
                <w:rFonts w:ascii="Arial" w:eastAsia="MS Mincho" w:hAnsi="Arial" w:cs="Arial"/>
                <w:sz w:val="18"/>
              </w:rPr>
              <w:t>1</w:t>
            </w:r>
          </w:p>
        </w:tc>
      </w:tr>
      <w:tr w:rsidR="003B74AE" w:rsidRPr="00D326F8" w14:paraId="601A7FA5" w14:textId="77777777" w:rsidTr="00BC73C5">
        <w:trPr>
          <w:cantSplit/>
        </w:trPr>
        <w:tc>
          <w:tcPr>
            <w:tcW w:w="187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A7FA2" w14:textId="77777777" w:rsidR="00BC73C5" w:rsidRPr="00D326F8" w:rsidRDefault="003E23E4" w:rsidP="00BC73C5">
            <w:pPr>
              <w:keepNext/>
              <w:spacing w:before="40" w:after="40"/>
              <w:jc w:val="left"/>
              <w:rPr>
                <w:rFonts w:ascii="Arial" w:eastAsia="MS Mincho" w:hAnsi="Arial" w:cs="Arial"/>
                <w:b/>
                <w:bCs/>
                <w:sz w:val="18"/>
              </w:rPr>
            </w:pPr>
            <w:r w:rsidRPr="00D326F8">
              <w:rPr>
                <w:rFonts w:ascii="Arial" w:eastAsia="MS Mincho" w:hAnsi="Arial" w:cs="Arial"/>
                <w:b/>
                <w:bCs/>
                <w:sz w:val="18"/>
              </w:rPr>
              <w:t>Secondary</w:t>
            </w:r>
          </w:p>
        </w:tc>
        <w:tc>
          <w:tcPr>
            <w:tcW w:w="27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FA3" w14:textId="77777777" w:rsidR="00BC73C5" w:rsidRPr="00D326F8" w:rsidRDefault="00BC73C5" w:rsidP="00BC73C5">
            <w:pPr>
              <w:keepNext/>
              <w:spacing w:before="40" w:after="40"/>
              <w:jc w:val="left"/>
              <w:rPr>
                <w:rFonts w:ascii="Arial" w:eastAsia="MS Mincho" w:hAnsi="Arial" w:cs="Arial"/>
                <w:b/>
                <w:bCs/>
                <w:sz w:val="18"/>
                <w:lang w:val="en-GB"/>
              </w:rPr>
            </w:pPr>
          </w:p>
        </w:tc>
        <w:tc>
          <w:tcPr>
            <w:tcW w:w="3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FA4" w14:textId="77777777" w:rsidR="00BC73C5" w:rsidRPr="00D326F8" w:rsidRDefault="00BC73C5" w:rsidP="00BC73C5">
            <w:pPr>
              <w:keepNext/>
              <w:spacing w:before="40" w:after="40"/>
              <w:jc w:val="left"/>
              <w:rPr>
                <w:rFonts w:ascii="Arial" w:eastAsia="MS Mincho" w:hAnsi="Arial" w:cs="Arial"/>
                <w:b/>
                <w:bCs/>
                <w:sz w:val="18"/>
              </w:rPr>
            </w:pPr>
          </w:p>
        </w:tc>
      </w:tr>
      <w:tr w:rsidR="003B74AE" w:rsidRPr="00D326F8" w14:paraId="601A7FAC" w14:textId="77777777" w:rsidTr="00BC73C5">
        <w:trPr>
          <w:cantSplit/>
        </w:trPr>
        <w:tc>
          <w:tcPr>
            <w:tcW w:w="1874" w:type="pct"/>
            <w:tcBorders>
              <w:top w:val="single" w:sz="4" w:space="0" w:color="auto"/>
              <w:left w:val="single" w:sz="4" w:space="0" w:color="auto"/>
              <w:bottom w:val="single" w:sz="4" w:space="0" w:color="auto"/>
              <w:right w:val="single" w:sz="4" w:space="0" w:color="auto"/>
            </w:tcBorders>
            <w:hideMark/>
          </w:tcPr>
          <w:p w14:paraId="601A7FA6" w14:textId="77777777" w:rsidR="00BC73C5" w:rsidRPr="00D326F8" w:rsidRDefault="003E23E4" w:rsidP="00BC73C5">
            <w:pPr>
              <w:keepNext/>
              <w:spacing w:before="40" w:after="40"/>
              <w:jc w:val="left"/>
              <w:rPr>
                <w:rFonts w:ascii="Arial" w:eastAsia="MS Mincho" w:hAnsi="Arial" w:cs="Arial"/>
                <w:sz w:val="18"/>
              </w:rPr>
            </w:pPr>
            <w:r w:rsidRPr="00D326F8">
              <w:rPr>
                <w:rFonts w:ascii="Arial" w:eastAsia="MS Mincho" w:hAnsi="Arial" w:cs="Arial"/>
                <w:sz w:val="18"/>
              </w:rPr>
              <w:t>To assess the safety and tolerability of tepotinib when administered together with carbamazepine in healthy participants</w:t>
            </w:r>
          </w:p>
        </w:tc>
        <w:tc>
          <w:tcPr>
            <w:tcW w:w="2744" w:type="pct"/>
            <w:tcBorders>
              <w:top w:val="single" w:sz="4" w:space="0" w:color="auto"/>
              <w:left w:val="single" w:sz="4" w:space="0" w:color="auto"/>
              <w:bottom w:val="single" w:sz="4" w:space="0" w:color="auto"/>
              <w:right w:val="single" w:sz="4" w:space="0" w:color="auto"/>
            </w:tcBorders>
            <w:hideMark/>
          </w:tcPr>
          <w:p w14:paraId="601A7FA7" w14:textId="77777777" w:rsidR="00BC73C5" w:rsidRPr="00D326F8" w:rsidRDefault="003E23E4" w:rsidP="0057019A">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Nature, occurrence, severity, and seriousness of TEAEs</w:t>
            </w:r>
          </w:p>
          <w:p w14:paraId="601A7FA8" w14:textId="77777777" w:rsidR="00BC73C5" w:rsidRPr="00D326F8" w:rsidRDefault="003E23E4" w:rsidP="0057019A">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Absolute values and changes in safety laboratory tests</w:t>
            </w:r>
          </w:p>
          <w:p w14:paraId="601A7FA9" w14:textId="77777777" w:rsidR="00BC73C5" w:rsidRPr="00D326F8" w:rsidRDefault="003E23E4" w:rsidP="0057019A">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Single 12</w:t>
            </w:r>
            <w:r w:rsidRPr="00D326F8">
              <w:rPr>
                <w:rFonts w:ascii="Arial" w:eastAsia="MS Mincho" w:hAnsi="Arial" w:cs="Arial"/>
                <w:sz w:val="18"/>
              </w:rPr>
              <w:noBreakHyphen/>
              <w:t>lead ECGs evaluated by Investigator</w:t>
            </w:r>
          </w:p>
          <w:p w14:paraId="601A7FAA" w14:textId="77777777" w:rsidR="00BC73C5" w:rsidRPr="00D326F8" w:rsidRDefault="003E23E4" w:rsidP="0057019A">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Vital signs assessed from time of first dose to end of study participation</w:t>
            </w:r>
          </w:p>
        </w:tc>
        <w:tc>
          <w:tcPr>
            <w:tcW w:w="382" w:type="pct"/>
            <w:tcBorders>
              <w:top w:val="single" w:sz="4" w:space="0" w:color="auto"/>
              <w:left w:val="single" w:sz="4" w:space="0" w:color="auto"/>
              <w:bottom w:val="single" w:sz="4" w:space="0" w:color="auto"/>
              <w:right w:val="single" w:sz="4" w:space="0" w:color="auto"/>
            </w:tcBorders>
            <w:hideMark/>
          </w:tcPr>
          <w:p w14:paraId="601A7FAB" w14:textId="77777777" w:rsidR="00BC73C5" w:rsidRPr="00D326F8" w:rsidRDefault="003E23E4" w:rsidP="00BC73C5">
            <w:pPr>
              <w:keepNext/>
              <w:spacing w:before="40" w:after="40"/>
              <w:jc w:val="left"/>
              <w:rPr>
                <w:rFonts w:ascii="Arial" w:eastAsia="MS Mincho" w:hAnsi="Arial" w:cs="Arial"/>
                <w:sz w:val="18"/>
              </w:rPr>
            </w:pPr>
            <w:r w:rsidRPr="00D326F8">
              <w:rPr>
                <w:rFonts w:ascii="Arial" w:eastAsia="MS Mincho" w:hAnsi="Arial" w:cs="Arial"/>
                <w:sz w:val="18"/>
              </w:rPr>
              <w:t>2</w:t>
            </w:r>
          </w:p>
        </w:tc>
      </w:tr>
      <w:tr w:rsidR="003B74AE" w:rsidRPr="00D326F8" w14:paraId="601A7FB0" w14:textId="77777777" w:rsidTr="00BC73C5">
        <w:trPr>
          <w:cantSplit/>
        </w:trPr>
        <w:tc>
          <w:tcPr>
            <w:tcW w:w="1874" w:type="pct"/>
            <w:tcBorders>
              <w:top w:val="single" w:sz="4" w:space="0" w:color="auto"/>
              <w:left w:val="single" w:sz="4" w:space="0" w:color="auto"/>
              <w:bottom w:val="single" w:sz="4" w:space="0" w:color="auto"/>
              <w:right w:val="single" w:sz="4" w:space="0" w:color="auto"/>
            </w:tcBorders>
            <w:hideMark/>
          </w:tcPr>
          <w:p w14:paraId="601A7FAD" w14:textId="77777777" w:rsidR="00BC73C5" w:rsidRPr="00D326F8" w:rsidRDefault="003E23E4" w:rsidP="00BC73C5">
            <w:pPr>
              <w:keepNext/>
              <w:spacing w:before="40" w:after="40"/>
              <w:jc w:val="left"/>
              <w:rPr>
                <w:rFonts w:ascii="Arial" w:eastAsia="MS Mincho" w:hAnsi="Arial" w:cs="Arial"/>
                <w:sz w:val="18"/>
              </w:rPr>
            </w:pPr>
            <w:r w:rsidRPr="00D326F8">
              <w:rPr>
                <w:rFonts w:ascii="Arial" w:eastAsia="MS Mincho" w:hAnsi="Arial" w:cs="Arial"/>
                <w:sz w:val="18"/>
              </w:rPr>
              <w:t>To characterize the effect of carbamazepine on additional tepotinib PK parameters in healthy participants</w:t>
            </w:r>
          </w:p>
        </w:tc>
        <w:tc>
          <w:tcPr>
            <w:tcW w:w="2744" w:type="pct"/>
            <w:tcBorders>
              <w:top w:val="single" w:sz="4" w:space="0" w:color="auto"/>
              <w:left w:val="single" w:sz="4" w:space="0" w:color="auto"/>
              <w:bottom w:val="single" w:sz="4" w:space="0" w:color="auto"/>
              <w:right w:val="single" w:sz="4" w:space="0" w:color="auto"/>
            </w:tcBorders>
            <w:hideMark/>
          </w:tcPr>
          <w:p w14:paraId="601A7FAE" w14:textId="77777777" w:rsidR="00BC73C5" w:rsidRPr="00D326F8" w:rsidRDefault="003E23E4" w:rsidP="00145703">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Plasma tepotinib: CL/F, V</w:t>
            </w:r>
            <w:r w:rsidRPr="00D326F8">
              <w:rPr>
                <w:rFonts w:ascii="Arial" w:eastAsia="MS Mincho" w:hAnsi="Arial" w:cs="Arial"/>
                <w:sz w:val="18"/>
                <w:vertAlign w:val="subscript"/>
              </w:rPr>
              <w:t>Z</w:t>
            </w:r>
            <w:r w:rsidRPr="00D326F8">
              <w:rPr>
                <w:rFonts w:ascii="Arial" w:eastAsia="MS Mincho" w:hAnsi="Arial" w:cs="Arial"/>
                <w:sz w:val="18"/>
              </w:rPr>
              <w:t>/F, t</w:t>
            </w:r>
            <w:r w:rsidRPr="00D326F8">
              <w:rPr>
                <w:rFonts w:ascii="Arial" w:eastAsia="MS Mincho" w:hAnsi="Arial" w:cs="Arial"/>
                <w:sz w:val="18"/>
                <w:vertAlign w:val="subscript"/>
              </w:rPr>
              <w:t>max</w:t>
            </w:r>
            <w:r w:rsidRPr="00D326F8">
              <w:rPr>
                <w:rFonts w:ascii="Arial" w:eastAsia="MS Mincho" w:hAnsi="Arial" w:cs="Arial"/>
                <w:sz w:val="18"/>
              </w:rPr>
              <w:t xml:space="preserve">, </w:t>
            </w:r>
            <w:r w:rsidR="00632039" w:rsidRPr="00D326F8">
              <w:rPr>
                <w:rFonts w:ascii="Arial" w:eastAsia="MS Mincho" w:hAnsi="Arial" w:cs="Arial"/>
                <w:sz w:val="18"/>
              </w:rPr>
              <w:t xml:space="preserve">and </w:t>
            </w:r>
            <w:r w:rsidRPr="00D326F8">
              <w:rPr>
                <w:rFonts w:ascii="Arial" w:eastAsia="MS Mincho" w:hAnsi="Arial" w:cs="Arial"/>
                <w:sz w:val="18"/>
              </w:rPr>
              <w:t>t</w:t>
            </w:r>
            <w:r w:rsidRPr="00D326F8">
              <w:rPr>
                <w:rFonts w:ascii="Arial" w:eastAsia="MS Mincho" w:hAnsi="Arial" w:cs="Arial"/>
                <w:sz w:val="18"/>
                <w:vertAlign w:val="subscript"/>
              </w:rPr>
              <w:t>½</w:t>
            </w:r>
          </w:p>
        </w:tc>
        <w:tc>
          <w:tcPr>
            <w:tcW w:w="382" w:type="pct"/>
            <w:tcBorders>
              <w:top w:val="single" w:sz="4" w:space="0" w:color="auto"/>
              <w:left w:val="single" w:sz="4" w:space="0" w:color="auto"/>
              <w:bottom w:val="single" w:sz="4" w:space="0" w:color="auto"/>
              <w:right w:val="single" w:sz="4" w:space="0" w:color="auto"/>
            </w:tcBorders>
            <w:hideMark/>
          </w:tcPr>
          <w:p w14:paraId="601A7FAF" w14:textId="77777777" w:rsidR="00BC73C5" w:rsidRPr="00D326F8" w:rsidRDefault="003E23E4" w:rsidP="00BC73C5">
            <w:pPr>
              <w:keepNext/>
              <w:spacing w:before="40" w:after="40"/>
              <w:jc w:val="left"/>
              <w:rPr>
                <w:rFonts w:ascii="Arial" w:eastAsia="MS Mincho" w:hAnsi="Arial" w:cs="Arial"/>
                <w:sz w:val="18"/>
                <w:lang w:val="de-DE"/>
              </w:rPr>
            </w:pPr>
            <w:r w:rsidRPr="00D326F8">
              <w:rPr>
                <w:rFonts w:ascii="Arial" w:eastAsia="MS Mincho" w:hAnsi="Arial" w:cs="Arial"/>
                <w:sz w:val="18"/>
                <w:lang w:val="de-DE"/>
              </w:rPr>
              <w:t>3</w:t>
            </w:r>
          </w:p>
        </w:tc>
      </w:tr>
      <w:tr w:rsidR="003B74AE" w:rsidRPr="00D326F8" w14:paraId="601A7FB4" w14:textId="77777777" w:rsidTr="00BC73C5">
        <w:trPr>
          <w:cantSplit/>
        </w:trPr>
        <w:tc>
          <w:tcPr>
            <w:tcW w:w="187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A7FB1" w14:textId="77777777" w:rsidR="00BC73C5" w:rsidRPr="00D326F8" w:rsidRDefault="003E23E4" w:rsidP="00BC73C5">
            <w:pPr>
              <w:keepNext/>
              <w:spacing w:before="40" w:after="40"/>
              <w:jc w:val="left"/>
              <w:rPr>
                <w:rFonts w:ascii="Arial" w:eastAsia="MS Mincho" w:hAnsi="Arial" w:cs="Arial"/>
                <w:b/>
                <w:bCs/>
                <w:sz w:val="18"/>
              </w:rPr>
            </w:pPr>
            <w:r w:rsidRPr="00D326F8">
              <w:rPr>
                <w:rFonts w:ascii="Arial" w:eastAsia="MS Mincho" w:hAnsi="Arial" w:cs="Arial"/>
                <w:b/>
                <w:bCs/>
                <w:sz w:val="18"/>
              </w:rPr>
              <w:t>Tertiary/Exploratory</w:t>
            </w:r>
          </w:p>
        </w:tc>
        <w:tc>
          <w:tcPr>
            <w:tcW w:w="27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FB2" w14:textId="77777777" w:rsidR="00BC73C5" w:rsidRPr="00D326F8" w:rsidRDefault="00BC73C5" w:rsidP="00BC73C5">
            <w:pPr>
              <w:keepNext/>
              <w:spacing w:before="40" w:after="40"/>
              <w:jc w:val="left"/>
              <w:rPr>
                <w:rFonts w:ascii="Arial" w:eastAsia="MS Mincho" w:hAnsi="Arial" w:cs="Arial"/>
                <w:b/>
                <w:bCs/>
                <w:sz w:val="18"/>
                <w:lang w:val="en-GB"/>
              </w:rPr>
            </w:pPr>
          </w:p>
        </w:tc>
        <w:tc>
          <w:tcPr>
            <w:tcW w:w="3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A7FB3" w14:textId="77777777" w:rsidR="00BC73C5" w:rsidRPr="00D326F8" w:rsidRDefault="00BC73C5" w:rsidP="00BC73C5">
            <w:pPr>
              <w:keepNext/>
              <w:spacing w:before="40" w:after="40"/>
              <w:jc w:val="left"/>
              <w:rPr>
                <w:rFonts w:ascii="Arial" w:eastAsia="MS Mincho" w:hAnsi="Arial" w:cs="Arial"/>
                <w:b/>
                <w:bCs/>
                <w:sz w:val="18"/>
              </w:rPr>
            </w:pPr>
          </w:p>
        </w:tc>
      </w:tr>
      <w:tr w:rsidR="003B74AE" w:rsidRPr="00D326F8" w14:paraId="601A7FB9" w14:textId="77777777" w:rsidTr="00BC73C5">
        <w:trPr>
          <w:cantSplit/>
        </w:trPr>
        <w:tc>
          <w:tcPr>
            <w:tcW w:w="1874" w:type="pct"/>
            <w:tcBorders>
              <w:top w:val="single" w:sz="4" w:space="0" w:color="auto"/>
              <w:left w:val="single" w:sz="4" w:space="0" w:color="auto"/>
              <w:bottom w:val="single" w:sz="4" w:space="0" w:color="auto"/>
              <w:right w:val="single" w:sz="4" w:space="0" w:color="auto"/>
            </w:tcBorders>
            <w:hideMark/>
          </w:tcPr>
          <w:p w14:paraId="601A7FB5" w14:textId="77777777" w:rsidR="00BC73C5" w:rsidRPr="00D326F8" w:rsidRDefault="003E23E4" w:rsidP="00BC73C5">
            <w:pPr>
              <w:spacing w:before="40" w:after="40"/>
              <w:jc w:val="left"/>
              <w:rPr>
                <w:rFonts w:ascii="Arial" w:eastAsia="MS Mincho" w:hAnsi="Arial" w:cs="Arial"/>
                <w:sz w:val="18"/>
              </w:rPr>
            </w:pPr>
            <w:r w:rsidRPr="00D326F8">
              <w:rPr>
                <w:rFonts w:ascii="Arial" w:eastAsia="MS Mincho" w:hAnsi="Arial" w:cs="Arial"/>
                <w:sz w:val="18"/>
              </w:rPr>
              <w:t>To characterize the effect of carbamazepine on tepotinib metabolites (MSC2571109A and MSC2571107A) PK in healthy participants</w:t>
            </w:r>
          </w:p>
        </w:tc>
        <w:tc>
          <w:tcPr>
            <w:tcW w:w="2744" w:type="pct"/>
            <w:tcBorders>
              <w:top w:val="single" w:sz="4" w:space="0" w:color="auto"/>
              <w:left w:val="single" w:sz="4" w:space="0" w:color="auto"/>
              <w:bottom w:val="single" w:sz="4" w:space="0" w:color="auto"/>
              <w:right w:val="single" w:sz="4" w:space="0" w:color="auto"/>
            </w:tcBorders>
            <w:hideMark/>
          </w:tcPr>
          <w:p w14:paraId="601A7FB6" w14:textId="77777777" w:rsidR="00C56882" w:rsidRPr="00D326F8" w:rsidRDefault="003E23E4" w:rsidP="00BC73C5">
            <w:pPr>
              <w:keepNext/>
              <w:spacing w:before="40" w:after="40"/>
              <w:jc w:val="left"/>
              <w:rPr>
                <w:rFonts w:ascii="Arial" w:eastAsia="MS Mincho" w:hAnsi="Arial" w:cs="Arial"/>
                <w:sz w:val="18"/>
              </w:rPr>
            </w:pPr>
            <w:r w:rsidRPr="00D326F8">
              <w:rPr>
                <w:rFonts w:ascii="Arial" w:eastAsia="MS Mincho" w:hAnsi="Arial" w:cs="Arial"/>
                <w:sz w:val="18"/>
              </w:rPr>
              <w:t xml:space="preserve">Plasma MSC2571109A and MSC2571107A: </w:t>
            </w:r>
          </w:p>
          <w:p w14:paraId="601A7FB7" w14:textId="52AD9080" w:rsidR="00BC73C5" w:rsidRPr="00D326F8" w:rsidRDefault="003E23E4" w:rsidP="00145703">
            <w:pPr>
              <w:keepNext/>
              <w:numPr>
                <w:ilvl w:val="0"/>
                <w:numId w:val="17"/>
              </w:numPr>
              <w:spacing w:before="40" w:after="40"/>
              <w:ind w:left="420"/>
              <w:jc w:val="left"/>
              <w:rPr>
                <w:rFonts w:ascii="Arial" w:eastAsia="MS Mincho" w:hAnsi="Arial" w:cs="Arial"/>
                <w:sz w:val="18"/>
              </w:rPr>
            </w:pPr>
            <w:r w:rsidRPr="00D326F8">
              <w:rPr>
                <w:rFonts w:ascii="Arial" w:eastAsia="MS Mincho" w:hAnsi="Arial" w:cs="Arial"/>
                <w:sz w:val="18"/>
              </w:rPr>
              <w:t>AUC</w:t>
            </w:r>
            <w:r w:rsidRPr="00D326F8">
              <w:rPr>
                <w:rFonts w:ascii="Arial" w:eastAsia="MS Mincho" w:hAnsi="Arial" w:cs="Arial"/>
                <w:sz w:val="18"/>
                <w:vertAlign w:val="subscript"/>
              </w:rPr>
              <w:t>0</w:t>
            </w:r>
            <w:r w:rsidRPr="00D326F8">
              <w:rPr>
                <w:rFonts w:ascii="Arial" w:eastAsia="MS Mincho" w:hAnsi="Arial" w:cs="Arial"/>
                <w:sz w:val="18"/>
                <w:vertAlign w:val="subscript"/>
              </w:rPr>
              <w:noBreakHyphen/>
              <w:t>∞</w:t>
            </w:r>
            <w:r w:rsidRPr="00D326F8">
              <w:rPr>
                <w:rFonts w:ascii="Arial" w:eastAsia="MS Mincho" w:hAnsi="Arial" w:cs="Arial"/>
                <w:sz w:val="18"/>
              </w:rPr>
              <w:t>, AUC</w:t>
            </w:r>
            <w:r w:rsidRPr="00D326F8">
              <w:rPr>
                <w:rFonts w:ascii="Arial" w:eastAsia="MS Mincho" w:hAnsi="Arial" w:cs="Arial"/>
                <w:sz w:val="18"/>
                <w:vertAlign w:val="subscript"/>
              </w:rPr>
              <w:t>0</w:t>
            </w:r>
            <w:r w:rsidRPr="00D326F8">
              <w:rPr>
                <w:rFonts w:ascii="Arial" w:eastAsia="MS Mincho" w:hAnsi="Arial" w:cs="Arial"/>
                <w:sz w:val="18"/>
                <w:vertAlign w:val="subscript"/>
              </w:rPr>
              <w:noBreakHyphen/>
              <w:t>tlast</w:t>
            </w:r>
            <w:r w:rsidRPr="00D326F8">
              <w:rPr>
                <w:rFonts w:ascii="Arial" w:eastAsia="MS Mincho" w:hAnsi="Arial" w:cs="Arial"/>
                <w:sz w:val="18"/>
              </w:rPr>
              <w:t>, C</w:t>
            </w:r>
            <w:r w:rsidRPr="00D326F8">
              <w:rPr>
                <w:rFonts w:ascii="Arial" w:eastAsia="MS Mincho" w:hAnsi="Arial" w:cs="Arial"/>
                <w:sz w:val="18"/>
                <w:vertAlign w:val="subscript"/>
              </w:rPr>
              <w:t>max</w:t>
            </w:r>
            <w:r w:rsidRPr="00D326F8">
              <w:rPr>
                <w:rFonts w:ascii="Arial" w:eastAsia="MS Mincho" w:hAnsi="Arial" w:cs="Arial"/>
                <w:sz w:val="18"/>
              </w:rPr>
              <w:t>,</w:t>
            </w:r>
            <w:r w:rsidRPr="00D326F8">
              <w:rPr>
                <w:rFonts w:eastAsia="Calibri" w:cs="Cordia New"/>
                <w:sz w:val="18"/>
                <w:szCs w:val="18"/>
              </w:rPr>
              <w:t xml:space="preserve"> </w:t>
            </w:r>
            <w:r w:rsidRPr="00D326F8">
              <w:rPr>
                <w:rFonts w:ascii="Arial" w:eastAsia="Calibri" w:hAnsi="Arial" w:cs="Cordia New"/>
                <w:sz w:val="18"/>
                <w:szCs w:val="18"/>
              </w:rPr>
              <w:t>and the respective metabolic ratios MR(AUC</w:t>
            </w:r>
            <w:r w:rsidRPr="00D326F8">
              <w:rPr>
                <w:rFonts w:ascii="Arial" w:eastAsia="Calibri" w:hAnsi="Arial" w:cs="Cordia New"/>
                <w:sz w:val="18"/>
                <w:szCs w:val="18"/>
                <w:vertAlign w:val="subscript"/>
              </w:rPr>
              <w:t>0-</w:t>
            </w:r>
            <w:r w:rsidRPr="00D326F8">
              <w:rPr>
                <w:rFonts w:ascii="Arial" w:eastAsia="Calibri" w:hAnsi="Arial" w:cs="Arial"/>
                <w:sz w:val="18"/>
                <w:szCs w:val="18"/>
                <w:vertAlign w:val="subscript"/>
              </w:rPr>
              <w:t>∞</w:t>
            </w:r>
            <w:r w:rsidRPr="00D326F8">
              <w:rPr>
                <w:rFonts w:ascii="Arial" w:eastAsia="Calibri" w:hAnsi="Arial" w:cs="Cordia New"/>
                <w:sz w:val="18"/>
                <w:szCs w:val="18"/>
              </w:rPr>
              <w:t>) and MR(C</w:t>
            </w:r>
            <w:r w:rsidRPr="00D326F8">
              <w:rPr>
                <w:rFonts w:ascii="Arial" w:eastAsia="Calibri" w:hAnsi="Arial" w:cs="Cordia New"/>
                <w:sz w:val="18"/>
                <w:szCs w:val="18"/>
                <w:vertAlign w:val="subscript"/>
              </w:rPr>
              <w:t>max</w:t>
            </w:r>
            <w:r w:rsidRPr="00D326F8">
              <w:rPr>
                <w:rFonts w:ascii="Arial" w:eastAsia="Calibri" w:hAnsi="Arial" w:cs="Cordia New"/>
                <w:sz w:val="18"/>
                <w:szCs w:val="18"/>
              </w:rPr>
              <w:t>)</w:t>
            </w:r>
          </w:p>
        </w:tc>
        <w:tc>
          <w:tcPr>
            <w:tcW w:w="382" w:type="pct"/>
            <w:tcBorders>
              <w:top w:val="single" w:sz="4" w:space="0" w:color="auto"/>
              <w:left w:val="single" w:sz="4" w:space="0" w:color="auto"/>
              <w:bottom w:val="single" w:sz="4" w:space="0" w:color="auto"/>
              <w:right w:val="single" w:sz="4" w:space="0" w:color="auto"/>
            </w:tcBorders>
            <w:hideMark/>
          </w:tcPr>
          <w:p w14:paraId="601A7FB8" w14:textId="77777777" w:rsidR="00BC73C5" w:rsidRPr="00D326F8" w:rsidRDefault="003E23E4" w:rsidP="00BC73C5">
            <w:pPr>
              <w:keepNext/>
              <w:spacing w:before="40" w:after="40"/>
              <w:jc w:val="left"/>
              <w:rPr>
                <w:rFonts w:ascii="Arial" w:eastAsia="MS Mincho" w:hAnsi="Arial" w:cs="Arial"/>
                <w:sz w:val="18"/>
              </w:rPr>
            </w:pPr>
            <w:r w:rsidRPr="00D326F8">
              <w:rPr>
                <w:rFonts w:ascii="Arial" w:eastAsia="MS Mincho" w:hAnsi="Arial" w:cs="Arial"/>
                <w:sz w:val="18"/>
              </w:rPr>
              <w:t>4</w:t>
            </w:r>
          </w:p>
        </w:tc>
      </w:tr>
      <w:bookmarkEnd w:id="66"/>
      <w:bookmarkEnd w:id="67"/>
      <w:tr w:rsidR="003B74AE" w:rsidRPr="00D326F8" w14:paraId="601A7FBD" w14:textId="77777777" w:rsidTr="003B3988">
        <w:trPr>
          <w:cantSplit/>
        </w:trPr>
        <w:tc>
          <w:tcPr>
            <w:tcW w:w="1874" w:type="pct"/>
            <w:tcBorders>
              <w:bottom w:val="single" w:sz="4" w:space="0" w:color="auto"/>
            </w:tcBorders>
          </w:tcPr>
          <w:p w14:paraId="601A7FBA" w14:textId="77777777" w:rsidR="002616AE" w:rsidRPr="00D326F8" w:rsidRDefault="003E23E4" w:rsidP="002616AE">
            <w:pPr>
              <w:pStyle w:val="Tabletext"/>
              <w:rPr>
                <w:rFonts w:eastAsia="MS Mincho" w:cs="Arial"/>
              </w:rPr>
            </w:pPr>
            <w:r w:rsidRPr="00D326F8">
              <w:t>To assess the carbamazepine and carbamazepine-10,11-epoxide PK in healthy participants</w:t>
            </w:r>
          </w:p>
        </w:tc>
        <w:tc>
          <w:tcPr>
            <w:tcW w:w="2744" w:type="pct"/>
            <w:tcBorders>
              <w:bottom w:val="single" w:sz="4" w:space="0" w:color="auto"/>
            </w:tcBorders>
          </w:tcPr>
          <w:p w14:paraId="433F9556" w14:textId="77777777" w:rsidR="00087608" w:rsidRPr="00087608" w:rsidRDefault="003E23E4" w:rsidP="00087608">
            <w:pPr>
              <w:keepNext/>
              <w:spacing w:before="40" w:after="40"/>
              <w:jc w:val="left"/>
              <w:rPr>
                <w:rFonts w:ascii="Arial" w:eastAsia="MS Mincho" w:hAnsi="Arial" w:cs="Arial"/>
                <w:sz w:val="18"/>
              </w:rPr>
            </w:pPr>
            <w:r w:rsidRPr="00087608">
              <w:rPr>
                <w:rFonts w:ascii="Arial" w:eastAsia="MS Mincho" w:hAnsi="Arial" w:cs="Arial"/>
                <w:sz w:val="18"/>
              </w:rPr>
              <w:t>Plasma carbamazepine and carbamazepine-10,11-epoxide:</w:t>
            </w:r>
          </w:p>
          <w:p w14:paraId="601A7FBB" w14:textId="36284DDB" w:rsidR="002616AE" w:rsidRPr="00D326F8" w:rsidRDefault="003E23E4" w:rsidP="00087608">
            <w:pPr>
              <w:keepNext/>
              <w:numPr>
                <w:ilvl w:val="0"/>
                <w:numId w:val="17"/>
              </w:numPr>
              <w:spacing w:before="40" w:after="40"/>
              <w:ind w:left="420"/>
              <w:jc w:val="left"/>
              <w:rPr>
                <w:rFonts w:eastAsia="MS Mincho" w:cs="Arial"/>
              </w:rPr>
            </w:pPr>
            <w:r w:rsidRPr="00087608">
              <w:rPr>
                <w:rFonts w:ascii="Arial" w:eastAsia="MS Mincho" w:hAnsi="Arial" w:cs="Arial"/>
                <w:sz w:val="18"/>
              </w:rPr>
              <w:t>AUC</w:t>
            </w:r>
            <w:r w:rsidRPr="00087608">
              <w:rPr>
                <w:rFonts w:ascii="Arial" w:eastAsia="MS Mincho" w:hAnsi="Arial" w:cs="Arial"/>
                <w:sz w:val="18"/>
                <w:vertAlign w:val="subscript"/>
              </w:rPr>
              <w:t>0</w:t>
            </w:r>
            <w:r w:rsidRPr="00D326F8">
              <w:rPr>
                <w:rFonts w:cs="Arial"/>
                <w:szCs w:val="18"/>
                <w:vertAlign w:val="subscript"/>
              </w:rPr>
              <w:t>-tlast</w:t>
            </w:r>
            <w:r w:rsidRPr="00D326F8">
              <w:t xml:space="preserve">, </w:t>
            </w:r>
            <w:proofErr w:type="spellStart"/>
            <w:r w:rsidRPr="00D326F8">
              <w:t>C</w:t>
            </w:r>
            <w:r w:rsidRPr="00D326F8">
              <w:rPr>
                <w:vertAlign w:val="subscript"/>
              </w:rPr>
              <w:t>min</w:t>
            </w:r>
            <w:proofErr w:type="spellEnd"/>
            <w:r w:rsidRPr="00D326F8">
              <w:t>, C</w:t>
            </w:r>
            <w:r w:rsidRPr="00D326F8">
              <w:rPr>
                <w:vertAlign w:val="subscript"/>
              </w:rPr>
              <w:t>max</w:t>
            </w:r>
            <w:r w:rsidRPr="00D326F8">
              <w:rPr>
                <w:lang w:val="en-GB"/>
              </w:rPr>
              <w:t>,</w:t>
            </w:r>
            <w:r w:rsidR="00256B04" w:rsidRPr="00D326F8">
              <w:rPr>
                <w:lang w:val="en-GB"/>
              </w:rPr>
              <w:t xml:space="preserve"> </w:t>
            </w:r>
            <w:r w:rsidR="00632039" w:rsidRPr="00D326F8">
              <w:rPr>
                <w:lang w:val="en-GB"/>
              </w:rPr>
              <w:t>and</w:t>
            </w:r>
            <w:r w:rsidRPr="00D326F8">
              <w:rPr>
                <w:lang w:val="en-GB"/>
              </w:rPr>
              <w:t xml:space="preserve"> t</w:t>
            </w:r>
            <w:r w:rsidRPr="00D326F8">
              <w:rPr>
                <w:vertAlign w:val="subscript"/>
                <w:lang w:val="en-GB"/>
              </w:rPr>
              <w:t>max</w:t>
            </w:r>
            <w:r w:rsidRPr="00D326F8">
              <w:t xml:space="preserve"> </w:t>
            </w:r>
          </w:p>
        </w:tc>
        <w:tc>
          <w:tcPr>
            <w:tcW w:w="382" w:type="pct"/>
            <w:tcBorders>
              <w:bottom w:val="single" w:sz="4" w:space="0" w:color="auto"/>
            </w:tcBorders>
          </w:tcPr>
          <w:p w14:paraId="601A7FBC" w14:textId="77777777" w:rsidR="002616AE" w:rsidRPr="00D326F8" w:rsidRDefault="003E23E4" w:rsidP="002616AE">
            <w:pPr>
              <w:pStyle w:val="Tabletext"/>
              <w:rPr>
                <w:rFonts w:eastAsia="MS Mincho" w:cs="Arial"/>
              </w:rPr>
            </w:pPr>
            <w:r w:rsidRPr="00D326F8">
              <w:t>5</w:t>
            </w:r>
          </w:p>
        </w:tc>
      </w:tr>
      <w:tr w:rsidR="003B74AE" w:rsidRPr="00D326F8" w14:paraId="601A7FBF" w14:textId="77777777" w:rsidTr="003B3988">
        <w:trPr>
          <w:cantSplit/>
        </w:trPr>
        <w:tc>
          <w:tcPr>
            <w:tcW w:w="5000" w:type="pct"/>
            <w:gridSpan w:val="3"/>
            <w:tcBorders>
              <w:left w:val="nil"/>
              <w:bottom w:val="nil"/>
              <w:right w:val="nil"/>
            </w:tcBorders>
          </w:tcPr>
          <w:p w14:paraId="601A7FBE" w14:textId="77777777" w:rsidR="003B3988" w:rsidRPr="00D326F8" w:rsidRDefault="003E23E4" w:rsidP="003B3988">
            <w:pPr>
              <w:pStyle w:val="Tablefootnote"/>
            </w:pPr>
            <w:r w:rsidRPr="00D326F8">
              <w:t>ECG=electrocardiogram, MR=metabolic ratio, PK=pharmacokinetics, TEAE=treatment emergent adverse events.</w:t>
            </w:r>
          </w:p>
        </w:tc>
      </w:tr>
    </w:tbl>
    <w:p w14:paraId="601A7FC0" w14:textId="77777777" w:rsidR="00E3136A" w:rsidRPr="00D326F8" w:rsidRDefault="003E23E4" w:rsidP="00BC73C5">
      <w:pPr>
        <w:pStyle w:val="Heading1"/>
      </w:pPr>
      <w:bookmarkStart w:id="68" w:name="_Toc77839727"/>
      <w:r w:rsidRPr="00D326F8">
        <w:lastRenderedPageBreak/>
        <w:t>Study Design</w:t>
      </w:r>
      <w:bookmarkEnd w:id="68"/>
    </w:p>
    <w:p w14:paraId="601A7FC1" w14:textId="77777777" w:rsidR="00D3748A" w:rsidRPr="00D326F8" w:rsidRDefault="003E23E4" w:rsidP="00FF3CB1">
      <w:pPr>
        <w:pStyle w:val="Heading2"/>
        <w:spacing w:after="120"/>
      </w:pPr>
      <w:bookmarkStart w:id="69" w:name="_Toc77839728"/>
      <w:r w:rsidRPr="00D326F8">
        <w:t>Overall Design</w:t>
      </w:r>
      <w:bookmarkEnd w:id="69"/>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5"/>
        <w:gridCol w:w="4675"/>
      </w:tblGrid>
      <w:tr w:rsidR="003B74AE" w:rsidRPr="00D326F8" w14:paraId="601A7FC4"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C2"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Study Design</w:t>
            </w:r>
          </w:p>
        </w:tc>
        <w:tc>
          <w:tcPr>
            <w:tcW w:w="4675" w:type="dxa"/>
            <w:tcBorders>
              <w:top w:val="single" w:sz="4" w:space="0" w:color="auto"/>
              <w:left w:val="single" w:sz="4" w:space="0" w:color="auto"/>
              <w:bottom w:val="single" w:sz="4" w:space="0" w:color="auto"/>
              <w:right w:val="single" w:sz="4" w:space="0" w:color="auto"/>
            </w:tcBorders>
            <w:hideMark/>
          </w:tcPr>
          <w:p w14:paraId="601A7FC3"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Single </w:t>
            </w:r>
            <w:proofErr w:type="spellStart"/>
            <w:r w:rsidRPr="00D326F8">
              <w:rPr>
                <w:lang w:val="de-DE" w:eastAsia="ja-JP"/>
              </w:rPr>
              <w:t>sequence</w:t>
            </w:r>
            <w:proofErr w:type="spellEnd"/>
          </w:p>
        </w:tc>
      </w:tr>
      <w:tr w:rsidR="003B74AE" w:rsidRPr="00D326F8" w14:paraId="601A7FC7"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C5"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Control Method</w:t>
            </w:r>
          </w:p>
        </w:tc>
        <w:tc>
          <w:tcPr>
            <w:tcW w:w="4675" w:type="dxa"/>
            <w:tcBorders>
              <w:top w:val="single" w:sz="4" w:space="0" w:color="auto"/>
              <w:left w:val="single" w:sz="4" w:space="0" w:color="auto"/>
              <w:bottom w:val="single" w:sz="4" w:space="0" w:color="auto"/>
              <w:right w:val="single" w:sz="4" w:space="0" w:color="auto"/>
            </w:tcBorders>
            <w:hideMark/>
          </w:tcPr>
          <w:p w14:paraId="601A7FC6"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Cross-over </w:t>
            </w:r>
          </w:p>
        </w:tc>
      </w:tr>
      <w:tr w:rsidR="003B74AE" w:rsidRPr="00D326F8" w14:paraId="601A7FCA"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C8"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Single </w:t>
            </w:r>
            <w:proofErr w:type="spellStart"/>
            <w:r w:rsidRPr="00D326F8">
              <w:rPr>
                <w:lang w:val="de-DE" w:eastAsia="ja-JP"/>
              </w:rPr>
              <w:t>or</w:t>
            </w:r>
            <w:proofErr w:type="spellEnd"/>
            <w:r w:rsidRPr="00D326F8">
              <w:rPr>
                <w:lang w:val="de-DE" w:eastAsia="ja-JP"/>
              </w:rPr>
              <w:t xml:space="preserve"> Multicenter</w:t>
            </w:r>
          </w:p>
        </w:tc>
        <w:tc>
          <w:tcPr>
            <w:tcW w:w="4675" w:type="dxa"/>
            <w:tcBorders>
              <w:top w:val="single" w:sz="4" w:space="0" w:color="auto"/>
              <w:left w:val="single" w:sz="4" w:space="0" w:color="auto"/>
              <w:bottom w:val="single" w:sz="4" w:space="0" w:color="auto"/>
              <w:right w:val="single" w:sz="4" w:space="0" w:color="auto"/>
            </w:tcBorders>
            <w:hideMark/>
          </w:tcPr>
          <w:p w14:paraId="601A7FC9"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Single </w:t>
            </w:r>
            <w:proofErr w:type="spellStart"/>
            <w:r w:rsidRPr="00D326F8">
              <w:rPr>
                <w:lang w:val="de-DE" w:eastAsia="ja-JP"/>
              </w:rPr>
              <w:t>center</w:t>
            </w:r>
            <w:proofErr w:type="spellEnd"/>
          </w:p>
        </w:tc>
      </w:tr>
      <w:tr w:rsidR="003B74AE" w:rsidRPr="00D326F8" w14:paraId="601A7FCD"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CB"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Control Group</w:t>
            </w:r>
          </w:p>
        </w:tc>
        <w:tc>
          <w:tcPr>
            <w:tcW w:w="4675" w:type="dxa"/>
            <w:tcBorders>
              <w:top w:val="single" w:sz="4" w:space="0" w:color="auto"/>
              <w:left w:val="single" w:sz="4" w:space="0" w:color="auto"/>
              <w:bottom w:val="single" w:sz="4" w:space="0" w:color="auto"/>
              <w:right w:val="single" w:sz="4" w:space="0" w:color="auto"/>
            </w:tcBorders>
            <w:hideMark/>
          </w:tcPr>
          <w:p w14:paraId="601A7FCC"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Not </w:t>
            </w:r>
            <w:proofErr w:type="spellStart"/>
            <w:r w:rsidRPr="00D326F8">
              <w:rPr>
                <w:lang w:val="de-DE" w:eastAsia="ja-JP"/>
              </w:rPr>
              <w:t>applicable</w:t>
            </w:r>
            <w:proofErr w:type="spellEnd"/>
          </w:p>
        </w:tc>
      </w:tr>
      <w:tr w:rsidR="003B74AE" w:rsidRPr="00D326F8" w14:paraId="601A7FD0"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CE"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Study Population Type</w:t>
            </w:r>
          </w:p>
        </w:tc>
        <w:tc>
          <w:tcPr>
            <w:tcW w:w="4675" w:type="dxa"/>
            <w:tcBorders>
              <w:top w:val="single" w:sz="4" w:space="0" w:color="auto"/>
              <w:left w:val="single" w:sz="4" w:space="0" w:color="auto"/>
              <w:bottom w:val="single" w:sz="4" w:space="0" w:color="auto"/>
              <w:right w:val="single" w:sz="4" w:space="0" w:color="auto"/>
            </w:tcBorders>
            <w:hideMark/>
          </w:tcPr>
          <w:p w14:paraId="601A7FCF" w14:textId="77777777" w:rsidR="00BC73C5" w:rsidRPr="00D326F8" w:rsidRDefault="003E23E4" w:rsidP="00BC73C5">
            <w:pPr>
              <w:keepNext/>
              <w:tabs>
                <w:tab w:val="left" w:pos="288"/>
                <w:tab w:val="left" w:pos="576"/>
                <w:tab w:val="left" w:pos="864"/>
              </w:tabs>
              <w:spacing w:before="60" w:after="60"/>
              <w:jc w:val="left"/>
              <w:rPr>
                <w:lang w:val="de-DE" w:eastAsia="ja-JP"/>
              </w:rPr>
            </w:pPr>
            <w:proofErr w:type="spellStart"/>
            <w:r w:rsidRPr="00D326F8">
              <w:rPr>
                <w:lang w:val="de-DE" w:eastAsia="ja-JP"/>
              </w:rPr>
              <w:t>Healthy</w:t>
            </w:r>
            <w:proofErr w:type="spellEnd"/>
            <w:r w:rsidRPr="00D326F8">
              <w:rPr>
                <w:lang w:val="de-DE" w:eastAsia="ja-JP"/>
              </w:rPr>
              <w:t xml:space="preserve"> </w:t>
            </w:r>
            <w:proofErr w:type="spellStart"/>
            <w:r w:rsidRPr="00D326F8">
              <w:rPr>
                <w:lang w:val="de-DE" w:eastAsia="ja-JP"/>
              </w:rPr>
              <w:t>participants</w:t>
            </w:r>
            <w:proofErr w:type="spellEnd"/>
          </w:p>
        </w:tc>
      </w:tr>
      <w:tr w:rsidR="003B74AE" w:rsidRPr="00D326F8" w14:paraId="601A7FD3"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D1" w14:textId="77777777" w:rsidR="00BC73C5" w:rsidRPr="00D326F8" w:rsidRDefault="003E23E4" w:rsidP="00BC73C5">
            <w:pPr>
              <w:keepNext/>
              <w:tabs>
                <w:tab w:val="left" w:pos="288"/>
                <w:tab w:val="left" w:pos="576"/>
                <w:tab w:val="left" w:pos="864"/>
              </w:tabs>
              <w:spacing w:before="60" w:after="60"/>
              <w:jc w:val="left"/>
              <w:rPr>
                <w:lang w:eastAsia="ja-JP"/>
              </w:rPr>
            </w:pPr>
            <w:r w:rsidRPr="00D326F8">
              <w:rPr>
                <w:lang w:eastAsia="ja-JP"/>
              </w:rPr>
              <w:t>Level and Method of Blinding</w:t>
            </w:r>
          </w:p>
        </w:tc>
        <w:tc>
          <w:tcPr>
            <w:tcW w:w="4675" w:type="dxa"/>
            <w:tcBorders>
              <w:top w:val="single" w:sz="4" w:space="0" w:color="auto"/>
              <w:left w:val="single" w:sz="4" w:space="0" w:color="auto"/>
              <w:bottom w:val="single" w:sz="4" w:space="0" w:color="auto"/>
              <w:right w:val="single" w:sz="4" w:space="0" w:color="auto"/>
            </w:tcBorders>
            <w:hideMark/>
          </w:tcPr>
          <w:p w14:paraId="601A7FD2"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Open-label</w:t>
            </w:r>
          </w:p>
        </w:tc>
      </w:tr>
      <w:tr w:rsidR="003B74AE" w:rsidRPr="00D326F8" w14:paraId="601A7FD6"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D4"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Bias </w:t>
            </w:r>
            <w:proofErr w:type="spellStart"/>
            <w:r w:rsidRPr="00D326F8">
              <w:rPr>
                <w:lang w:val="de-DE" w:eastAsia="ja-JP"/>
              </w:rPr>
              <w:t>Minimalization</w:t>
            </w:r>
            <w:proofErr w:type="spellEnd"/>
            <w:r w:rsidRPr="00D326F8">
              <w:rPr>
                <w:lang w:val="de-DE" w:eastAsia="ja-JP"/>
              </w:rPr>
              <w:t xml:space="preserve"> Method(s)</w:t>
            </w:r>
          </w:p>
        </w:tc>
        <w:tc>
          <w:tcPr>
            <w:tcW w:w="4675" w:type="dxa"/>
            <w:tcBorders>
              <w:top w:val="single" w:sz="4" w:space="0" w:color="auto"/>
              <w:left w:val="single" w:sz="4" w:space="0" w:color="auto"/>
              <w:bottom w:val="single" w:sz="4" w:space="0" w:color="auto"/>
              <w:right w:val="single" w:sz="4" w:space="0" w:color="auto"/>
            </w:tcBorders>
            <w:hideMark/>
          </w:tcPr>
          <w:p w14:paraId="601A7FD5"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Not </w:t>
            </w:r>
            <w:proofErr w:type="spellStart"/>
            <w:r w:rsidRPr="00D326F8">
              <w:rPr>
                <w:lang w:val="de-DE" w:eastAsia="ja-JP"/>
              </w:rPr>
              <w:t>applicable</w:t>
            </w:r>
            <w:proofErr w:type="spellEnd"/>
          </w:p>
        </w:tc>
      </w:tr>
      <w:tr w:rsidR="003B74AE" w:rsidRPr="00D326F8" w14:paraId="601A7FD9"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D7"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Study Intervention </w:t>
            </w:r>
            <w:proofErr w:type="spellStart"/>
            <w:r w:rsidRPr="00D326F8">
              <w:rPr>
                <w:lang w:val="de-DE" w:eastAsia="ja-JP"/>
              </w:rPr>
              <w:t>Assignment</w:t>
            </w:r>
            <w:proofErr w:type="spellEnd"/>
            <w:r w:rsidRPr="00D326F8">
              <w:rPr>
                <w:lang w:val="de-DE" w:eastAsia="ja-JP"/>
              </w:rPr>
              <w:t xml:space="preserve"> Method</w:t>
            </w:r>
          </w:p>
        </w:tc>
        <w:tc>
          <w:tcPr>
            <w:tcW w:w="4675" w:type="dxa"/>
            <w:tcBorders>
              <w:top w:val="single" w:sz="4" w:space="0" w:color="auto"/>
              <w:left w:val="single" w:sz="4" w:space="0" w:color="auto"/>
              <w:bottom w:val="single" w:sz="4" w:space="0" w:color="auto"/>
              <w:right w:val="single" w:sz="4" w:space="0" w:color="auto"/>
            </w:tcBorders>
            <w:hideMark/>
          </w:tcPr>
          <w:p w14:paraId="601A7FD8"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Not </w:t>
            </w:r>
            <w:proofErr w:type="spellStart"/>
            <w:r w:rsidRPr="00D326F8">
              <w:rPr>
                <w:lang w:val="de-DE" w:eastAsia="ja-JP"/>
              </w:rPr>
              <w:t>applicable</w:t>
            </w:r>
            <w:proofErr w:type="spellEnd"/>
          </w:p>
        </w:tc>
      </w:tr>
      <w:tr w:rsidR="003B74AE" w:rsidRPr="00D326F8" w14:paraId="601A7FDC"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DA" w14:textId="77777777" w:rsidR="00BC73C5" w:rsidRPr="00D326F8" w:rsidRDefault="003E23E4" w:rsidP="00BC73C5">
            <w:pPr>
              <w:keepNext/>
              <w:tabs>
                <w:tab w:val="left" w:pos="288"/>
                <w:tab w:val="left" w:pos="576"/>
                <w:tab w:val="left" w:pos="864"/>
              </w:tabs>
              <w:spacing w:before="60" w:after="60"/>
              <w:jc w:val="left"/>
              <w:rPr>
                <w:lang w:eastAsia="ja-JP"/>
              </w:rPr>
            </w:pPr>
            <w:r w:rsidRPr="00D326F8">
              <w:rPr>
                <w:lang w:eastAsia="ja-JP"/>
              </w:rPr>
              <w:t>Involvement of Special Committee(s):</w:t>
            </w:r>
          </w:p>
        </w:tc>
        <w:tc>
          <w:tcPr>
            <w:tcW w:w="4675" w:type="dxa"/>
            <w:tcBorders>
              <w:top w:val="single" w:sz="4" w:space="0" w:color="auto"/>
              <w:left w:val="single" w:sz="4" w:space="0" w:color="auto"/>
              <w:bottom w:val="single" w:sz="4" w:space="0" w:color="auto"/>
              <w:right w:val="single" w:sz="4" w:space="0" w:color="auto"/>
            </w:tcBorders>
            <w:hideMark/>
          </w:tcPr>
          <w:p w14:paraId="601A7FDB" w14:textId="77777777" w:rsidR="00BC73C5" w:rsidRPr="00D326F8" w:rsidRDefault="003E23E4" w:rsidP="00BC73C5">
            <w:pPr>
              <w:keepNext/>
              <w:tabs>
                <w:tab w:val="left" w:pos="288"/>
                <w:tab w:val="left" w:pos="576"/>
                <w:tab w:val="left" w:pos="864"/>
              </w:tabs>
              <w:spacing w:before="60" w:after="60"/>
              <w:jc w:val="left"/>
              <w:rPr>
                <w:lang w:val="de-DE" w:eastAsia="ja-JP"/>
              </w:rPr>
            </w:pPr>
            <w:proofErr w:type="spellStart"/>
            <w:r w:rsidRPr="00D326F8">
              <w:rPr>
                <w:bCs/>
                <w:lang w:val="de-DE" w:eastAsia="ja-JP"/>
              </w:rPr>
              <w:t>No</w:t>
            </w:r>
            <w:proofErr w:type="spellEnd"/>
          </w:p>
        </w:tc>
      </w:tr>
      <w:tr w:rsidR="003B74AE" w:rsidRPr="00D326F8" w14:paraId="601A7FDF"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DD" w14:textId="77777777" w:rsidR="00BC73C5" w:rsidRPr="00D326F8" w:rsidRDefault="003E23E4" w:rsidP="00BC73C5">
            <w:pPr>
              <w:keepNext/>
              <w:tabs>
                <w:tab w:val="left" w:pos="288"/>
                <w:tab w:val="left" w:pos="576"/>
                <w:tab w:val="left" w:pos="864"/>
              </w:tabs>
              <w:spacing w:before="60" w:after="60"/>
              <w:jc w:val="left"/>
              <w:rPr>
                <w:lang w:eastAsia="ja-JP"/>
              </w:rPr>
            </w:pPr>
            <w:r w:rsidRPr="00D326F8">
              <w:rPr>
                <w:lang w:eastAsia="ja-JP"/>
              </w:rPr>
              <w:t>Total Duration of Study Participation per Participant</w:t>
            </w:r>
          </w:p>
        </w:tc>
        <w:tc>
          <w:tcPr>
            <w:tcW w:w="4675" w:type="dxa"/>
            <w:tcBorders>
              <w:top w:val="single" w:sz="4" w:space="0" w:color="auto"/>
              <w:left w:val="single" w:sz="4" w:space="0" w:color="auto"/>
              <w:bottom w:val="single" w:sz="4" w:space="0" w:color="auto"/>
              <w:right w:val="single" w:sz="4" w:space="0" w:color="auto"/>
            </w:tcBorders>
            <w:hideMark/>
          </w:tcPr>
          <w:p w14:paraId="601A7FDE" w14:textId="344C869E" w:rsidR="00BC73C5" w:rsidRPr="00D326F8" w:rsidRDefault="003E23E4" w:rsidP="00BC73C5">
            <w:pPr>
              <w:keepNext/>
              <w:tabs>
                <w:tab w:val="left" w:pos="288"/>
                <w:tab w:val="left" w:pos="576"/>
                <w:tab w:val="left" w:pos="864"/>
              </w:tabs>
              <w:spacing w:before="60" w:after="60"/>
              <w:jc w:val="left"/>
              <w:rPr>
                <w:lang w:eastAsia="ja-JP"/>
              </w:rPr>
            </w:pPr>
            <w:r w:rsidRPr="00D326F8">
              <w:rPr>
                <w:lang w:eastAsia="ja-JP"/>
              </w:rPr>
              <w:t xml:space="preserve">Up to </w:t>
            </w:r>
            <w:r w:rsidR="00661D94" w:rsidRPr="00D326F8">
              <w:rPr>
                <w:lang w:eastAsia="ja-JP"/>
              </w:rPr>
              <w:t>10 </w:t>
            </w:r>
            <w:r w:rsidRPr="00D326F8">
              <w:rPr>
                <w:lang w:eastAsia="ja-JP"/>
              </w:rPr>
              <w:t>weeks, including the Screening period (Day </w:t>
            </w:r>
            <w:r w:rsidRPr="00D326F8">
              <w:rPr>
                <w:lang w:eastAsia="ja-JP"/>
              </w:rPr>
              <w:noBreakHyphen/>
              <w:t xml:space="preserve">28 to Day -2) and </w:t>
            </w:r>
            <w:r w:rsidR="00661D94" w:rsidRPr="00D326F8">
              <w:rPr>
                <w:lang w:eastAsia="ja-JP"/>
              </w:rPr>
              <w:t>40 </w:t>
            </w:r>
            <w:r w:rsidRPr="00D326F8">
              <w:rPr>
                <w:lang w:eastAsia="ja-JP"/>
              </w:rPr>
              <w:t>days of intervention period</w:t>
            </w:r>
            <w:r w:rsidR="00661D94" w:rsidRPr="00D326F8">
              <w:rPr>
                <w:lang w:eastAsia="ja-JP"/>
              </w:rPr>
              <w:t xml:space="preserve"> </w:t>
            </w:r>
            <w:r w:rsidR="00661D94" w:rsidRPr="00D326F8">
              <w:rPr>
                <w:bCs/>
              </w:rPr>
              <w:t>including Safety Follow</w:t>
            </w:r>
            <w:r w:rsidR="00E02957" w:rsidRPr="00D326F8">
              <w:rPr>
                <w:bCs/>
              </w:rPr>
              <w:t xml:space="preserve"> U</w:t>
            </w:r>
            <w:r w:rsidR="00661D94" w:rsidRPr="00D326F8">
              <w:rPr>
                <w:bCs/>
              </w:rPr>
              <w:t>p on Day 39</w:t>
            </w:r>
            <w:r w:rsidRPr="00D326F8">
              <w:rPr>
                <w:lang w:eastAsia="ja-JP"/>
              </w:rPr>
              <w:t xml:space="preserve"> (last dose on Day</w:t>
            </w:r>
            <w:r w:rsidR="00661D94" w:rsidRPr="00D326F8">
              <w:rPr>
                <w:lang w:eastAsia="ja-JP"/>
              </w:rPr>
              <w:t> </w:t>
            </w:r>
            <w:r w:rsidRPr="00D326F8">
              <w:rPr>
                <w:lang w:eastAsia="ja-JP"/>
              </w:rPr>
              <w:t>32, last PK sample collected on Day</w:t>
            </w:r>
            <w:r w:rsidR="00661D94" w:rsidRPr="00D326F8">
              <w:rPr>
                <w:lang w:eastAsia="ja-JP"/>
              </w:rPr>
              <w:t> </w:t>
            </w:r>
            <w:r w:rsidRPr="00D326F8">
              <w:rPr>
                <w:lang w:eastAsia="ja-JP"/>
              </w:rPr>
              <w:t>33) (Sections</w:t>
            </w:r>
            <w:r w:rsidR="00661D94" w:rsidRPr="00D326F8">
              <w:rPr>
                <w:lang w:eastAsia="ja-JP"/>
              </w:rPr>
              <w:t> </w:t>
            </w:r>
            <w:r w:rsidR="00157683" w:rsidRPr="00D326F8">
              <w:rPr>
                <w:lang w:eastAsia="ja-JP"/>
              </w:rPr>
              <w:fldChar w:fldCharType="begin"/>
            </w:r>
            <w:r w:rsidR="00157683" w:rsidRPr="00D326F8">
              <w:rPr>
                <w:lang w:eastAsia="ja-JP"/>
              </w:rPr>
              <w:instrText xml:space="preserve"> REF _Ref74915749 \n \h </w:instrText>
            </w:r>
            <w:r w:rsidR="00CE2791" w:rsidRPr="00D326F8">
              <w:rPr>
                <w:lang w:eastAsia="ja-JP"/>
              </w:rPr>
              <w:instrText xml:space="preserve"> \* MERGEFORMAT </w:instrText>
            </w:r>
            <w:r w:rsidR="00157683" w:rsidRPr="00D326F8">
              <w:rPr>
                <w:lang w:eastAsia="ja-JP"/>
              </w:rPr>
            </w:r>
            <w:r w:rsidR="00157683" w:rsidRPr="00D326F8">
              <w:rPr>
                <w:lang w:eastAsia="ja-JP"/>
              </w:rPr>
              <w:fldChar w:fldCharType="separate"/>
            </w:r>
            <w:r w:rsidR="00173A27">
              <w:rPr>
                <w:lang w:eastAsia="ja-JP"/>
              </w:rPr>
              <w:t>1.2</w:t>
            </w:r>
            <w:r w:rsidR="00157683" w:rsidRPr="00D326F8">
              <w:rPr>
                <w:lang w:eastAsia="ja-JP"/>
              </w:rPr>
              <w:fldChar w:fldCharType="end"/>
            </w:r>
            <w:r w:rsidR="00157683" w:rsidRPr="00D326F8">
              <w:rPr>
                <w:lang w:eastAsia="ja-JP"/>
              </w:rPr>
              <w:t xml:space="preserve"> and</w:t>
            </w:r>
            <w:r w:rsidR="006F692F" w:rsidRPr="00D326F8">
              <w:rPr>
                <w:lang w:eastAsia="ja-JP"/>
              </w:rPr>
              <w:fldChar w:fldCharType="begin"/>
            </w:r>
            <w:r w:rsidR="006F692F" w:rsidRPr="00D326F8">
              <w:rPr>
                <w:lang w:eastAsia="ja-JP"/>
              </w:rPr>
              <w:instrText xml:space="preserve"> REF _Ref77583760 \r \h </w:instrText>
            </w:r>
            <w:r w:rsidR="00CE2791" w:rsidRPr="00D326F8">
              <w:rPr>
                <w:lang w:eastAsia="ja-JP"/>
              </w:rPr>
              <w:instrText xml:space="preserve"> \* MERGEFORMAT </w:instrText>
            </w:r>
            <w:r w:rsidR="006F692F" w:rsidRPr="00D326F8">
              <w:rPr>
                <w:lang w:eastAsia="ja-JP"/>
              </w:rPr>
            </w:r>
            <w:r w:rsidR="006F692F" w:rsidRPr="00D326F8">
              <w:rPr>
                <w:lang w:eastAsia="ja-JP"/>
              </w:rPr>
              <w:fldChar w:fldCharType="separate"/>
            </w:r>
            <w:r w:rsidR="00173A27">
              <w:rPr>
                <w:lang w:eastAsia="ja-JP"/>
              </w:rPr>
              <w:t>1.3</w:t>
            </w:r>
            <w:r w:rsidR="006F692F" w:rsidRPr="00D326F8">
              <w:rPr>
                <w:lang w:eastAsia="ja-JP"/>
              </w:rPr>
              <w:fldChar w:fldCharType="end"/>
            </w:r>
            <w:r w:rsidRPr="00D326F8">
              <w:rPr>
                <w:lang w:eastAsia="ja-JP"/>
              </w:rPr>
              <w:t>).</w:t>
            </w:r>
          </w:p>
        </w:tc>
      </w:tr>
      <w:tr w:rsidR="003B74AE" w:rsidRPr="00D326F8" w14:paraId="601A7FE2"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E0" w14:textId="77777777" w:rsidR="00BC73C5" w:rsidRPr="00D326F8" w:rsidRDefault="003E23E4" w:rsidP="00BC73C5">
            <w:pPr>
              <w:keepNext/>
              <w:tabs>
                <w:tab w:val="left" w:pos="288"/>
                <w:tab w:val="left" w:pos="576"/>
                <w:tab w:val="left" w:pos="864"/>
              </w:tabs>
              <w:spacing w:before="60" w:after="60"/>
              <w:jc w:val="left"/>
              <w:rPr>
                <w:lang w:eastAsia="ja-JP"/>
              </w:rPr>
            </w:pPr>
            <w:r w:rsidRPr="00D326F8">
              <w:rPr>
                <w:lang w:eastAsia="ja-JP"/>
              </w:rPr>
              <w:t>Provisions for Study Extension or Entry into Roll-Over Studies</w:t>
            </w:r>
          </w:p>
        </w:tc>
        <w:tc>
          <w:tcPr>
            <w:tcW w:w="4675" w:type="dxa"/>
            <w:tcBorders>
              <w:top w:val="single" w:sz="4" w:space="0" w:color="auto"/>
              <w:left w:val="single" w:sz="4" w:space="0" w:color="auto"/>
              <w:bottom w:val="single" w:sz="4" w:space="0" w:color="auto"/>
              <w:right w:val="single" w:sz="4" w:space="0" w:color="auto"/>
            </w:tcBorders>
            <w:hideMark/>
          </w:tcPr>
          <w:p w14:paraId="601A7FE1"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Not </w:t>
            </w:r>
            <w:proofErr w:type="spellStart"/>
            <w:r w:rsidRPr="00D326F8">
              <w:rPr>
                <w:lang w:val="de-DE" w:eastAsia="ja-JP"/>
              </w:rPr>
              <w:t>applicable</w:t>
            </w:r>
            <w:proofErr w:type="spellEnd"/>
          </w:p>
        </w:tc>
      </w:tr>
      <w:tr w:rsidR="003B74AE" w:rsidRPr="00D326F8" w14:paraId="601A7FE5" w14:textId="77777777" w:rsidTr="00BC73C5">
        <w:trPr>
          <w:cantSplit/>
        </w:trPr>
        <w:tc>
          <w:tcPr>
            <w:tcW w:w="4505" w:type="dxa"/>
            <w:tcBorders>
              <w:top w:val="single" w:sz="4" w:space="0" w:color="auto"/>
              <w:left w:val="single" w:sz="4" w:space="0" w:color="auto"/>
              <w:bottom w:val="single" w:sz="4" w:space="0" w:color="auto"/>
              <w:right w:val="single" w:sz="4" w:space="0" w:color="auto"/>
            </w:tcBorders>
            <w:hideMark/>
          </w:tcPr>
          <w:p w14:paraId="601A7FE3" w14:textId="77777777" w:rsidR="00BC73C5" w:rsidRPr="00D326F8" w:rsidRDefault="003E23E4" w:rsidP="00BC73C5">
            <w:pPr>
              <w:keepNext/>
              <w:tabs>
                <w:tab w:val="left" w:pos="288"/>
                <w:tab w:val="left" w:pos="576"/>
                <w:tab w:val="left" w:pos="864"/>
              </w:tabs>
              <w:spacing w:before="60" w:after="60"/>
              <w:jc w:val="left"/>
              <w:rPr>
                <w:lang w:eastAsia="ja-JP"/>
              </w:rPr>
            </w:pPr>
            <w:r w:rsidRPr="00D326F8">
              <w:rPr>
                <w:lang w:eastAsia="ja-JP"/>
              </w:rPr>
              <w:t>Adaptive Aspects of Study Design</w:t>
            </w:r>
          </w:p>
        </w:tc>
        <w:tc>
          <w:tcPr>
            <w:tcW w:w="4675" w:type="dxa"/>
            <w:tcBorders>
              <w:top w:val="single" w:sz="4" w:space="0" w:color="auto"/>
              <w:left w:val="single" w:sz="4" w:space="0" w:color="auto"/>
              <w:bottom w:val="single" w:sz="4" w:space="0" w:color="auto"/>
              <w:right w:val="single" w:sz="4" w:space="0" w:color="auto"/>
            </w:tcBorders>
            <w:hideMark/>
          </w:tcPr>
          <w:p w14:paraId="601A7FE4" w14:textId="77777777" w:rsidR="00BC73C5" w:rsidRPr="00D326F8" w:rsidRDefault="003E23E4" w:rsidP="00BC73C5">
            <w:pPr>
              <w:keepNext/>
              <w:tabs>
                <w:tab w:val="left" w:pos="288"/>
                <w:tab w:val="left" w:pos="576"/>
                <w:tab w:val="left" w:pos="864"/>
              </w:tabs>
              <w:spacing w:before="60" w:after="60"/>
              <w:jc w:val="left"/>
              <w:rPr>
                <w:lang w:val="de-DE" w:eastAsia="ja-JP"/>
              </w:rPr>
            </w:pPr>
            <w:r w:rsidRPr="00D326F8">
              <w:rPr>
                <w:lang w:val="de-DE" w:eastAsia="ja-JP"/>
              </w:rPr>
              <w:t xml:space="preserve">Not </w:t>
            </w:r>
            <w:proofErr w:type="spellStart"/>
            <w:r w:rsidRPr="00D326F8">
              <w:rPr>
                <w:lang w:val="de-DE" w:eastAsia="ja-JP"/>
              </w:rPr>
              <w:t>applicable</w:t>
            </w:r>
            <w:proofErr w:type="spellEnd"/>
          </w:p>
        </w:tc>
      </w:tr>
    </w:tbl>
    <w:p w14:paraId="601A7FE6" w14:textId="77777777" w:rsidR="00945494" w:rsidRPr="00D326F8" w:rsidRDefault="003E23E4" w:rsidP="006A61B6">
      <w:pPr>
        <w:pStyle w:val="Heading2"/>
        <w:tabs>
          <w:tab w:val="clear" w:pos="4896"/>
          <w:tab w:val="num" w:pos="5220"/>
        </w:tabs>
        <w:ind w:left="1440" w:hanging="1440"/>
      </w:pPr>
      <w:bookmarkStart w:id="70" w:name="_Ref3989357"/>
      <w:bookmarkStart w:id="71" w:name="_Toc77839729"/>
      <w:r w:rsidRPr="00D326F8">
        <w:t>Scientific Rationale for Study Design</w:t>
      </w:r>
      <w:bookmarkEnd w:id="70"/>
      <w:bookmarkEnd w:id="71"/>
    </w:p>
    <w:p w14:paraId="601A7FE7" w14:textId="77777777" w:rsidR="00BC73C5" w:rsidRPr="00D326F8" w:rsidRDefault="003E23E4" w:rsidP="00BC73C5">
      <w:pPr>
        <w:pStyle w:val="BodyText"/>
      </w:pPr>
      <w:r w:rsidRPr="00D326F8">
        <w:t xml:space="preserve">The study design, objectives and endpoints are typical for a DDI study of this type and in line with FDA and EMA guidelines. </w:t>
      </w:r>
    </w:p>
    <w:p w14:paraId="601A7FE8" w14:textId="77777777" w:rsidR="00BC73C5" w:rsidRPr="00D326F8" w:rsidRDefault="003E23E4" w:rsidP="00BC73C5">
      <w:pPr>
        <w:pStyle w:val="BodyText"/>
      </w:pPr>
      <w:r w:rsidRPr="00D326F8">
        <w:t>The effect of CYP3A4 and CYP2C8 induction on tepotinib PK will be investigated following 18</w:t>
      </w:r>
      <w:r w:rsidR="00863423" w:rsidRPr="00D326F8">
        <w:t> </w:t>
      </w:r>
      <w:r w:rsidRPr="00D326F8">
        <w:t xml:space="preserve">days of administration of the strong clinical index inducer carbamazepine. </w:t>
      </w:r>
    </w:p>
    <w:p w14:paraId="601A7FE9" w14:textId="6B686257" w:rsidR="00BC73C5" w:rsidRPr="00D326F8" w:rsidRDefault="003E23E4" w:rsidP="00BC73C5">
      <w:pPr>
        <w:pStyle w:val="BodyText"/>
      </w:pPr>
      <w:r w:rsidRPr="00D326F8">
        <w:t>The carbamazepine dose will be up titrated from an initial dose of 100</w:t>
      </w:r>
      <w:r w:rsidR="00863423" w:rsidRPr="00D326F8">
        <w:t> </w:t>
      </w:r>
      <w:r w:rsidRPr="00D326F8">
        <w:t>mg twice daily in 100</w:t>
      </w:r>
      <w:r w:rsidR="00863423" w:rsidRPr="00D326F8">
        <w:t> </w:t>
      </w:r>
      <w:r w:rsidRPr="00D326F8">
        <w:t>mg increments over 2 days each to a final maintenance dose of 300</w:t>
      </w:r>
      <w:r w:rsidR="00C56882" w:rsidRPr="00D326F8">
        <w:t> </w:t>
      </w:r>
      <w:r w:rsidRPr="00D326F8">
        <w:t>mg twice daily for 25</w:t>
      </w:r>
      <w:r w:rsidR="00863423" w:rsidRPr="00D326F8">
        <w:t> </w:t>
      </w:r>
      <w:r w:rsidRPr="00D326F8">
        <w:t>days (including the up-titration, Section</w:t>
      </w:r>
      <w:r w:rsidR="00157683" w:rsidRPr="00D326F8">
        <w:t xml:space="preserve"> </w:t>
      </w:r>
      <w:r w:rsidR="00157683" w:rsidRPr="00D326F8">
        <w:fldChar w:fldCharType="begin"/>
      </w:r>
      <w:r w:rsidR="00157683" w:rsidRPr="00D326F8">
        <w:instrText xml:space="preserve"> REF _Ref74915776 \n \h </w:instrText>
      </w:r>
      <w:r w:rsidR="00CE2791" w:rsidRPr="00D326F8">
        <w:instrText xml:space="preserve"> \* MERGEFORMAT </w:instrText>
      </w:r>
      <w:r w:rsidR="00157683" w:rsidRPr="00D326F8">
        <w:fldChar w:fldCharType="separate"/>
      </w:r>
      <w:r w:rsidR="00173A27">
        <w:t>1.2</w:t>
      </w:r>
      <w:r w:rsidR="00157683" w:rsidRPr="00D326F8">
        <w:fldChar w:fldCharType="end"/>
      </w:r>
      <w:r w:rsidRPr="00D326F8">
        <w:t>). The 300</w:t>
      </w:r>
      <w:r w:rsidR="00863423" w:rsidRPr="00D326F8">
        <w:t> </w:t>
      </w:r>
      <w:r w:rsidRPr="00D326F8">
        <w:t>mg carbamazepine twice daily dosing will continue until the last dose on Day 32. The last dose of carbamazepine is administered 12</w:t>
      </w:r>
      <w:r w:rsidR="00863423" w:rsidRPr="00D326F8">
        <w:t> </w:t>
      </w:r>
      <w:r w:rsidRPr="00D326F8">
        <w:t>hours before the last tepotinib PK sample is collected.</w:t>
      </w:r>
    </w:p>
    <w:p w14:paraId="601A7FEA" w14:textId="77777777" w:rsidR="00BC73C5" w:rsidRPr="00D326F8" w:rsidRDefault="003E23E4" w:rsidP="00BC73C5">
      <w:pPr>
        <w:pStyle w:val="BodyText"/>
      </w:pPr>
      <w:r w:rsidRPr="00D326F8">
        <w:t xml:space="preserve">A single-sequence </w:t>
      </w:r>
      <w:r w:rsidR="00210F84" w:rsidRPr="00D326F8">
        <w:t xml:space="preserve">cross-over design </w:t>
      </w:r>
      <w:r w:rsidRPr="00D326F8">
        <w:t xml:space="preserve">was chosen because the potential effects of carbamazepine on CYP3A4 induction may be long lasting. </w:t>
      </w:r>
    </w:p>
    <w:p w14:paraId="601A7FEB" w14:textId="77777777" w:rsidR="00BC73C5" w:rsidRPr="00D326F8" w:rsidRDefault="003E23E4" w:rsidP="00BC73C5">
      <w:pPr>
        <w:pStyle w:val="BodyText"/>
      </w:pPr>
      <w:r w:rsidRPr="00D326F8">
        <w:t>An open-label design and the absence of a control arm is deemed appropriate as the primary endpoint relates to PK parameters, rather than safety or efficacy parameters.</w:t>
      </w:r>
    </w:p>
    <w:p w14:paraId="601A7FEC" w14:textId="4E5C1687" w:rsidR="00BC73C5" w:rsidRPr="00D326F8" w:rsidRDefault="003E23E4" w:rsidP="00BC73C5">
      <w:pPr>
        <w:pStyle w:val="BodyText"/>
      </w:pPr>
      <w:r w:rsidRPr="00D326F8">
        <w:lastRenderedPageBreak/>
        <w:t xml:space="preserve">Healthy participants can be recruited for this </w:t>
      </w:r>
      <w:r w:rsidR="007D4437" w:rsidRPr="00D326F8">
        <w:t xml:space="preserve">study </w:t>
      </w:r>
      <w:r w:rsidRPr="00D326F8">
        <w:t xml:space="preserve">as </w:t>
      </w:r>
      <w:proofErr w:type="gramStart"/>
      <w:r w:rsidRPr="00D326F8">
        <w:t>tepotinib</w:t>
      </w:r>
      <w:proofErr w:type="gramEnd"/>
      <w:r w:rsidRPr="00D326F8">
        <w:t xml:space="preserve"> and carbamazepine are not genotoxic. This will allow an efficient and timely recruitment in comparison to patients with comedication and comorbidities.</w:t>
      </w:r>
    </w:p>
    <w:p w14:paraId="601A7FED" w14:textId="77777777" w:rsidR="00BC73C5" w:rsidRPr="00D326F8" w:rsidRDefault="003E23E4" w:rsidP="00BC73C5">
      <w:pPr>
        <w:pStyle w:val="BodyText"/>
      </w:pPr>
      <w:r w:rsidRPr="00D326F8">
        <w:t xml:space="preserve">The PK sampling time points allow the characterization of </w:t>
      </w:r>
      <w:proofErr w:type="spellStart"/>
      <w:r w:rsidRPr="00D326F8">
        <w:t>tepotinib’s</w:t>
      </w:r>
      <w:proofErr w:type="spellEnd"/>
      <w:r w:rsidRPr="00D326F8">
        <w:t xml:space="preserve"> PK profile including C</w:t>
      </w:r>
      <w:r w:rsidRPr="00D326F8">
        <w:rPr>
          <w:vertAlign w:val="subscript"/>
        </w:rPr>
        <w:t>max</w:t>
      </w:r>
      <w:r w:rsidRPr="00D326F8">
        <w:t xml:space="preserve">. </w:t>
      </w:r>
    </w:p>
    <w:p w14:paraId="601A7FF0" w14:textId="5BC0F3F6" w:rsidR="00E14986" w:rsidRPr="00D326F8" w:rsidRDefault="003E23E4" w:rsidP="00E14986">
      <w:pPr>
        <w:pStyle w:val="BodyText"/>
      </w:pPr>
      <w:r w:rsidRPr="00D326F8">
        <w:t>The washout period after the first tepotinib administration covers more than 5 half-lives and is, therefore, considered sufficiently long.</w:t>
      </w:r>
    </w:p>
    <w:p w14:paraId="601A7FF1" w14:textId="77777777" w:rsidR="00945494" w:rsidRPr="00D326F8" w:rsidRDefault="003E23E4" w:rsidP="00AC124A">
      <w:pPr>
        <w:pStyle w:val="Heading2"/>
        <w:tabs>
          <w:tab w:val="clear" w:pos="4896"/>
          <w:tab w:val="num" w:pos="5130"/>
        </w:tabs>
        <w:ind w:left="1980" w:hanging="1980"/>
      </w:pPr>
      <w:bookmarkStart w:id="72" w:name="_Toc77839730"/>
      <w:r w:rsidRPr="00D326F8">
        <w:t>Justification for Dose</w:t>
      </w:r>
      <w:bookmarkEnd w:id="72"/>
    </w:p>
    <w:p w14:paraId="601A7FF2" w14:textId="77777777" w:rsidR="00D3748A" w:rsidRPr="00D326F8" w:rsidRDefault="003E23E4" w:rsidP="00D3748A">
      <w:pPr>
        <w:pStyle w:val="BodyText"/>
        <w:rPr>
          <w:b/>
          <w:bCs/>
        </w:rPr>
      </w:pPr>
      <w:r w:rsidRPr="00D326F8">
        <w:rPr>
          <w:b/>
          <w:bCs/>
        </w:rPr>
        <w:t>Tepotinib</w:t>
      </w:r>
    </w:p>
    <w:p w14:paraId="601A7FF3" w14:textId="1E919294" w:rsidR="00D3748A" w:rsidRPr="00D326F8" w:rsidRDefault="003E23E4" w:rsidP="00D3748A">
      <w:pPr>
        <w:pStyle w:val="BodyText"/>
      </w:pPr>
      <w:r w:rsidRPr="00D326F8">
        <w:t>The tepotinib dose to be used in this study is 500</w:t>
      </w:r>
      <w:r w:rsidR="00863423" w:rsidRPr="00D326F8">
        <w:t> </w:t>
      </w:r>
      <w:r w:rsidRPr="00D326F8">
        <w:t>mg tepotinib HCl hydrate (equivalent to 450</w:t>
      </w:r>
      <w:r w:rsidR="00236B82" w:rsidRPr="00D326F8">
        <w:t> </w:t>
      </w:r>
      <w:r w:rsidRPr="00D326F8">
        <w:t xml:space="preserve">mg free base) as tablet formulation. This is the clinical dose which was extensively studied during clinical development and which was recently approved by the US FDA </w:t>
      </w:r>
      <w:r w:rsidR="00D06D0B" w:rsidRPr="00D326F8">
        <w:t>(</w:t>
      </w:r>
      <w:r w:rsidR="00CE2791" w:rsidRPr="00D326F8">
        <w:t xml:space="preserve">refer to </w:t>
      </w:r>
      <w:hyperlink w:anchor="_Tepmetko_(tepotinib)_USPI." w:history="1">
        <w:r w:rsidR="00D06D0B" w:rsidRPr="00D326F8">
          <w:rPr>
            <w:rStyle w:val="Hyperlink"/>
            <w:color w:val="auto"/>
          </w:rPr>
          <w:t>Tepotinib USPI</w:t>
        </w:r>
      </w:hyperlink>
      <w:r w:rsidRPr="00D326F8">
        <w:t xml:space="preserve">). </w:t>
      </w:r>
      <w:r w:rsidR="006D695D" w:rsidRPr="00D326F8">
        <w:t>2 </w:t>
      </w:r>
      <w:r w:rsidRPr="00D326F8">
        <w:t xml:space="preserve">single doses of 500 mg of </w:t>
      </w:r>
      <w:r w:rsidR="00D06D0B" w:rsidRPr="00D326F8">
        <w:t>t</w:t>
      </w:r>
      <w:r w:rsidRPr="00D326F8">
        <w:t>epotinib</w:t>
      </w:r>
      <w:r w:rsidR="00626027" w:rsidRPr="00D326F8">
        <w:t xml:space="preserve"> HCl hydrate</w:t>
      </w:r>
      <w:r w:rsidRPr="00D326F8">
        <w:t xml:space="preserve">, consisting of </w:t>
      </w:r>
      <w:r w:rsidR="00C56882" w:rsidRPr="00D326F8">
        <w:t>2 </w:t>
      </w:r>
      <w:r w:rsidRPr="00D326F8">
        <w:t xml:space="preserve">tablets (250 mg) each will be administered in this study. </w:t>
      </w:r>
    </w:p>
    <w:p w14:paraId="601A7FF4" w14:textId="51B0EBB1" w:rsidR="00236B82" w:rsidRPr="00D326F8" w:rsidRDefault="003E23E4" w:rsidP="00D3748A">
      <w:pPr>
        <w:pStyle w:val="BodyText"/>
      </w:pPr>
      <w:r w:rsidRPr="00D326F8">
        <w:t>The 500</w:t>
      </w:r>
      <w:r w:rsidR="00863423" w:rsidRPr="00D326F8">
        <w:t> </w:t>
      </w:r>
      <w:r w:rsidRPr="00D326F8">
        <w:t>mg tepotinib HCl hydrate single oral dose with food has been evaluated in previous studies in healthy participants and was found to be safe and well tolerated (</w:t>
      </w:r>
      <w:r w:rsidR="00CE2791" w:rsidRPr="00D326F8">
        <w:t xml:space="preserve">refer to </w:t>
      </w:r>
      <w:r w:rsidR="00D7247E" w:rsidRPr="00D326F8">
        <w:t>current t</w:t>
      </w:r>
      <w:r w:rsidRPr="00D326F8">
        <w:t>epotinib IB). The dose of 500</w:t>
      </w:r>
      <w:r w:rsidR="00863423" w:rsidRPr="00D326F8">
        <w:t> </w:t>
      </w:r>
      <w:r w:rsidRPr="00D326F8">
        <w:t>mg tepotinib HCl hydrate is the RP2D for the treatment of human malignant tumors (</w:t>
      </w:r>
      <w:r w:rsidR="00CE2791" w:rsidRPr="00D326F8">
        <w:t xml:space="preserve">refer to </w:t>
      </w:r>
      <w:r w:rsidR="00D7247E" w:rsidRPr="00D326F8">
        <w:t xml:space="preserve">current </w:t>
      </w:r>
      <w:r w:rsidR="00CE2791" w:rsidRPr="00D326F8">
        <w:t>t</w:t>
      </w:r>
      <w:r w:rsidRPr="00D326F8">
        <w:t>epotinib</w:t>
      </w:r>
      <w:r w:rsidR="00863423" w:rsidRPr="00D326F8">
        <w:t> </w:t>
      </w:r>
      <w:r w:rsidRPr="00D326F8">
        <w:t>IB). This is also the recommended dosage taken orally once daily with food (</w:t>
      </w:r>
      <w:r w:rsidR="00CE2791" w:rsidRPr="00D326F8">
        <w:t xml:space="preserve">refer to </w:t>
      </w:r>
      <w:hyperlink w:anchor="_Tepmetko_(tepotinib)_USPI." w:history="1">
        <w:r w:rsidRPr="00D326F8">
          <w:rPr>
            <w:rStyle w:val="Hyperlink"/>
            <w:color w:val="auto"/>
          </w:rPr>
          <w:t>Tepotinib USPI</w:t>
        </w:r>
      </w:hyperlink>
      <w:r w:rsidRPr="00D326F8">
        <w:t>).</w:t>
      </w:r>
    </w:p>
    <w:p w14:paraId="601A7FF5" w14:textId="77777777" w:rsidR="00D3748A" w:rsidRPr="00D326F8" w:rsidRDefault="003E23E4" w:rsidP="00D3748A">
      <w:pPr>
        <w:pStyle w:val="BodyText"/>
      </w:pPr>
      <w:r w:rsidRPr="00D326F8">
        <w:t>For more detailed information on dose selection refer to current tepotinib IB.</w:t>
      </w:r>
    </w:p>
    <w:p w14:paraId="601A7FF6" w14:textId="77777777" w:rsidR="00D3748A" w:rsidRPr="00D326F8" w:rsidRDefault="003E23E4" w:rsidP="00D3748A">
      <w:pPr>
        <w:pStyle w:val="BodyText"/>
        <w:rPr>
          <w:b/>
          <w:bCs/>
        </w:rPr>
      </w:pPr>
      <w:r w:rsidRPr="00D326F8">
        <w:rPr>
          <w:b/>
          <w:bCs/>
        </w:rPr>
        <w:t xml:space="preserve">Carbamazepine </w:t>
      </w:r>
    </w:p>
    <w:p w14:paraId="601A7FF7" w14:textId="77777777" w:rsidR="00D3748A" w:rsidRPr="00D326F8" w:rsidRDefault="003E23E4" w:rsidP="00D3748A">
      <w:pPr>
        <w:pStyle w:val="BodyText"/>
      </w:pPr>
      <w:r w:rsidRPr="00D326F8">
        <w:t>The carbamazepine dose to be used in this study, 300</w:t>
      </w:r>
      <w:r w:rsidR="008256D8" w:rsidRPr="00D326F8">
        <w:t> </w:t>
      </w:r>
      <w:r w:rsidRPr="00D326F8">
        <w:t xml:space="preserve">mg twice daily is a common dosing regimen used to assess the effect of CYP3A4 induction on the PK of CYP3A4 substrates in DDI studies of this type (https://clinicaltrials.gov, search criterion: carbamazepine). </w:t>
      </w:r>
    </w:p>
    <w:p w14:paraId="601A7FF8" w14:textId="66EEE23A" w:rsidR="00AD5FEF" w:rsidRPr="00D326F8" w:rsidRDefault="003E23E4" w:rsidP="00D3748A">
      <w:pPr>
        <w:pStyle w:val="BodyText"/>
      </w:pPr>
      <w:r w:rsidRPr="00D326F8">
        <w:t>The carbamazepine dose will be up titrated from an initial dose of 100</w:t>
      </w:r>
      <w:r w:rsidR="008256D8" w:rsidRPr="00D326F8">
        <w:t> </w:t>
      </w:r>
      <w:r w:rsidRPr="00D326F8">
        <w:t>mg twice daily in 100</w:t>
      </w:r>
      <w:r w:rsidR="008256D8" w:rsidRPr="00D326F8">
        <w:t> </w:t>
      </w:r>
      <w:r w:rsidRPr="00D326F8">
        <w:t>mg increments twice daily to a final maintenance dose of 300</w:t>
      </w:r>
      <w:r w:rsidR="008256D8" w:rsidRPr="00D326F8">
        <w:t> </w:t>
      </w:r>
      <w:r w:rsidRPr="00D326F8">
        <w:t>mg twice daily. This gradually increasing dosage schema will improve tolerability and reduce drop-out rate. It is in line with label recommendations</w:t>
      </w:r>
      <w:r w:rsidR="00D06D0B" w:rsidRPr="00D326F8">
        <w:t xml:space="preserve"> (</w:t>
      </w:r>
      <w:r w:rsidR="00A60808" w:rsidRPr="00D326F8">
        <w:t xml:space="preserve">refer to </w:t>
      </w:r>
      <w:hyperlink w:anchor="_Carbamazepine_SmPC." w:history="1">
        <w:r w:rsidR="00D06D0B" w:rsidRPr="00D326F8">
          <w:rPr>
            <w:rStyle w:val="Hyperlink"/>
            <w:color w:val="auto"/>
          </w:rPr>
          <w:t>Carbamazepine SmPC</w:t>
        </w:r>
      </w:hyperlink>
      <w:r w:rsidR="00A60808" w:rsidRPr="00D326F8">
        <w:t xml:space="preserve"> and</w:t>
      </w:r>
      <w:r w:rsidR="00D06D0B" w:rsidRPr="00D326F8">
        <w:t xml:space="preserve"> </w:t>
      </w:r>
      <w:hyperlink w:anchor="_Carbamazepine_USPI." w:history="1">
        <w:r w:rsidR="00D06D0B" w:rsidRPr="00D326F8">
          <w:rPr>
            <w:rStyle w:val="Hyperlink"/>
            <w:color w:val="auto"/>
          </w:rPr>
          <w:t>Carbamazepine USPI</w:t>
        </w:r>
      </w:hyperlink>
      <w:r w:rsidRPr="00D326F8">
        <w:t xml:space="preserve">). Similar dosing regimens were used in other DDI studies (https://clinicaltrials.gov, search criterion: carbamazepine; </w:t>
      </w:r>
      <w:hyperlink w:anchor="_Lutz_JD,_et" w:history="1">
        <w:r w:rsidRPr="00D326F8">
          <w:rPr>
            <w:rStyle w:val="Hyperlink"/>
            <w:color w:val="auto"/>
          </w:rPr>
          <w:t>Lutz</w:t>
        </w:r>
        <w:r w:rsidR="00960A28" w:rsidRPr="00D326F8">
          <w:rPr>
            <w:rStyle w:val="Hyperlink"/>
            <w:color w:val="auto"/>
          </w:rPr>
          <w:t> </w:t>
        </w:r>
        <w:r w:rsidRPr="00D326F8">
          <w:rPr>
            <w:rStyle w:val="Hyperlink"/>
            <w:color w:val="auto"/>
          </w:rPr>
          <w:t>2018</w:t>
        </w:r>
      </w:hyperlink>
      <w:r w:rsidRPr="00D326F8">
        <w:t xml:space="preserve">, </w:t>
      </w:r>
      <w:hyperlink w:anchor="_Song_I,_Weller" w:history="1">
        <w:r w:rsidRPr="00D326F8">
          <w:rPr>
            <w:rStyle w:val="Hyperlink"/>
            <w:color w:val="auto"/>
          </w:rPr>
          <w:t>Song</w:t>
        </w:r>
        <w:r w:rsidR="00CE2791" w:rsidRPr="00D326F8">
          <w:rPr>
            <w:rStyle w:val="Hyperlink"/>
            <w:color w:val="auto"/>
          </w:rPr>
          <w:t> </w:t>
        </w:r>
        <w:r w:rsidRPr="00D326F8">
          <w:rPr>
            <w:rStyle w:val="Hyperlink"/>
            <w:color w:val="auto"/>
          </w:rPr>
          <w:t>2016</w:t>
        </w:r>
      </w:hyperlink>
      <w:r w:rsidRPr="00D326F8">
        <w:t xml:space="preserve">, </w:t>
      </w:r>
      <w:hyperlink w:anchor="_Ucar_M,_Neuvonen" w:history="1">
        <w:proofErr w:type="spellStart"/>
        <w:r w:rsidRPr="00D326F8">
          <w:rPr>
            <w:rStyle w:val="Hyperlink"/>
            <w:color w:val="auto"/>
          </w:rPr>
          <w:t>Ucar</w:t>
        </w:r>
        <w:proofErr w:type="spellEnd"/>
        <w:r w:rsidR="00CE2791" w:rsidRPr="00D326F8">
          <w:rPr>
            <w:rStyle w:val="Hyperlink"/>
            <w:color w:val="auto"/>
          </w:rPr>
          <w:t> </w:t>
        </w:r>
        <w:r w:rsidRPr="00D326F8">
          <w:rPr>
            <w:rStyle w:val="Hyperlink"/>
            <w:color w:val="auto"/>
          </w:rPr>
          <w:t>2004</w:t>
        </w:r>
      </w:hyperlink>
      <w:r w:rsidRPr="00D326F8">
        <w:t>) and were considered sufficient for achieving the respective near maximal CYP3A4 induction (</w:t>
      </w:r>
      <w:hyperlink w:anchor="_Xu_Y,_Zhou" w:history="1">
        <w:r w:rsidRPr="00D326F8">
          <w:rPr>
            <w:rStyle w:val="Hyperlink"/>
            <w:color w:val="auto"/>
          </w:rPr>
          <w:t>Xu</w:t>
        </w:r>
        <w:r w:rsidR="00CE2791" w:rsidRPr="00D326F8">
          <w:rPr>
            <w:rStyle w:val="Hyperlink"/>
            <w:color w:val="auto"/>
          </w:rPr>
          <w:t> </w:t>
        </w:r>
        <w:r w:rsidRPr="00D326F8">
          <w:rPr>
            <w:rStyle w:val="Hyperlink"/>
            <w:color w:val="auto"/>
          </w:rPr>
          <w:t>2011</w:t>
        </w:r>
      </w:hyperlink>
      <w:r w:rsidRPr="00D326F8">
        <w:t>).</w:t>
      </w:r>
    </w:p>
    <w:p w14:paraId="601A7FF9" w14:textId="77777777" w:rsidR="00945494" w:rsidRPr="00D326F8" w:rsidRDefault="003E23E4" w:rsidP="00AC124A">
      <w:pPr>
        <w:pStyle w:val="Heading2"/>
        <w:tabs>
          <w:tab w:val="clear" w:pos="4896"/>
          <w:tab w:val="num" w:pos="5040"/>
        </w:tabs>
        <w:ind w:left="1800" w:hanging="1800"/>
      </w:pPr>
      <w:bookmarkStart w:id="73" w:name="_Toc77839731"/>
      <w:r w:rsidRPr="00D326F8">
        <w:t>End of Study Definition</w:t>
      </w:r>
      <w:bookmarkEnd w:id="73"/>
    </w:p>
    <w:p w14:paraId="601A7FFA" w14:textId="71866933" w:rsidR="00945494" w:rsidRPr="00D326F8" w:rsidRDefault="003E23E4" w:rsidP="00D3748A">
      <w:pPr>
        <w:pStyle w:val="List1withoutbullet"/>
        <w:ind w:left="0"/>
      </w:pPr>
      <w:bookmarkStart w:id="74" w:name="_Hlk517360296"/>
      <w:r w:rsidRPr="00D326F8">
        <w:rPr>
          <w:rFonts w:eastAsia="Calibri"/>
          <w:szCs w:val="24"/>
        </w:rPr>
        <w:t>The end of the study is defined as the date of</w:t>
      </w:r>
      <w:r w:rsidRPr="00D326F8">
        <w:t xml:space="preserve"> </w:t>
      </w:r>
      <w:r w:rsidR="00D3748A" w:rsidRPr="00D326F8">
        <w:t>last contact (related to this study) with the last participant who finishes this study (last participant’s Safety Follow</w:t>
      </w:r>
      <w:r w:rsidR="00E02957" w:rsidRPr="00D326F8">
        <w:t xml:space="preserve"> U</w:t>
      </w:r>
      <w:r w:rsidR="00D3748A" w:rsidRPr="00D326F8">
        <w:t>p assessment shown in Section</w:t>
      </w:r>
      <w:r w:rsidR="003D201D" w:rsidRPr="00D326F8">
        <w:t> </w:t>
      </w:r>
      <w:r w:rsidR="006F692F" w:rsidRPr="00D326F8">
        <w:fldChar w:fldCharType="begin"/>
      </w:r>
      <w:r w:rsidR="006F692F" w:rsidRPr="00D326F8">
        <w:instrText xml:space="preserve"> REF _Ref77583760 \r \h </w:instrText>
      </w:r>
      <w:r w:rsidR="00CE2791" w:rsidRPr="00D326F8">
        <w:instrText xml:space="preserve"> \* MERGEFORMAT </w:instrText>
      </w:r>
      <w:r w:rsidR="006F692F" w:rsidRPr="00D326F8">
        <w:fldChar w:fldCharType="separate"/>
      </w:r>
      <w:r w:rsidR="00173A27">
        <w:t>1.3</w:t>
      </w:r>
      <w:r w:rsidR="006F692F" w:rsidRPr="00D326F8">
        <w:fldChar w:fldCharType="end"/>
      </w:r>
      <w:r w:rsidR="00D3748A" w:rsidRPr="00D326F8">
        <w:t>).</w:t>
      </w:r>
    </w:p>
    <w:p w14:paraId="601A7FFB" w14:textId="37869740" w:rsidR="00822C59" w:rsidRPr="00D326F8" w:rsidRDefault="003E23E4" w:rsidP="00D3748A">
      <w:pPr>
        <w:pStyle w:val="List1withoutbullet"/>
        <w:ind w:left="0"/>
      </w:pPr>
      <w:r w:rsidRPr="00D326F8">
        <w:rPr>
          <w:rFonts w:eastAsia="Calibri"/>
          <w:szCs w:val="24"/>
        </w:rPr>
        <w:t xml:space="preserve">A participant has completed the study if he/she has completed all study parts, including </w:t>
      </w:r>
      <w:r w:rsidR="00D3748A" w:rsidRPr="00D326F8">
        <w:t>Safety Follow</w:t>
      </w:r>
      <w:r w:rsidR="00E02957" w:rsidRPr="00D326F8">
        <w:t xml:space="preserve"> U</w:t>
      </w:r>
      <w:r w:rsidR="00D3748A" w:rsidRPr="00D326F8">
        <w:t>p assessments on Day</w:t>
      </w:r>
      <w:r w:rsidR="008256D8" w:rsidRPr="00D326F8">
        <w:t> </w:t>
      </w:r>
      <w:r w:rsidR="00D3748A" w:rsidRPr="00D326F8">
        <w:t>39 (Section</w:t>
      </w:r>
      <w:r w:rsidR="006F692F" w:rsidRPr="00D326F8">
        <w:t> </w:t>
      </w:r>
      <w:r w:rsidR="006F692F" w:rsidRPr="00D326F8">
        <w:fldChar w:fldCharType="begin"/>
      </w:r>
      <w:r w:rsidR="006F692F" w:rsidRPr="00D326F8">
        <w:instrText xml:space="preserve"> REF _Ref77583760 \r \h </w:instrText>
      </w:r>
      <w:r w:rsidR="00CE2791" w:rsidRPr="00D326F8">
        <w:instrText xml:space="preserve"> \* MERGEFORMAT </w:instrText>
      </w:r>
      <w:r w:rsidR="006F692F" w:rsidRPr="00D326F8">
        <w:fldChar w:fldCharType="separate"/>
      </w:r>
      <w:r w:rsidR="00173A27">
        <w:t>1.3</w:t>
      </w:r>
      <w:r w:rsidR="006F692F" w:rsidRPr="00D326F8">
        <w:fldChar w:fldCharType="end"/>
      </w:r>
      <w:r w:rsidR="00D3748A" w:rsidRPr="00D326F8">
        <w:t>).</w:t>
      </w:r>
    </w:p>
    <w:p w14:paraId="601A7FFC" w14:textId="77777777" w:rsidR="00D3748A" w:rsidRPr="00D326F8" w:rsidRDefault="003E23E4" w:rsidP="00D3748A">
      <w:pPr>
        <w:keepNext/>
        <w:spacing w:after="120"/>
        <w:jc w:val="left"/>
        <w:rPr>
          <w:rFonts w:eastAsia="Calibri"/>
          <w:b/>
          <w:bCs/>
          <w:szCs w:val="24"/>
          <w:lang w:val="en-GB" w:eastAsia="en-GB"/>
        </w:rPr>
      </w:pPr>
      <w:bookmarkStart w:id="75" w:name="_Hlk66880453"/>
      <w:r w:rsidRPr="00D326F8">
        <w:rPr>
          <w:rFonts w:eastAsia="Calibri"/>
          <w:b/>
          <w:bCs/>
          <w:szCs w:val="24"/>
          <w:lang w:val="en-GB" w:eastAsia="en-GB"/>
        </w:rPr>
        <w:lastRenderedPageBreak/>
        <w:t>Study Termination Criteria</w:t>
      </w:r>
    </w:p>
    <w:p w14:paraId="601A7FFD" w14:textId="77777777" w:rsidR="00D3748A" w:rsidRPr="00D326F8" w:rsidRDefault="003E23E4" w:rsidP="00D3748A">
      <w:pPr>
        <w:spacing w:after="120"/>
        <w:rPr>
          <w:rFonts w:eastAsia="MS Mincho"/>
        </w:rPr>
      </w:pPr>
      <w:r w:rsidRPr="00D326F8">
        <w:rPr>
          <w:rFonts w:eastAsia="MS Mincho"/>
        </w:rPr>
        <w:t xml:space="preserve">The study will be discontinued or terminated if: </w:t>
      </w:r>
    </w:p>
    <w:p w14:paraId="601A7FFE" w14:textId="77777777" w:rsidR="00D3748A" w:rsidRPr="00D326F8" w:rsidRDefault="003E23E4" w:rsidP="0057019A">
      <w:pPr>
        <w:numPr>
          <w:ilvl w:val="0"/>
          <w:numId w:val="18"/>
        </w:numPr>
        <w:ind w:left="360"/>
        <w:rPr>
          <w:rFonts w:eastAsia="MS Mincho"/>
        </w:rPr>
      </w:pPr>
      <w:r w:rsidRPr="00D326F8">
        <w:rPr>
          <w:rFonts w:eastAsia="MS Mincho"/>
        </w:rPr>
        <w:t xml:space="preserve">Unacceptable risk, any relevant toxicity, or a negative change in the risk/benefit assessment is identified. This might include the occurrence of AEs of which quality, severity or frequency is new in comparison to the existing risk profile. </w:t>
      </w:r>
    </w:p>
    <w:p w14:paraId="601A7FFF" w14:textId="77777777" w:rsidR="00D3748A" w:rsidRPr="00D326F8" w:rsidRDefault="003E23E4" w:rsidP="0057019A">
      <w:pPr>
        <w:numPr>
          <w:ilvl w:val="0"/>
          <w:numId w:val="18"/>
        </w:numPr>
        <w:ind w:left="360"/>
        <w:rPr>
          <w:rFonts w:eastAsia="MS Mincho"/>
        </w:rPr>
      </w:pPr>
      <w:r w:rsidRPr="00D326F8">
        <w:rPr>
          <w:rFonts w:eastAsia="MS Mincho"/>
        </w:rPr>
        <w:t xml:space="preserve">Any data derived from other clinical </w:t>
      </w:r>
      <w:r w:rsidR="007D4437" w:rsidRPr="00D326F8">
        <w:rPr>
          <w:rFonts w:eastAsia="MS Mincho"/>
        </w:rPr>
        <w:t xml:space="preserve">studies </w:t>
      </w:r>
      <w:r w:rsidRPr="00D326F8">
        <w:rPr>
          <w:rFonts w:eastAsia="MS Mincho"/>
        </w:rPr>
        <w:t>or toxicological studies become available which negatively influence the risk/benefit assessment.</w:t>
      </w:r>
    </w:p>
    <w:p w14:paraId="601A8000" w14:textId="41653EFA" w:rsidR="00D3748A" w:rsidRPr="00D326F8" w:rsidRDefault="003E23E4" w:rsidP="00D3748A">
      <w:pPr>
        <w:pStyle w:val="BodyText"/>
      </w:pPr>
      <w:r w:rsidRPr="00D326F8">
        <w:rPr>
          <w:rFonts w:eastAsia="MS Mincho"/>
        </w:rPr>
        <w:t xml:space="preserve">General information on study termination </w:t>
      </w:r>
      <w:proofErr w:type="gramStart"/>
      <w:r w:rsidRPr="00D326F8">
        <w:rPr>
          <w:rFonts w:eastAsia="MS Mincho"/>
        </w:rPr>
        <w:t>are</w:t>
      </w:r>
      <w:proofErr w:type="gramEnd"/>
      <w:r w:rsidRPr="00D326F8">
        <w:rPr>
          <w:rFonts w:eastAsia="MS Mincho"/>
        </w:rPr>
        <w:t xml:space="preserve"> specified in</w:t>
      </w:r>
      <w:r w:rsidR="003A5C57" w:rsidRPr="00D326F8">
        <w:rPr>
          <w:rFonts w:eastAsia="MS Mincho"/>
        </w:rPr>
        <w:t xml:space="preserve"> </w:t>
      </w:r>
      <w:hyperlink w:anchor="_Appendix_2_Study" w:history="1">
        <w:r w:rsidR="003A5C57" w:rsidRPr="00D326F8">
          <w:rPr>
            <w:rStyle w:val="Hyperlink"/>
            <w:rFonts w:eastAsia="MS Mincho"/>
            <w:color w:val="auto"/>
          </w:rPr>
          <w:t>Appendix 2</w:t>
        </w:r>
      </w:hyperlink>
      <w:r w:rsidRPr="00D326F8">
        <w:rPr>
          <w:rFonts w:eastAsia="Calibri"/>
          <w:shd w:val="clear" w:color="auto" w:fill="E6E6E6"/>
        </w:rPr>
        <w:t>.</w:t>
      </w:r>
      <w:bookmarkEnd w:id="75"/>
    </w:p>
    <w:p w14:paraId="601A8001" w14:textId="77777777" w:rsidR="00945494" w:rsidRPr="00D326F8" w:rsidRDefault="003E23E4" w:rsidP="0069106E">
      <w:pPr>
        <w:pStyle w:val="Heading1"/>
      </w:pPr>
      <w:bookmarkStart w:id="76" w:name="_Toc77839732"/>
      <w:bookmarkEnd w:id="74"/>
      <w:r w:rsidRPr="00D326F8">
        <w:t>Study Population</w:t>
      </w:r>
      <w:bookmarkEnd w:id="76"/>
    </w:p>
    <w:p w14:paraId="601A8002" w14:textId="741174E6" w:rsidR="00945494" w:rsidRPr="00D326F8" w:rsidRDefault="003E23E4" w:rsidP="00D3748A">
      <w:pPr>
        <w:pStyle w:val="List1withoutbullet"/>
        <w:ind w:left="0"/>
        <w:rPr>
          <w:rFonts w:eastAsia="Calibri"/>
        </w:rPr>
      </w:pPr>
      <w:r w:rsidRPr="00D326F8">
        <w:rPr>
          <w:rFonts w:eastAsia="Calibri"/>
        </w:rPr>
        <w:t>The criteria in Section</w:t>
      </w:r>
      <w:r w:rsidR="00E95C38" w:rsidRPr="00D326F8">
        <w:rPr>
          <w:rFonts w:eastAsia="Calibri"/>
        </w:rPr>
        <w:t>s</w:t>
      </w:r>
      <w:r w:rsidRPr="00D326F8">
        <w:rPr>
          <w:rFonts w:eastAsia="Calibri"/>
        </w:rPr>
        <w:t xml:space="preserve"> </w:t>
      </w:r>
      <w:r w:rsidR="00C62C6A" w:rsidRPr="00D326F8">
        <w:rPr>
          <w:rFonts w:eastAsia="Calibri"/>
        </w:rPr>
        <w:fldChar w:fldCharType="begin"/>
      </w:r>
      <w:r w:rsidR="00C62C6A" w:rsidRPr="00D326F8">
        <w:rPr>
          <w:rFonts w:eastAsia="Calibri"/>
        </w:rPr>
        <w:instrText xml:space="preserve"> REF _Ref3989452 \r \h </w:instrText>
      </w:r>
      <w:r w:rsidR="008C7E09" w:rsidRPr="00D326F8">
        <w:rPr>
          <w:rFonts w:eastAsia="Calibri"/>
        </w:rPr>
        <w:instrText xml:space="preserve"> \* MERGEFORMAT </w:instrText>
      </w:r>
      <w:r w:rsidR="00C62C6A" w:rsidRPr="00D326F8">
        <w:rPr>
          <w:rFonts w:eastAsia="Calibri"/>
        </w:rPr>
      </w:r>
      <w:r w:rsidR="00C62C6A" w:rsidRPr="00D326F8">
        <w:rPr>
          <w:rFonts w:eastAsia="Calibri"/>
        </w:rPr>
        <w:fldChar w:fldCharType="separate"/>
      </w:r>
      <w:r w:rsidR="00173A27">
        <w:rPr>
          <w:rFonts w:eastAsia="Calibri"/>
        </w:rPr>
        <w:t>5.1</w:t>
      </w:r>
      <w:r w:rsidR="00C62C6A" w:rsidRPr="00D326F8">
        <w:rPr>
          <w:rFonts w:eastAsia="Calibri"/>
        </w:rPr>
        <w:fldChar w:fldCharType="end"/>
      </w:r>
      <w:r w:rsidR="00C62C6A" w:rsidRPr="00D326F8">
        <w:rPr>
          <w:rFonts w:eastAsia="Calibri"/>
        </w:rPr>
        <w:t xml:space="preserve"> </w:t>
      </w:r>
      <w:r w:rsidRPr="00D326F8">
        <w:rPr>
          <w:rFonts w:eastAsia="Calibri"/>
        </w:rPr>
        <w:t xml:space="preserve">and </w:t>
      </w:r>
      <w:r w:rsidR="00C62C6A" w:rsidRPr="00D326F8">
        <w:rPr>
          <w:rFonts w:eastAsia="Calibri"/>
        </w:rPr>
        <w:fldChar w:fldCharType="begin"/>
      </w:r>
      <w:r w:rsidR="00C62C6A" w:rsidRPr="00D326F8">
        <w:rPr>
          <w:rFonts w:eastAsia="Calibri"/>
        </w:rPr>
        <w:instrText xml:space="preserve"> REF _Ref3989475 \r \h </w:instrText>
      </w:r>
      <w:r w:rsidR="008C7E09" w:rsidRPr="00D326F8">
        <w:rPr>
          <w:rFonts w:eastAsia="Calibri"/>
        </w:rPr>
        <w:instrText xml:space="preserve"> \* MERGEFORMAT </w:instrText>
      </w:r>
      <w:r w:rsidR="00C62C6A" w:rsidRPr="00D326F8">
        <w:rPr>
          <w:rFonts w:eastAsia="Calibri"/>
        </w:rPr>
      </w:r>
      <w:r w:rsidR="00C62C6A" w:rsidRPr="00D326F8">
        <w:rPr>
          <w:rFonts w:eastAsia="Calibri"/>
        </w:rPr>
        <w:fldChar w:fldCharType="separate"/>
      </w:r>
      <w:r w:rsidR="00173A27">
        <w:rPr>
          <w:rFonts w:eastAsia="Calibri"/>
        </w:rPr>
        <w:t>5.2</w:t>
      </w:r>
      <w:r w:rsidR="00C62C6A" w:rsidRPr="00D326F8">
        <w:rPr>
          <w:rFonts w:eastAsia="Calibri"/>
        </w:rPr>
        <w:fldChar w:fldCharType="end"/>
      </w:r>
      <w:r w:rsidRPr="00D326F8">
        <w:rPr>
          <w:rFonts w:eastAsia="Calibri"/>
        </w:rPr>
        <w:t xml:space="preserve"> are designed to enroll only participants, who are appropriate for the study; thereby, ensuring the study fulfills its objectives.</w:t>
      </w:r>
      <w:r w:rsidR="00665EE6" w:rsidRPr="00D326F8">
        <w:rPr>
          <w:rFonts w:eastAsia="Calibri"/>
        </w:rPr>
        <w:t xml:space="preserve"> </w:t>
      </w:r>
      <w:r w:rsidRPr="00D326F8">
        <w:rPr>
          <w:rFonts w:eastAsia="Calibri"/>
        </w:rPr>
        <w:t xml:space="preserve">All relevant medical and nonmedical conditions </w:t>
      </w:r>
      <w:r w:rsidR="00615266" w:rsidRPr="00D326F8">
        <w:rPr>
          <w:rFonts w:eastAsia="Calibri"/>
        </w:rPr>
        <w:t>are</w:t>
      </w:r>
      <w:r w:rsidRPr="00D326F8">
        <w:rPr>
          <w:rFonts w:eastAsia="Calibri"/>
        </w:rPr>
        <w:t xml:space="preserve"> consider</w:t>
      </w:r>
      <w:r w:rsidR="00615266" w:rsidRPr="00D326F8">
        <w:rPr>
          <w:rFonts w:eastAsia="Calibri"/>
        </w:rPr>
        <w:t xml:space="preserve">ed </w:t>
      </w:r>
      <w:r w:rsidRPr="00D326F8">
        <w:rPr>
          <w:rFonts w:eastAsia="Calibri"/>
        </w:rPr>
        <w:t>when deciding whether a participant is suitable for this study.</w:t>
      </w:r>
    </w:p>
    <w:p w14:paraId="601A8003" w14:textId="77777777" w:rsidR="00945494" w:rsidRPr="00D326F8" w:rsidRDefault="003E23E4" w:rsidP="00D3748A">
      <w:pPr>
        <w:pStyle w:val="List1withoutbullet"/>
        <w:ind w:left="0"/>
        <w:rPr>
          <w:rFonts w:eastAsia="Calibri"/>
        </w:rPr>
      </w:pPr>
      <w:r w:rsidRPr="00D326F8">
        <w:rPr>
          <w:rFonts w:eastAsia="Calibri"/>
        </w:rPr>
        <w:t>Prospective approval of protocol deviations to inclusion and exclusion criteria, also known as protocol waivers or exemptions, is not permitted.</w:t>
      </w:r>
    </w:p>
    <w:p w14:paraId="601A8004" w14:textId="5CBE8DAB" w:rsidR="00945494" w:rsidRPr="00D326F8" w:rsidRDefault="003E23E4" w:rsidP="00D3748A">
      <w:pPr>
        <w:pStyle w:val="List1withoutbullet"/>
        <w:ind w:left="0"/>
        <w:rPr>
          <w:rFonts w:eastAsia="Calibri"/>
        </w:rPr>
      </w:pPr>
      <w:r w:rsidRPr="00D326F8">
        <w:rPr>
          <w:rFonts w:eastAsia="Calibri"/>
        </w:rPr>
        <w:t xml:space="preserve">Before performing any study assessments that are not part of the participant’s routine medical care, the Investigator will confirm that the participant or the participant’s legal representative </w:t>
      </w:r>
      <w:r w:rsidR="007005E9" w:rsidRPr="00D326F8">
        <w:rPr>
          <w:rFonts w:eastAsia="Calibri"/>
        </w:rPr>
        <w:t>(</w:t>
      </w:r>
      <w:r w:rsidR="007005E9" w:rsidRPr="00D326F8">
        <w:t xml:space="preserve">where allowed by local laws and regulations) </w:t>
      </w:r>
      <w:r w:rsidRPr="00D326F8">
        <w:rPr>
          <w:rFonts w:eastAsia="Calibri"/>
        </w:rPr>
        <w:t xml:space="preserve">has provided written informed consent, as indicated in </w:t>
      </w:r>
      <w:hyperlink w:anchor="_Appendix_2_Study" w:history="1">
        <w:r w:rsidR="003A5C57" w:rsidRPr="00D326F8">
          <w:rPr>
            <w:rStyle w:val="Hyperlink"/>
            <w:rFonts w:eastAsia="MS Mincho"/>
            <w:color w:val="auto"/>
          </w:rPr>
          <w:t>Appendix 2</w:t>
        </w:r>
      </w:hyperlink>
      <w:r w:rsidRPr="00D326F8">
        <w:rPr>
          <w:rFonts w:eastAsia="Calibri"/>
        </w:rPr>
        <w:t>.</w:t>
      </w:r>
    </w:p>
    <w:p w14:paraId="601A8005" w14:textId="77777777" w:rsidR="00945494" w:rsidRPr="00D326F8" w:rsidRDefault="003E23E4" w:rsidP="003D201D">
      <w:pPr>
        <w:pStyle w:val="Heading2"/>
        <w:keepNext w:val="0"/>
        <w:keepLines w:val="0"/>
        <w:tabs>
          <w:tab w:val="clear" w:pos="4896"/>
          <w:tab w:val="num" w:pos="5040"/>
        </w:tabs>
        <w:ind w:left="1980" w:hanging="1980"/>
      </w:pPr>
      <w:bookmarkStart w:id="77" w:name="_Ref3989452"/>
      <w:bookmarkStart w:id="78" w:name="_Toc77839733"/>
      <w:r w:rsidRPr="00D326F8">
        <w:t>Inclusion Criteria</w:t>
      </w:r>
      <w:bookmarkEnd w:id="77"/>
      <w:bookmarkEnd w:id="78"/>
    </w:p>
    <w:p w14:paraId="601A8006" w14:textId="77777777" w:rsidR="00945494" w:rsidRPr="00D326F8" w:rsidRDefault="003E23E4" w:rsidP="003D201D">
      <w:pPr>
        <w:pStyle w:val="BodyText"/>
        <w:spacing w:after="120"/>
      </w:pPr>
      <w:r w:rsidRPr="00D326F8">
        <w:t>Participants are eligible to be included in the study only if all the following criteria apply: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6833"/>
      </w:tblGrid>
      <w:tr w:rsidR="003B74AE" w:rsidRPr="00D326F8" w14:paraId="601A8009" w14:textId="77777777" w:rsidTr="005D672A">
        <w:trPr>
          <w:cantSplit/>
          <w:tblHeader/>
        </w:trPr>
        <w:tc>
          <w:tcPr>
            <w:tcW w:w="1275" w:type="pct"/>
            <w:tcBorders>
              <w:top w:val="single" w:sz="4" w:space="0" w:color="auto"/>
              <w:left w:val="single" w:sz="4" w:space="0" w:color="auto"/>
              <w:bottom w:val="single" w:sz="4" w:space="0" w:color="auto"/>
              <w:right w:val="single" w:sz="4" w:space="0" w:color="auto"/>
            </w:tcBorders>
            <w:vAlign w:val="center"/>
            <w:hideMark/>
          </w:tcPr>
          <w:p w14:paraId="601A8007" w14:textId="77777777" w:rsidR="005D672A" w:rsidRPr="00D326F8" w:rsidRDefault="003E23E4" w:rsidP="003D201D">
            <w:pPr>
              <w:spacing w:before="0" w:after="120"/>
              <w:contextualSpacing/>
              <w:jc w:val="left"/>
              <w:rPr>
                <w:rFonts w:eastAsia="MS Mincho"/>
                <w:b/>
                <w:bCs/>
              </w:rPr>
            </w:pPr>
            <w:r w:rsidRPr="00D326F8">
              <w:rPr>
                <w:rFonts w:eastAsia="MS Mincho"/>
                <w:b/>
                <w:bCs/>
              </w:rPr>
              <w:t>Category</w:t>
            </w:r>
          </w:p>
        </w:tc>
        <w:tc>
          <w:tcPr>
            <w:tcW w:w="3725" w:type="pct"/>
            <w:tcBorders>
              <w:top w:val="single" w:sz="4" w:space="0" w:color="auto"/>
              <w:left w:val="single" w:sz="4" w:space="0" w:color="auto"/>
              <w:bottom w:val="single" w:sz="4" w:space="0" w:color="auto"/>
              <w:right w:val="single" w:sz="4" w:space="0" w:color="auto"/>
            </w:tcBorders>
            <w:vAlign w:val="center"/>
            <w:hideMark/>
          </w:tcPr>
          <w:p w14:paraId="601A8008" w14:textId="77777777" w:rsidR="005D672A" w:rsidRPr="00D326F8" w:rsidRDefault="003E23E4" w:rsidP="003D201D">
            <w:pPr>
              <w:spacing w:before="0"/>
              <w:contextualSpacing/>
              <w:jc w:val="center"/>
              <w:rPr>
                <w:rFonts w:eastAsia="MS Mincho"/>
                <w:b/>
                <w:bCs/>
              </w:rPr>
            </w:pPr>
            <w:r w:rsidRPr="00D326F8">
              <w:rPr>
                <w:rFonts w:eastAsia="MS Mincho"/>
                <w:b/>
                <w:bCs/>
              </w:rPr>
              <w:t>Criterion</w:t>
            </w:r>
          </w:p>
        </w:tc>
      </w:tr>
      <w:tr w:rsidR="003B74AE" w:rsidRPr="00D326F8" w14:paraId="601A800C" w14:textId="77777777" w:rsidTr="005D672A">
        <w:trPr>
          <w:cantSplit/>
        </w:trPr>
        <w:tc>
          <w:tcPr>
            <w:tcW w:w="1275" w:type="pct"/>
            <w:tcBorders>
              <w:top w:val="single" w:sz="4" w:space="0" w:color="auto"/>
              <w:left w:val="single" w:sz="4" w:space="0" w:color="auto"/>
              <w:bottom w:val="single" w:sz="4" w:space="0" w:color="auto"/>
              <w:right w:val="single" w:sz="4" w:space="0" w:color="auto"/>
            </w:tcBorders>
            <w:hideMark/>
          </w:tcPr>
          <w:p w14:paraId="601A800A" w14:textId="77777777" w:rsidR="005D672A" w:rsidRPr="00D326F8" w:rsidRDefault="003E23E4" w:rsidP="003D201D">
            <w:pPr>
              <w:tabs>
                <w:tab w:val="left" w:pos="288"/>
                <w:tab w:val="left" w:pos="576"/>
                <w:tab w:val="left" w:pos="864"/>
              </w:tabs>
              <w:spacing w:before="0"/>
              <w:contextualSpacing/>
              <w:jc w:val="left"/>
              <w:rPr>
                <w:rFonts w:eastAsia="MS Mincho"/>
              </w:rPr>
            </w:pPr>
            <w:r w:rsidRPr="00D326F8">
              <w:rPr>
                <w:rFonts w:eastAsia="MS Mincho"/>
              </w:rPr>
              <w:t>Age</w:t>
            </w:r>
          </w:p>
        </w:tc>
        <w:tc>
          <w:tcPr>
            <w:tcW w:w="3725" w:type="pct"/>
            <w:tcBorders>
              <w:top w:val="single" w:sz="4" w:space="0" w:color="auto"/>
              <w:left w:val="single" w:sz="4" w:space="0" w:color="auto"/>
              <w:bottom w:val="single" w:sz="4" w:space="0" w:color="auto"/>
              <w:right w:val="single" w:sz="4" w:space="0" w:color="auto"/>
            </w:tcBorders>
            <w:hideMark/>
          </w:tcPr>
          <w:p w14:paraId="601A800B" w14:textId="77777777" w:rsidR="005D672A" w:rsidRPr="00D326F8" w:rsidRDefault="003E23E4" w:rsidP="0057019A">
            <w:pPr>
              <w:numPr>
                <w:ilvl w:val="0"/>
                <w:numId w:val="19"/>
              </w:numPr>
              <w:spacing w:before="0" w:line="300" w:lineRule="atLeast"/>
              <w:ind w:left="360"/>
              <w:contextualSpacing/>
              <w:jc w:val="left"/>
              <w:rPr>
                <w:rFonts w:eastAsia="MS Mincho"/>
              </w:rPr>
            </w:pPr>
            <w:r w:rsidRPr="00D326F8">
              <w:rPr>
                <w:rFonts w:eastAsia="MS Mincho"/>
              </w:rPr>
              <w:t>Are between 18 and 55 (inclusive) years of age at the time of signing the informed consent.</w:t>
            </w:r>
          </w:p>
        </w:tc>
      </w:tr>
      <w:tr w:rsidR="003B74AE" w:rsidRPr="00D326F8" w14:paraId="601A800F" w14:textId="77777777" w:rsidTr="005D672A">
        <w:trPr>
          <w:cantSplit/>
          <w:trHeight w:val="1018"/>
        </w:trPr>
        <w:tc>
          <w:tcPr>
            <w:tcW w:w="1275" w:type="pct"/>
            <w:tcBorders>
              <w:top w:val="single" w:sz="4" w:space="0" w:color="auto"/>
              <w:left w:val="single" w:sz="4" w:space="0" w:color="auto"/>
              <w:bottom w:val="single" w:sz="4" w:space="0" w:color="auto"/>
              <w:right w:val="single" w:sz="4" w:space="0" w:color="auto"/>
            </w:tcBorders>
            <w:hideMark/>
          </w:tcPr>
          <w:p w14:paraId="601A800D" w14:textId="77777777" w:rsidR="005D672A" w:rsidRPr="00D326F8" w:rsidRDefault="003E23E4" w:rsidP="008256D8">
            <w:pPr>
              <w:tabs>
                <w:tab w:val="left" w:pos="288"/>
                <w:tab w:val="left" w:pos="576"/>
                <w:tab w:val="left" w:pos="864"/>
              </w:tabs>
              <w:spacing w:before="0"/>
              <w:contextualSpacing/>
              <w:jc w:val="left"/>
              <w:rPr>
                <w:rFonts w:eastAsia="MS Mincho"/>
              </w:rPr>
            </w:pPr>
            <w:r w:rsidRPr="00D326F8">
              <w:rPr>
                <w:rFonts w:eastAsia="MS Mincho"/>
              </w:rPr>
              <w:t>Type of Participant and Disease Characteristics</w:t>
            </w:r>
          </w:p>
        </w:tc>
        <w:tc>
          <w:tcPr>
            <w:tcW w:w="3725" w:type="pct"/>
            <w:tcBorders>
              <w:top w:val="single" w:sz="4" w:space="0" w:color="auto"/>
              <w:left w:val="single" w:sz="4" w:space="0" w:color="auto"/>
              <w:bottom w:val="single" w:sz="4" w:space="0" w:color="auto"/>
              <w:right w:val="single" w:sz="4" w:space="0" w:color="auto"/>
            </w:tcBorders>
            <w:hideMark/>
          </w:tcPr>
          <w:p w14:paraId="601A800E" w14:textId="77777777" w:rsidR="005D672A" w:rsidRPr="00D326F8" w:rsidRDefault="003E23E4" w:rsidP="0057019A">
            <w:pPr>
              <w:numPr>
                <w:ilvl w:val="0"/>
                <w:numId w:val="19"/>
              </w:numPr>
              <w:spacing w:before="0" w:line="300" w:lineRule="atLeast"/>
              <w:ind w:left="360"/>
              <w:contextualSpacing/>
              <w:jc w:val="left"/>
              <w:rPr>
                <w:rFonts w:eastAsia="MS Mincho"/>
              </w:rPr>
            </w:pPr>
            <w:r w:rsidRPr="00D326F8">
              <w:rPr>
                <w:rFonts w:eastAsia="MS Mincho"/>
              </w:rPr>
              <w:t xml:space="preserve">Are overtly healthy as determined by medical evaluation, including no clinically significant abnormality identified by medical history, cardiac monitoring, physical examination or laboratory evaluation and no active clinically significant disorder, condition, </w:t>
            </w:r>
            <w:proofErr w:type="gramStart"/>
            <w:r w:rsidRPr="00D326F8">
              <w:rPr>
                <w:rFonts w:eastAsia="MS Mincho"/>
              </w:rPr>
              <w:t>infection</w:t>
            </w:r>
            <w:proofErr w:type="gramEnd"/>
            <w:r w:rsidRPr="00D326F8">
              <w:rPr>
                <w:rFonts w:eastAsia="MS Mincho"/>
              </w:rPr>
              <w:t xml:space="preserve"> or disease that would pose a risk to participant safety or interfere with the study evaluation, procedures, or completion at Screening and Day -1.</w:t>
            </w:r>
          </w:p>
        </w:tc>
      </w:tr>
      <w:tr w:rsidR="003B74AE" w:rsidRPr="00D326F8" w14:paraId="601A8012" w14:textId="77777777" w:rsidTr="005D672A">
        <w:trPr>
          <w:cantSplit/>
        </w:trPr>
        <w:tc>
          <w:tcPr>
            <w:tcW w:w="1275" w:type="pct"/>
            <w:tcBorders>
              <w:top w:val="single" w:sz="4" w:space="0" w:color="auto"/>
              <w:left w:val="single" w:sz="4" w:space="0" w:color="auto"/>
              <w:bottom w:val="single" w:sz="4" w:space="0" w:color="auto"/>
              <w:right w:val="single" w:sz="4" w:space="0" w:color="auto"/>
            </w:tcBorders>
            <w:hideMark/>
          </w:tcPr>
          <w:p w14:paraId="601A8010" w14:textId="77777777" w:rsidR="005D672A" w:rsidRPr="00D326F8" w:rsidRDefault="003E23E4" w:rsidP="008256D8">
            <w:pPr>
              <w:tabs>
                <w:tab w:val="left" w:pos="288"/>
                <w:tab w:val="left" w:pos="576"/>
                <w:tab w:val="left" w:pos="864"/>
              </w:tabs>
              <w:spacing w:before="0"/>
              <w:contextualSpacing/>
              <w:jc w:val="left"/>
              <w:rPr>
                <w:rFonts w:eastAsia="MS Mincho"/>
              </w:rPr>
            </w:pPr>
            <w:r w:rsidRPr="00D326F8">
              <w:rPr>
                <w:rFonts w:eastAsia="MS Mincho"/>
              </w:rPr>
              <w:t>Weight</w:t>
            </w:r>
          </w:p>
        </w:tc>
        <w:tc>
          <w:tcPr>
            <w:tcW w:w="3725" w:type="pct"/>
            <w:tcBorders>
              <w:top w:val="single" w:sz="4" w:space="0" w:color="auto"/>
              <w:left w:val="single" w:sz="4" w:space="0" w:color="auto"/>
              <w:bottom w:val="single" w:sz="4" w:space="0" w:color="auto"/>
              <w:right w:val="single" w:sz="4" w:space="0" w:color="auto"/>
            </w:tcBorders>
            <w:hideMark/>
          </w:tcPr>
          <w:p w14:paraId="601A8011" w14:textId="77777777" w:rsidR="005D672A" w:rsidRPr="00D326F8" w:rsidRDefault="003E23E4" w:rsidP="0057019A">
            <w:pPr>
              <w:numPr>
                <w:ilvl w:val="0"/>
                <w:numId w:val="19"/>
              </w:numPr>
              <w:spacing w:before="0" w:line="300" w:lineRule="atLeast"/>
              <w:ind w:left="360"/>
              <w:contextualSpacing/>
              <w:jc w:val="left"/>
              <w:rPr>
                <w:rFonts w:eastAsia="MS Mincho"/>
              </w:rPr>
            </w:pPr>
            <w:r w:rsidRPr="00D326F8">
              <w:rPr>
                <w:rFonts w:eastAsia="MS Mincho"/>
              </w:rPr>
              <w:t xml:space="preserve">Have a body weight within 50 and 100 kg </w:t>
            </w:r>
            <w:r w:rsidR="003D201D" w:rsidRPr="00D326F8">
              <w:rPr>
                <w:rFonts w:eastAsia="MS Mincho"/>
              </w:rPr>
              <w:t>(</w:t>
            </w:r>
            <w:r w:rsidRPr="00D326F8">
              <w:rPr>
                <w:rFonts w:eastAsia="MS Mincho"/>
              </w:rPr>
              <w:t>inclusive</w:t>
            </w:r>
            <w:r w:rsidR="003D201D" w:rsidRPr="00D326F8">
              <w:rPr>
                <w:rFonts w:eastAsia="MS Mincho"/>
              </w:rPr>
              <w:t>)</w:t>
            </w:r>
            <w:r w:rsidRPr="00D326F8">
              <w:rPr>
                <w:rFonts w:eastAsia="MS Mincho"/>
              </w:rPr>
              <w:t xml:space="preserve"> and BMI within the range ≥ 18.5 and ≤ 29.9 kg/m</w:t>
            </w:r>
            <w:r w:rsidRPr="00D326F8">
              <w:rPr>
                <w:rFonts w:eastAsia="MS Mincho"/>
                <w:vertAlign w:val="superscript"/>
              </w:rPr>
              <w:t>2</w:t>
            </w:r>
            <w:r w:rsidRPr="00D326F8">
              <w:rPr>
                <w:rFonts w:eastAsia="MS Mincho"/>
              </w:rPr>
              <w:t xml:space="preserve"> (inclusive) at Screening.</w:t>
            </w:r>
          </w:p>
        </w:tc>
      </w:tr>
      <w:tr w:rsidR="007408C6" w:rsidRPr="00D326F8" w14:paraId="601A8022" w14:textId="77777777" w:rsidTr="005D672A">
        <w:trPr>
          <w:cantSplit/>
        </w:trPr>
        <w:tc>
          <w:tcPr>
            <w:tcW w:w="1275" w:type="pct"/>
            <w:tcBorders>
              <w:top w:val="single" w:sz="4" w:space="0" w:color="auto"/>
              <w:left w:val="single" w:sz="4" w:space="0" w:color="auto"/>
              <w:bottom w:val="single" w:sz="4" w:space="0" w:color="auto"/>
              <w:right w:val="single" w:sz="4" w:space="0" w:color="auto"/>
            </w:tcBorders>
            <w:hideMark/>
          </w:tcPr>
          <w:p w14:paraId="601A8013" w14:textId="77777777" w:rsidR="007408C6" w:rsidRPr="00D326F8" w:rsidRDefault="007408C6" w:rsidP="007408C6">
            <w:pPr>
              <w:tabs>
                <w:tab w:val="left" w:pos="288"/>
                <w:tab w:val="left" w:pos="576"/>
                <w:tab w:val="left" w:pos="864"/>
              </w:tabs>
              <w:spacing w:before="0"/>
              <w:contextualSpacing/>
              <w:jc w:val="left"/>
              <w:rPr>
                <w:rFonts w:eastAsia="MS Mincho"/>
              </w:rPr>
            </w:pPr>
            <w:r w:rsidRPr="00D326F8">
              <w:rPr>
                <w:rFonts w:eastAsia="MS Mincho"/>
              </w:rPr>
              <w:lastRenderedPageBreak/>
              <w:t>Sex and Contraception/Barrier Requirements</w:t>
            </w:r>
          </w:p>
        </w:tc>
        <w:tc>
          <w:tcPr>
            <w:tcW w:w="3725" w:type="pct"/>
            <w:tcBorders>
              <w:top w:val="single" w:sz="4" w:space="0" w:color="auto"/>
              <w:left w:val="single" w:sz="4" w:space="0" w:color="auto"/>
              <w:bottom w:val="single" w:sz="4" w:space="0" w:color="auto"/>
              <w:right w:val="single" w:sz="4" w:space="0" w:color="auto"/>
            </w:tcBorders>
            <w:hideMark/>
          </w:tcPr>
          <w:p w14:paraId="7577FD23" w14:textId="77777777" w:rsidR="007408C6" w:rsidRPr="00D326F8" w:rsidRDefault="007408C6" w:rsidP="0057019A">
            <w:pPr>
              <w:numPr>
                <w:ilvl w:val="0"/>
                <w:numId w:val="28"/>
              </w:numPr>
              <w:spacing w:before="120" w:after="60"/>
              <w:ind w:left="243" w:hanging="266"/>
              <w:rPr>
                <w:rFonts w:eastAsiaTheme="minorEastAsia"/>
              </w:rPr>
            </w:pPr>
            <w:r w:rsidRPr="00D326F8">
              <w:rPr>
                <w:rFonts w:eastAsiaTheme="minorEastAsia"/>
              </w:rPr>
              <w:t>Are male or female (not a WOCBP)</w:t>
            </w:r>
          </w:p>
          <w:p w14:paraId="17371796" w14:textId="77777777" w:rsidR="007408C6" w:rsidRPr="00D326F8" w:rsidRDefault="007408C6" w:rsidP="007408C6">
            <w:pPr>
              <w:spacing w:before="0" w:after="60"/>
              <w:ind w:left="255"/>
              <w:rPr>
                <w:rFonts w:eastAsiaTheme="minorEastAsia"/>
              </w:rPr>
            </w:pPr>
            <w:r w:rsidRPr="00D326F8">
              <w:rPr>
                <w:rFonts w:eastAsiaTheme="minorEastAsia"/>
              </w:rPr>
              <w:t xml:space="preserve">The Investigator confirms that each participant agrees to use appropriate contraception and barriers, if applicable. The contraception, barrier, and pregnancy testing requirements are below. </w:t>
            </w:r>
          </w:p>
          <w:p w14:paraId="37909050" w14:textId="77777777" w:rsidR="007408C6" w:rsidRPr="00D326F8" w:rsidRDefault="007408C6" w:rsidP="00094160">
            <w:pPr>
              <w:spacing w:before="0" w:after="60"/>
              <w:ind w:left="255"/>
              <w:rPr>
                <w:rFonts w:eastAsiaTheme="minorEastAsia"/>
              </w:rPr>
            </w:pPr>
            <w:r w:rsidRPr="00D326F8">
              <w:rPr>
                <w:rFonts w:eastAsiaTheme="minorEastAsia"/>
              </w:rPr>
              <w:t>Contraceptive use will be consistent with local regulations on contraception methods for those participating in clinical studies.</w:t>
            </w:r>
          </w:p>
          <w:p w14:paraId="3FFD1718" w14:textId="77777777" w:rsidR="007408C6" w:rsidRPr="00D326F8" w:rsidRDefault="007408C6" w:rsidP="0057019A">
            <w:pPr>
              <w:numPr>
                <w:ilvl w:val="0"/>
                <w:numId w:val="27"/>
              </w:numPr>
              <w:spacing w:before="14" w:after="144" w:line="300" w:lineRule="atLeast"/>
              <w:contextualSpacing/>
              <w:jc w:val="left"/>
              <w:rPr>
                <w:rFonts w:eastAsiaTheme="minorEastAsia"/>
                <w:szCs w:val="24"/>
                <w:lang w:eastAsia="ja-JP"/>
              </w:rPr>
            </w:pPr>
            <w:r w:rsidRPr="00D326F8">
              <w:rPr>
                <w:rFonts w:eastAsiaTheme="minorEastAsia"/>
                <w:szCs w:val="24"/>
                <w:lang w:eastAsia="ja-JP"/>
              </w:rPr>
              <w:t>Male Participants:</w:t>
            </w:r>
          </w:p>
          <w:p w14:paraId="6B6BB8E0" w14:textId="77777777" w:rsidR="007408C6" w:rsidRPr="00D326F8" w:rsidRDefault="007408C6" w:rsidP="00094160">
            <w:pPr>
              <w:spacing w:after="60"/>
              <w:ind w:left="720"/>
              <w:rPr>
                <w:rFonts w:eastAsiaTheme="minorEastAsia"/>
                <w:szCs w:val="24"/>
              </w:rPr>
            </w:pPr>
            <w:r w:rsidRPr="00D326F8">
              <w:rPr>
                <w:rFonts w:eastAsiaTheme="minorEastAsia"/>
                <w:szCs w:val="24"/>
              </w:rPr>
              <w:t>Agree to the following during the study intervention period and for at least</w:t>
            </w:r>
            <w:r w:rsidRPr="00D326F8">
              <w:rPr>
                <w:rFonts w:eastAsia="Calibri" w:cs="Arial"/>
                <w:szCs w:val="24"/>
                <w:lang w:eastAsia="ja-JP"/>
              </w:rPr>
              <w:t xml:space="preserve"> 1 week</w:t>
            </w:r>
            <w:r w:rsidRPr="00D326F8">
              <w:rPr>
                <w:rFonts w:eastAsiaTheme="minorEastAsia"/>
              </w:rPr>
              <w:t xml:space="preserve"> after the last dose of study intervention:</w:t>
            </w:r>
          </w:p>
          <w:p w14:paraId="1EA05C51" w14:textId="77777777" w:rsidR="007408C6" w:rsidRPr="00D326F8" w:rsidRDefault="007408C6" w:rsidP="0057019A">
            <w:pPr>
              <w:numPr>
                <w:ilvl w:val="0"/>
                <w:numId w:val="20"/>
              </w:numPr>
              <w:spacing w:before="120" w:after="144" w:line="300" w:lineRule="atLeast"/>
              <w:ind w:left="720" w:hanging="33"/>
              <w:contextualSpacing/>
              <w:jc w:val="left"/>
              <w:rPr>
                <w:rFonts w:eastAsiaTheme="minorEastAsia"/>
                <w:szCs w:val="24"/>
                <w:lang w:eastAsia="ja-JP"/>
              </w:rPr>
            </w:pPr>
            <w:r w:rsidRPr="00D326F8">
              <w:rPr>
                <w:rFonts w:eastAsiaTheme="minorEastAsia"/>
                <w:szCs w:val="24"/>
                <w:lang w:eastAsia="ja-JP"/>
              </w:rPr>
              <w:t>Refrain from donating fresh and unwashed sperm</w:t>
            </w:r>
          </w:p>
          <w:p w14:paraId="09025B7B" w14:textId="77777777" w:rsidR="007408C6" w:rsidRPr="00D326F8" w:rsidRDefault="007408C6" w:rsidP="007408C6">
            <w:pPr>
              <w:spacing w:after="120"/>
              <w:ind w:left="720"/>
              <w:rPr>
                <w:rFonts w:eastAsiaTheme="minorEastAsia"/>
                <w:szCs w:val="24"/>
                <w:lang w:eastAsia="ja-JP"/>
              </w:rPr>
            </w:pPr>
            <w:r w:rsidRPr="00D326F8">
              <w:rPr>
                <w:rFonts w:eastAsiaTheme="minorEastAsia"/>
                <w:szCs w:val="24"/>
              </w:rPr>
              <w:t>PLUS</w:t>
            </w:r>
            <w:r w:rsidRPr="00D326F8">
              <w:rPr>
                <w:rFonts w:eastAsiaTheme="minorEastAsia"/>
                <w:szCs w:val="24"/>
                <w:lang w:eastAsia="ja-JP"/>
              </w:rPr>
              <w:t>, either:</w:t>
            </w:r>
          </w:p>
          <w:p w14:paraId="3A7C3F2C" w14:textId="77777777" w:rsidR="007408C6" w:rsidRPr="00D326F8" w:rsidRDefault="007408C6" w:rsidP="0057019A">
            <w:pPr>
              <w:numPr>
                <w:ilvl w:val="0"/>
                <w:numId w:val="20"/>
              </w:numPr>
              <w:spacing w:before="120" w:after="144" w:line="300" w:lineRule="atLeast"/>
              <w:ind w:left="720" w:hanging="33"/>
              <w:contextualSpacing/>
              <w:jc w:val="left"/>
              <w:rPr>
                <w:rFonts w:eastAsiaTheme="minorEastAsia"/>
                <w:lang w:eastAsia="ja-JP"/>
              </w:rPr>
            </w:pPr>
            <w:r w:rsidRPr="00D326F8">
              <w:rPr>
                <w:rFonts w:eastAsiaTheme="minorEastAsia"/>
                <w:lang w:eastAsia="ja-JP"/>
              </w:rPr>
              <w:t xml:space="preserve">Abstain from </w:t>
            </w:r>
            <w:r w:rsidRPr="00D326F8">
              <w:rPr>
                <w:rFonts w:eastAsiaTheme="minorEastAsia"/>
                <w:szCs w:val="24"/>
                <w:lang w:eastAsia="ja-JP"/>
              </w:rPr>
              <w:t>intercourse</w:t>
            </w:r>
            <w:r w:rsidRPr="00D326F8">
              <w:rPr>
                <w:rFonts w:eastAsiaTheme="minorEastAsia"/>
              </w:rPr>
              <w:t xml:space="preserve"> with a WOCBP</w:t>
            </w:r>
            <w:r w:rsidRPr="00D326F8">
              <w:rPr>
                <w:rFonts w:eastAsiaTheme="minorEastAsia"/>
                <w:lang w:eastAsia="ja-JP"/>
              </w:rPr>
              <w:t>.</w:t>
            </w:r>
          </w:p>
          <w:p w14:paraId="4B904B62" w14:textId="77777777" w:rsidR="007408C6" w:rsidRPr="00D326F8" w:rsidRDefault="007408C6" w:rsidP="007408C6">
            <w:pPr>
              <w:spacing w:after="120"/>
              <w:ind w:left="720"/>
              <w:rPr>
                <w:rFonts w:eastAsiaTheme="minorEastAsia"/>
                <w:szCs w:val="24"/>
                <w:lang w:eastAsia="ja-JP"/>
              </w:rPr>
            </w:pPr>
            <w:r w:rsidRPr="00D326F8">
              <w:rPr>
                <w:rFonts w:eastAsiaTheme="minorEastAsia"/>
                <w:szCs w:val="24"/>
              </w:rPr>
              <w:t>OR</w:t>
            </w:r>
            <w:r w:rsidRPr="00D326F8">
              <w:rPr>
                <w:rFonts w:eastAsiaTheme="minorEastAsia"/>
                <w:szCs w:val="24"/>
                <w:lang w:eastAsia="ja-JP"/>
              </w:rPr>
              <w:t xml:space="preserve"> </w:t>
            </w:r>
          </w:p>
          <w:p w14:paraId="79A8C49E" w14:textId="77777777" w:rsidR="007408C6" w:rsidRPr="00D326F8" w:rsidRDefault="007408C6" w:rsidP="0057019A">
            <w:pPr>
              <w:numPr>
                <w:ilvl w:val="0"/>
                <w:numId w:val="20"/>
              </w:numPr>
              <w:spacing w:before="120" w:after="144" w:line="300" w:lineRule="atLeast"/>
              <w:ind w:left="720" w:hanging="33"/>
              <w:contextualSpacing/>
              <w:jc w:val="left"/>
              <w:rPr>
                <w:rFonts w:eastAsiaTheme="minorEastAsia"/>
                <w:szCs w:val="24"/>
                <w:lang w:eastAsia="ja-JP"/>
              </w:rPr>
            </w:pPr>
            <w:r w:rsidRPr="00D326F8">
              <w:rPr>
                <w:rFonts w:eastAsiaTheme="minorEastAsia"/>
                <w:szCs w:val="24"/>
                <w:lang w:eastAsia="ja-JP"/>
              </w:rPr>
              <w:t>Use a male condom:</w:t>
            </w:r>
          </w:p>
          <w:p w14:paraId="5A8BCF51" w14:textId="154DCB8A" w:rsidR="007408C6" w:rsidRPr="00D326F8" w:rsidRDefault="007408C6" w:rsidP="0057019A">
            <w:pPr>
              <w:numPr>
                <w:ilvl w:val="0"/>
                <w:numId w:val="20"/>
              </w:numPr>
              <w:tabs>
                <w:tab w:val="left" w:pos="1530"/>
              </w:tabs>
              <w:spacing w:before="0" w:after="120" w:line="300" w:lineRule="atLeast"/>
              <w:ind w:left="1525" w:hanging="357"/>
              <w:jc w:val="left"/>
              <w:rPr>
                <w:rFonts w:eastAsiaTheme="minorEastAsia"/>
                <w:lang w:eastAsia="ja-JP"/>
              </w:rPr>
            </w:pPr>
            <w:r w:rsidRPr="00D326F8">
              <w:rPr>
                <w:rFonts w:eastAsia="MS Mincho"/>
                <w:lang w:eastAsia="ja-JP"/>
              </w:rPr>
              <w:t>W</w:t>
            </w:r>
            <w:r w:rsidRPr="00D326F8">
              <w:rPr>
                <w:rFonts w:eastAsiaTheme="minorEastAsia"/>
                <w:lang w:eastAsia="ja-JP"/>
              </w:rPr>
              <w:t xml:space="preserve">hen having sexual intercourse with a WOCBP, who is </w:t>
            </w:r>
            <w:r w:rsidRPr="00D326F8">
              <w:rPr>
                <w:rFonts w:eastAsiaTheme="minorEastAsia"/>
                <w:b/>
                <w:lang w:eastAsia="ja-JP"/>
              </w:rPr>
              <w:t>not</w:t>
            </w:r>
            <w:r w:rsidRPr="00D326F8">
              <w:rPr>
                <w:rFonts w:eastAsiaTheme="minorEastAsia"/>
                <w:lang w:eastAsia="ja-JP"/>
              </w:rPr>
              <w:t xml:space="preserve"> currently pregnant, </w:t>
            </w:r>
            <w:r w:rsidRPr="00D326F8">
              <w:rPr>
                <w:rFonts w:eastAsiaTheme="minorEastAsia"/>
                <w:b/>
                <w:bCs/>
                <w:lang w:eastAsia="ja-JP"/>
              </w:rPr>
              <w:t>and</w:t>
            </w:r>
            <w:r w:rsidRPr="00D326F8">
              <w:rPr>
                <w:rFonts w:eastAsiaTheme="minorEastAsia"/>
                <w:lang w:eastAsia="ja-JP"/>
              </w:rPr>
              <w:t xml:space="preserve"> </w:t>
            </w:r>
            <w:r w:rsidRPr="00D326F8">
              <w:rPr>
                <w:rFonts w:eastAsia="MS Mincho"/>
                <w:lang w:eastAsia="ja-JP"/>
              </w:rPr>
              <w:t xml:space="preserve">instruct her to use a highly effective contraceptive method with a failure rate of &lt; 1% per year, as described in </w:t>
            </w:r>
            <w:hyperlink w:anchor="_Appendix_3_Contraception" w:history="1">
              <w:r w:rsidRPr="00D326F8">
                <w:rPr>
                  <w:rStyle w:val="Hyperlink"/>
                  <w:rFonts w:eastAsia="MS Mincho"/>
                  <w:color w:val="auto"/>
                  <w:lang w:eastAsia="ja-JP"/>
                </w:rPr>
                <w:t>Appendix 3</w:t>
              </w:r>
            </w:hyperlink>
            <w:r w:rsidRPr="00D326F8">
              <w:rPr>
                <w:rFonts w:eastAsia="MS Mincho"/>
                <w:lang w:eastAsia="ja-JP"/>
              </w:rPr>
              <w:t xml:space="preserve">, since </w:t>
            </w:r>
            <w:r w:rsidRPr="00D326F8">
              <w:rPr>
                <w:rFonts w:eastAsia="Calibri"/>
                <w:lang w:eastAsia="ja-JP"/>
              </w:rPr>
              <w:t>a condom may break or leak.</w:t>
            </w:r>
          </w:p>
          <w:p w14:paraId="409D423F" w14:textId="77777777" w:rsidR="007408C6" w:rsidRPr="00D326F8" w:rsidRDefault="007408C6" w:rsidP="0057019A">
            <w:pPr>
              <w:numPr>
                <w:ilvl w:val="0"/>
                <w:numId w:val="27"/>
              </w:numPr>
              <w:spacing w:before="14" w:after="60" w:line="300" w:lineRule="atLeast"/>
              <w:ind w:left="714" w:hanging="357"/>
              <w:jc w:val="left"/>
              <w:rPr>
                <w:rFonts w:eastAsiaTheme="minorEastAsia"/>
              </w:rPr>
            </w:pPr>
            <w:r w:rsidRPr="00D326F8">
              <w:rPr>
                <w:rFonts w:eastAsiaTheme="minorEastAsia"/>
                <w:szCs w:val="24"/>
              </w:rPr>
              <w:t>Not a WOCBP</w:t>
            </w:r>
            <w:r w:rsidRPr="00D326F8">
              <w:rPr>
                <w:rFonts w:eastAsiaTheme="minorEastAsia"/>
              </w:rPr>
              <w:t xml:space="preserve">, confirmed at Screening, by fulfilling at least 1 of the following criteria: </w:t>
            </w:r>
          </w:p>
          <w:p w14:paraId="6C035356" w14:textId="77777777" w:rsidR="007408C6" w:rsidRPr="00D326F8" w:rsidRDefault="007408C6" w:rsidP="0057019A">
            <w:pPr>
              <w:numPr>
                <w:ilvl w:val="0"/>
                <w:numId w:val="20"/>
              </w:numPr>
              <w:spacing w:before="120" w:after="144" w:line="300" w:lineRule="atLeast"/>
              <w:ind w:left="1247" w:hanging="561"/>
              <w:contextualSpacing/>
              <w:jc w:val="left"/>
              <w:rPr>
                <w:rFonts w:eastAsiaTheme="minorEastAsia"/>
                <w:lang w:eastAsia="ja-JP"/>
              </w:rPr>
            </w:pPr>
            <w:r w:rsidRPr="00D326F8">
              <w:rPr>
                <w:rFonts w:eastAsiaTheme="minorEastAsia"/>
                <w:lang w:eastAsia="ja-JP"/>
              </w:rPr>
              <w:t xml:space="preserve">Females who are postmenopausal (age-related amenorrhea ≥ 12 consecutive months and increased FSH &gt; 40 </w:t>
            </w:r>
            <w:proofErr w:type="spellStart"/>
            <w:r w:rsidRPr="00D326F8">
              <w:rPr>
                <w:rFonts w:eastAsiaTheme="minorEastAsia"/>
                <w:lang w:eastAsia="ja-JP"/>
              </w:rPr>
              <w:t>mIU</w:t>
            </w:r>
            <w:proofErr w:type="spellEnd"/>
            <w:r w:rsidRPr="00D326F8">
              <w:rPr>
                <w:rFonts w:eastAsiaTheme="minorEastAsia"/>
                <w:lang w:eastAsia="ja-JP"/>
              </w:rPr>
              <w:t>/mL).</w:t>
            </w:r>
          </w:p>
          <w:p w14:paraId="601A8021" w14:textId="56A0EC06" w:rsidR="007408C6" w:rsidRPr="00D326F8" w:rsidRDefault="007408C6" w:rsidP="0057019A">
            <w:pPr>
              <w:numPr>
                <w:ilvl w:val="0"/>
                <w:numId w:val="20"/>
              </w:numPr>
              <w:tabs>
                <w:tab w:val="left" w:pos="1530"/>
              </w:tabs>
              <w:spacing w:before="0" w:line="300" w:lineRule="atLeast"/>
              <w:ind w:left="1530"/>
              <w:contextualSpacing/>
              <w:jc w:val="left"/>
              <w:rPr>
                <w:rFonts w:eastAsia="MS Mincho"/>
              </w:rPr>
            </w:pPr>
            <w:r w:rsidRPr="00D326F8">
              <w:rPr>
                <w:rFonts w:eastAsiaTheme="minorEastAsia"/>
                <w:lang w:eastAsia="ja-JP"/>
              </w:rPr>
              <w:t>Documentation of irreversible surgical sterilization by hysterectomy, or bilateral oophorectomy, or bilateral salpingectomy</w:t>
            </w:r>
            <w:r w:rsidRPr="00D326F8">
              <w:rPr>
                <w:rFonts w:eastAsiaTheme="minorEastAsia"/>
              </w:rPr>
              <w:t>.</w:t>
            </w:r>
          </w:p>
        </w:tc>
      </w:tr>
      <w:tr w:rsidR="003B74AE" w:rsidRPr="00D326F8" w14:paraId="601A8025" w14:textId="77777777" w:rsidTr="005D672A">
        <w:trPr>
          <w:cantSplit/>
        </w:trPr>
        <w:tc>
          <w:tcPr>
            <w:tcW w:w="1275" w:type="pct"/>
            <w:tcBorders>
              <w:top w:val="single" w:sz="4" w:space="0" w:color="auto"/>
              <w:left w:val="single" w:sz="4" w:space="0" w:color="auto"/>
              <w:bottom w:val="single" w:sz="4" w:space="0" w:color="auto"/>
              <w:right w:val="single" w:sz="4" w:space="0" w:color="auto"/>
            </w:tcBorders>
            <w:hideMark/>
          </w:tcPr>
          <w:p w14:paraId="601A8023" w14:textId="77777777" w:rsidR="005D672A" w:rsidRPr="00D326F8" w:rsidRDefault="003E23E4" w:rsidP="008256D8">
            <w:pPr>
              <w:spacing w:before="0"/>
              <w:contextualSpacing/>
              <w:rPr>
                <w:rFonts w:eastAsia="MS Mincho"/>
              </w:rPr>
            </w:pPr>
            <w:r w:rsidRPr="00D326F8">
              <w:rPr>
                <w:rFonts w:eastAsia="MS Mincho"/>
              </w:rPr>
              <w:t>Informed Consent</w:t>
            </w:r>
          </w:p>
        </w:tc>
        <w:tc>
          <w:tcPr>
            <w:tcW w:w="3725" w:type="pct"/>
            <w:tcBorders>
              <w:top w:val="single" w:sz="4" w:space="0" w:color="auto"/>
              <w:left w:val="single" w:sz="4" w:space="0" w:color="auto"/>
              <w:bottom w:val="single" w:sz="4" w:space="0" w:color="auto"/>
              <w:right w:val="single" w:sz="4" w:space="0" w:color="auto"/>
            </w:tcBorders>
            <w:hideMark/>
          </w:tcPr>
          <w:p w14:paraId="601A8024" w14:textId="64862E9E" w:rsidR="005D672A" w:rsidRPr="00D326F8" w:rsidRDefault="003E23E4" w:rsidP="0057019A">
            <w:pPr>
              <w:numPr>
                <w:ilvl w:val="0"/>
                <w:numId w:val="19"/>
              </w:numPr>
              <w:spacing w:before="0" w:line="300" w:lineRule="atLeast"/>
              <w:ind w:left="360"/>
              <w:contextualSpacing/>
              <w:jc w:val="left"/>
              <w:rPr>
                <w:rFonts w:eastAsia="MS Mincho"/>
              </w:rPr>
            </w:pPr>
            <w:r w:rsidRPr="00D326F8">
              <w:rPr>
                <w:rFonts w:eastAsia="MS Mincho"/>
              </w:rPr>
              <w:t xml:space="preserve">Capable of giving signed informed consent, as indicated in </w:t>
            </w:r>
            <w:hyperlink w:anchor="_Appendix_2_Study" w:history="1">
              <w:r w:rsidR="003A5C57" w:rsidRPr="00D326F8">
                <w:rPr>
                  <w:rStyle w:val="Hyperlink"/>
                  <w:rFonts w:eastAsia="MS Mincho"/>
                  <w:color w:val="auto"/>
                </w:rPr>
                <w:t>Appendix</w:t>
              </w:r>
              <w:r w:rsidR="008256D8" w:rsidRPr="00D326F8">
                <w:rPr>
                  <w:rStyle w:val="Hyperlink"/>
                  <w:rFonts w:eastAsia="MS Mincho"/>
                  <w:color w:val="auto"/>
                </w:rPr>
                <w:t> </w:t>
              </w:r>
              <w:r w:rsidR="003A5C57" w:rsidRPr="00D326F8">
                <w:rPr>
                  <w:rStyle w:val="Hyperlink"/>
                  <w:rFonts w:eastAsia="MS Mincho"/>
                  <w:color w:val="auto"/>
                </w:rPr>
                <w:t>2</w:t>
              </w:r>
            </w:hyperlink>
            <w:r w:rsidRPr="00D326F8">
              <w:rPr>
                <w:rFonts w:eastAsia="MS Mincho"/>
              </w:rPr>
              <w:t>, which includes compliance with the requirements and restrictions listed in the ICF and this protocol.</w:t>
            </w:r>
          </w:p>
        </w:tc>
      </w:tr>
      <w:tr w:rsidR="003B74AE" w:rsidRPr="00D326F8" w14:paraId="601A8028" w14:textId="77777777" w:rsidTr="00024B84">
        <w:trPr>
          <w:cantSplit/>
          <w:trHeight w:val="1432"/>
        </w:trPr>
        <w:tc>
          <w:tcPr>
            <w:tcW w:w="1275" w:type="pct"/>
            <w:tcBorders>
              <w:top w:val="single" w:sz="4" w:space="0" w:color="auto"/>
              <w:left w:val="single" w:sz="4" w:space="0" w:color="auto"/>
              <w:bottom w:val="single" w:sz="4" w:space="0" w:color="auto"/>
              <w:right w:val="single" w:sz="4" w:space="0" w:color="auto"/>
            </w:tcBorders>
            <w:hideMark/>
          </w:tcPr>
          <w:p w14:paraId="601A8026" w14:textId="77777777" w:rsidR="005D672A" w:rsidRPr="00D326F8" w:rsidRDefault="003E23E4" w:rsidP="008256D8">
            <w:pPr>
              <w:spacing w:before="0"/>
              <w:contextualSpacing/>
              <w:rPr>
                <w:rFonts w:eastAsia="MS Mincho"/>
              </w:rPr>
            </w:pPr>
            <w:r w:rsidRPr="00D326F8">
              <w:rPr>
                <w:rFonts w:eastAsia="MS Mincho"/>
              </w:rPr>
              <w:t>Laboratory Parameters</w:t>
            </w:r>
          </w:p>
        </w:tc>
        <w:tc>
          <w:tcPr>
            <w:tcW w:w="3725" w:type="pct"/>
            <w:tcBorders>
              <w:top w:val="single" w:sz="4" w:space="0" w:color="auto"/>
              <w:left w:val="single" w:sz="4" w:space="0" w:color="auto"/>
              <w:bottom w:val="single" w:sz="4" w:space="0" w:color="auto"/>
              <w:right w:val="single" w:sz="4" w:space="0" w:color="auto"/>
            </w:tcBorders>
            <w:hideMark/>
          </w:tcPr>
          <w:p w14:paraId="601A8027" w14:textId="4E31E7AA" w:rsidR="005D672A" w:rsidRPr="00D326F8" w:rsidRDefault="003E23E4" w:rsidP="0057019A">
            <w:pPr>
              <w:numPr>
                <w:ilvl w:val="0"/>
                <w:numId w:val="19"/>
              </w:numPr>
              <w:spacing w:before="0" w:line="300" w:lineRule="atLeast"/>
              <w:ind w:left="360"/>
              <w:contextualSpacing/>
              <w:jc w:val="left"/>
              <w:rPr>
                <w:rFonts w:eastAsia="MS Mincho"/>
              </w:rPr>
            </w:pPr>
            <w:r w:rsidRPr="00D326F8">
              <w:rPr>
                <w:rFonts w:eastAsia="MS Mincho"/>
              </w:rPr>
              <w:t>All values for hematology, coagulation, and biochemistry tests of blood and urinalysis within the normal range (at Screening and Day </w:t>
            </w:r>
            <w:r w:rsidRPr="00D326F8">
              <w:rPr>
                <w:rFonts w:eastAsia="MS Mincho"/>
              </w:rPr>
              <w:noBreakHyphen/>
              <w:t xml:space="preserve">1). Minor (solitary) non-clinically relevant excursion(s) are allowed as judged by the </w:t>
            </w:r>
            <w:proofErr w:type="gramStart"/>
            <w:r w:rsidRPr="00D326F8">
              <w:rPr>
                <w:rFonts w:eastAsia="MS Mincho"/>
              </w:rPr>
              <w:t>Investigator,</w:t>
            </w:r>
            <w:proofErr w:type="gramEnd"/>
            <w:r w:rsidRPr="00D326F8">
              <w:rPr>
                <w:rFonts w:eastAsia="MS Mincho"/>
              </w:rPr>
              <w:t xml:space="preserve"> however amylase and lipase should not exceed the ULN; </w:t>
            </w:r>
            <w:r w:rsidR="004D1526" w:rsidRPr="00D326F8">
              <w:rPr>
                <w:rFonts w:eastAsia="MS Mincho"/>
              </w:rPr>
              <w:t>ALT and AST should not exceed the ULN</w:t>
            </w:r>
            <w:r w:rsidR="003D201D" w:rsidRPr="00D326F8">
              <w:rPr>
                <w:rFonts w:eastAsia="MS Mincho"/>
              </w:rPr>
              <w:t> </w:t>
            </w:r>
            <w:r w:rsidR="004D1526" w:rsidRPr="00D326F8">
              <w:rPr>
                <w:rFonts w:eastAsia="MS Mincho"/>
              </w:rPr>
              <w:t>×</w:t>
            </w:r>
            <w:r w:rsidR="003D201D" w:rsidRPr="00D326F8">
              <w:rPr>
                <w:rFonts w:eastAsia="MS Mincho"/>
              </w:rPr>
              <w:t> </w:t>
            </w:r>
            <w:r w:rsidR="004D1526" w:rsidRPr="00D326F8">
              <w:rPr>
                <w:rFonts w:eastAsia="MS Mincho"/>
              </w:rPr>
              <w:t>1.1.</w:t>
            </w:r>
          </w:p>
        </w:tc>
      </w:tr>
      <w:tr w:rsidR="003B74AE" w:rsidRPr="00D326F8" w14:paraId="601A802A" w14:textId="77777777" w:rsidTr="00024B84">
        <w:trPr>
          <w:cantSplit/>
        </w:trPr>
        <w:tc>
          <w:tcPr>
            <w:tcW w:w="5000" w:type="pct"/>
            <w:gridSpan w:val="2"/>
            <w:tcBorders>
              <w:top w:val="single" w:sz="4" w:space="0" w:color="auto"/>
              <w:left w:val="nil"/>
              <w:bottom w:val="nil"/>
              <w:right w:val="nil"/>
            </w:tcBorders>
          </w:tcPr>
          <w:p w14:paraId="601A8029" w14:textId="0C8E92F4" w:rsidR="008256D8" w:rsidRPr="00D326F8" w:rsidRDefault="003E23E4" w:rsidP="00024B84">
            <w:pPr>
              <w:pStyle w:val="Tablefootnote"/>
              <w:keepLines w:val="0"/>
              <w:rPr>
                <w:rFonts w:eastAsia="MS Mincho"/>
              </w:rPr>
            </w:pPr>
            <w:r w:rsidRPr="00D326F8">
              <w:rPr>
                <w:rFonts w:eastAsia="MS Mincho"/>
              </w:rPr>
              <w:t>ALT=alanine aminotransferase, AST=aspartate aminotransferase, BMI=body mass index, FSH=follicle stimulating hormone,</w:t>
            </w:r>
            <w:r w:rsidR="006F692F" w:rsidRPr="00D326F8">
              <w:rPr>
                <w:rFonts w:eastAsia="MS Mincho"/>
              </w:rPr>
              <w:t xml:space="preserve"> ICF=informed consent form,</w:t>
            </w:r>
            <w:r w:rsidRPr="00D326F8">
              <w:rPr>
                <w:rFonts w:eastAsia="MS Mincho"/>
              </w:rPr>
              <w:t xml:space="preserve"> ULN=upper limit of normal, WOCBP=woman of child-bearing potential.</w:t>
            </w:r>
          </w:p>
        </w:tc>
      </w:tr>
    </w:tbl>
    <w:p w14:paraId="601A802B" w14:textId="77777777" w:rsidR="00945494" w:rsidRPr="00D326F8" w:rsidRDefault="003E23E4" w:rsidP="00131574">
      <w:pPr>
        <w:pStyle w:val="Heading2"/>
        <w:tabs>
          <w:tab w:val="clear" w:pos="4896"/>
          <w:tab w:val="num" w:pos="5130"/>
        </w:tabs>
        <w:ind w:left="1260" w:hanging="1260"/>
      </w:pPr>
      <w:bookmarkStart w:id="79" w:name="_Toc63944337"/>
      <w:bookmarkStart w:id="80" w:name="_Toc63944338"/>
      <w:bookmarkStart w:id="81" w:name="_Toc63944343"/>
      <w:bookmarkStart w:id="82" w:name="_Toc63944344"/>
      <w:bookmarkStart w:id="83" w:name="_Toc63944345"/>
      <w:bookmarkStart w:id="84" w:name="_Toc63944346"/>
      <w:bookmarkStart w:id="85" w:name="_Toc63944349"/>
      <w:bookmarkStart w:id="86" w:name="_Toc63944352"/>
      <w:bookmarkStart w:id="87" w:name="_Toc63944353"/>
      <w:bookmarkStart w:id="88" w:name="_Ref3989475"/>
      <w:bookmarkStart w:id="89" w:name="_Toc77839734"/>
      <w:bookmarkEnd w:id="79"/>
      <w:bookmarkEnd w:id="80"/>
      <w:bookmarkEnd w:id="81"/>
      <w:bookmarkEnd w:id="82"/>
      <w:bookmarkEnd w:id="83"/>
      <w:bookmarkEnd w:id="84"/>
      <w:bookmarkEnd w:id="85"/>
      <w:bookmarkEnd w:id="86"/>
      <w:bookmarkEnd w:id="87"/>
      <w:r w:rsidRPr="00D326F8">
        <w:lastRenderedPageBreak/>
        <w:t>Exclusion Criteria</w:t>
      </w:r>
      <w:bookmarkEnd w:id="88"/>
      <w:bookmarkEnd w:id="89"/>
    </w:p>
    <w:p w14:paraId="601A802C" w14:textId="77777777" w:rsidR="00945494" w:rsidRPr="00D326F8" w:rsidRDefault="003E23E4" w:rsidP="00D77174">
      <w:pPr>
        <w:pStyle w:val="BodyText"/>
        <w:spacing w:after="240"/>
      </w:pPr>
      <w:r w:rsidRPr="00D326F8">
        <w:t>Participants are excluded from the study if any of the following criteria apply: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69"/>
      </w:tblGrid>
      <w:tr w:rsidR="003B74AE" w:rsidRPr="00D326F8" w14:paraId="601A802F" w14:textId="77777777" w:rsidTr="005D672A">
        <w:trPr>
          <w:cantSplit/>
          <w:tblHeader/>
        </w:trPr>
        <w:tc>
          <w:tcPr>
            <w:tcW w:w="1201" w:type="pct"/>
            <w:tcBorders>
              <w:top w:val="single" w:sz="4" w:space="0" w:color="auto"/>
              <w:left w:val="single" w:sz="4" w:space="0" w:color="auto"/>
              <w:bottom w:val="single" w:sz="4" w:space="0" w:color="auto"/>
              <w:right w:val="single" w:sz="4" w:space="0" w:color="auto"/>
            </w:tcBorders>
            <w:hideMark/>
          </w:tcPr>
          <w:p w14:paraId="601A802D" w14:textId="77777777" w:rsidR="005D672A" w:rsidRPr="00D326F8" w:rsidRDefault="003E23E4" w:rsidP="005D672A">
            <w:pPr>
              <w:spacing w:before="120" w:after="120"/>
              <w:jc w:val="center"/>
              <w:rPr>
                <w:rFonts w:eastAsia="MS Mincho"/>
                <w:b/>
                <w:bCs/>
              </w:rPr>
            </w:pPr>
            <w:bookmarkStart w:id="90" w:name="_Hlk70352856"/>
            <w:r w:rsidRPr="00D326F8">
              <w:rPr>
                <w:rFonts w:eastAsia="MS Mincho"/>
                <w:b/>
                <w:bCs/>
              </w:rPr>
              <w:t>Category</w:t>
            </w:r>
          </w:p>
        </w:tc>
        <w:tc>
          <w:tcPr>
            <w:tcW w:w="3799" w:type="pct"/>
            <w:tcBorders>
              <w:top w:val="single" w:sz="4" w:space="0" w:color="auto"/>
              <w:left w:val="single" w:sz="4" w:space="0" w:color="auto"/>
              <w:bottom w:val="single" w:sz="4" w:space="0" w:color="auto"/>
              <w:right w:val="single" w:sz="4" w:space="0" w:color="auto"/>
            </w:tcBorders>
            <w:hideMark/>
          </w:tcPr>
          <w:p w14:paraId="601A802E" w14:textId="77777777" w:rsidR="005D672A" w:rsidRPr="00D326F8" w:rsidRDefault="003E23E4" w:rsidP="005D672A">
            <w:pPr>
              <w:spacing w:before="120" w:after="120"/>
              <w:jc w:val="center"/>
              <w:rPr>
                <w:rFonts w:eastAsia="MS Mincho"/>
                <w:b/>
                <w:bCs/>
              </w:rPr>
            </w:pPr>
            <w:r w:rsidRPr="00D326F8">
              <w:rPr>
                <w:rFonts w:eastAsia="MS Mincho"/>
                <w:b/>
                <w:bCs/>
              </w:rPr>
              <w:t>Criterion</w:t>
            </w:r>
          </w:p>
        </w:tc>
      </w:tr>
      <w:tr w:rsidR="003B74AE" w:rsidRPr="00D326F8" w14:paraId="601A8032"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hideMark/>
          </w:tcPr>
          <w:p w14:paraId="601A8030" w14:textId="77777777" w:rsidR="005D672A" w:rsidRPr="00D326F8" w:rsidRDefault="003E23E4" w:rsidP="005D672A">
            <w:pPr>
              <w:spacing w:before="120" w:after="120"/>
              <w:rPr>
                <w:rFonts w:eastAsia="MS Mincho"/>
                <w:bCs/>
              </w:rPr>
            </w:pPr>
            <w:r w:rsidRPr="00D326F8">
              <w:rPr>
                <w:rFonts w:eastAsia="MS Mincho"/>
                <w:bCs/>
              </w:rPr>
              <w:t>Medical Conditions</w:t>
            </w:r>
          </w:p>
        </w:tc>
        <w:tc>
          <w:tcPr>
            <w:tcW w:w="3799" w:type="pct"/>
            <w:tcBorders>
              <w:top w:val="single" w:sz="4" w:space="0" w:color="auto"/>
              <w:left w:val="single" w:sz="4" w:space="0" w:color="auto"/>
              <w:bottom w:val="single" w:sz="4" w:space="0" w:color="auto"/>
              <w:right w:val="single" w:sz="4" w:space="0" w:color="auto"/>
            </w:tcBorders>
            <w:hideMark/>
          </w:tcPr>
          <w:p w14:paraId="601A8031" w14:textId="77777777" w:rsidR="005D672A" w:rsidRPr="00D326F8" w:rsidRDefault="003E23E4" w:rsidP="0057019A">
            <w:pPr>
              <w:numPr>
                <w:ilvl w:val="0"/>
                <w:numId w:val="21"/>
              </w:numPr>
              <w:spacing w:before="120" w:after="120" w:line="300" w:lineRule="atLeast"/>
              <w:ind w:left="257" w:hanging="257"/>
              <w:contextualSpacing/>
              <w:jc w:val="left"/>
              <w:rPr>
                <w:szCs w:val="24"/>
              </w:rPr>
            </w:pPr>
            <w:r w:rsidRPr="00D326F8">
              <w:rPr>
                <w:szCs w:val="24"/>
              </w:rPr>
              <w:t xml:space="preserve">History or presence of clinically relevant respiratory, gastrointestinal, renal, hepatic, hematological, lymphatic, neurological, cardiovascular, psychiatric, musculoskeletal, genitourinary, immunological, dermatological, connective tissue </w:t>
            </w:r>
            <w:proofErr w:type="gramStart"/>
            <w:r w:rsidRPr="00D326F8">
              <w:rPr>
                <w:szCs w:val="24"/>
              </w:rPr>
              <w:t>diseases</w:t>
            </w:r>
            <w:proofErr w:type="gramEnd"/>
            <w:r w:rsidRPr="00D326F8">
              <w:rPr>
                <w:szCs w:val="24"/>
              </w:rPr>
              <w:t xml:space="preserve"> or disorders, as determined by medical evaluation.</w:t>
            </w:r>
          </w:p>
        </w:tc>
      </w:tr>
      <w:tr w:rsidR="003B74AE" w:rsidRPr="00D326F8" w14:paraId="601A8035"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33" w14:textId="77777777" w:rsidR="005D672A" w:rsidRPr="00D326F8" w:rsidRDefault="005D672A" w:rsidP="005D672A">
            <w:pPr>
              <w:spacing w:before="120" w:after="120"/>
              <w:rPr>
                <w:rFonts w:eastAsia="MS Mincho"/>
                <w:bCs/>
              </w:rPr>
            </w:pPr>
          </w:p>
        </w:tc>
        <w:tc>
          <w:tcPr>
            <w:tcW w:w="3799" w:type="pct"/>
            <w:tcBorders>
              <w:top w:val="single" w:sz="4" w:space="0" w:color="auto"/>
              <w:left w:val="single" w:sz="4" w:space="0" w:color="auto"/>
              <w:bottom w:val="single" w:sz="4" w:space="0" w:color="auto"/>
              <w:right w:val="single" w:sz="4" w:space="0" w:color="auto"/>
            </w:tcBorders>
            <w:hideMark/>
          </w:tcPr>
          <w:p w14:paraId="601A8034" w14:textId="56AE80B3" w:rsidR="005D672A" w:rsidRPr="00D326F8" w:rsidRDefault="003E23E4" w:rsidP="0057019A">
            <w:pPr>
              <w:numPr>
                <w:ilvl w:val="0"/>
                <w:numId w:val="21"/>
              </w:numPr>
              <w:spacing w:before="120" w:after="120" w:line="300" w:lineRule="atLeast"/>
              <w:ind w:left="257" w:hanging="257"/>
              <w:contextualSpacing/>
              <w:jc w:val="left"/>
              <w:rPr>
                <w:szCs w:val="24"/>
              </w:rPr>
            </w:pPr>
            <w:r w:rsidRPr="00D326F8">
              <w:rPr>
                <w:szCs w:val="24"/>
              </w:rPr>
              <w:t>Participants with gall bladder removal or other relevant surgery of gastrointestinal tract (</w:t>
            </w:r>
            <w:r w:rsidR="00B21BAF" w:rsidRPr="00D326F8">
              <w:rPr>
                <w:szCs w:val="24"/>
              </w:rPr>
              <w:t>a</w:t>
            </w:r>
            <w:r w:rsidRPr="00D326F8">
              <w:rPr>
                <w:szCs w:val="24"/>
              </w:rPr>
              <w:t>ppendectomy is not considered as relevant).</w:t>
            </w:r>
          </w:p>
        </w:tc>
      </w:tr>
      <w:tr w:rsidR="003B74AE" w:rsidRPr="00D326F8" w14:paraId="601A8038"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36" w14:textId="77777777" w:rsidR="005D672A" w:rsidRPr="00D326F8" w:rsidRDefault="005D672A" w:rsidP="005D672A">
            <w:pPr>
              <w:spacing w:before="120" w:after="120"/>
              <w:rPr>
                <w:rFonts w:eastAsia="MS Mincho"/>
                <w:bCs/>
              </w:rPr>
            </w:pPr>
          </w:p>
        </w:tc>
        <w:tc>
          <w:tcPr>
            <w:tcW w:w="3799" w:type="pct"/>
            <w:tcBorders>
              <w:top w:val="single" w:sz="4" w:space="0" w:color="auto"/>
              <w:left w:val="single" w:sz="4" w:space="0" w:color="auto"/>
              <w:bottom w:val="single" w:sz="4" w:space="0" w:color="auto"/>
              <w:right w:val="single" w:sz="4" w:space="0" w:color="auto"/>
            </w:tcBorders>
            <w:hideMark/>
          </w:tcPr>
          <w:p w14:paraId="601A8037" w14:textId="77777777" w:rsidR="005D672A" w:rsidRPr="00D326F8" w:rsidRDefault="003E23E4" w:rsidP="0057019A">
            <w:pPr>
              <w:numPr>
                <w:ilvl w:val="0"/>
                <w:numId w:val="21"/>
              </w:numPr>
              <w:spacing w:before="120" w:after="120" w:line="300" w:lineRule="atLeast"/>
              <w:ind w:left="257" w:hanging="257"/>
              <w:contextualSpacing/>
              <w:jc w:val="left"/>
              <w:rPr>
                <w:szCs w:val="24"/>
              </w:rPr>
            </w:pPr>
            <w:r w:rsidRPr="00D326F8">
              <w:rPr>
                <w:szCs w:val="24"/>
              </w:rPr>
              <w:t>History of any malignancy except for adequately treated superficial basal cell carcinoma.</w:t>
            </w:r>
          </w:p>
        </w:tc>
      </w:tr>
      <w:tr w:rsidR="003B74AE" w:rsidRPr="00D326F8" w14:paraId="601A803B" w14:textId="77777777" w:rsidTr="00D77174">
        <w:trPr>
          <w:cantSplit/>
          <w:trHeight w:val="284"/>
        </w:trPr>
        <w:tc>
          <w:tcPr>
            <w:tcW w:w="1201" w:type="pct"/>
            <w:tcBorders>
              <w:top w:val="single" w:sz="4" w:space="0" w:color="auto"/>
              <w:left w:val="single" w:sz="4" w:space="0" w:color="auto"/>
              <w:bottom w:val="single" w:sz="4" w:space="0" w:color="auto"/>
              <w:right w:val="single" w:sz="4" w:space="0" w:color="auto"/>
            </w:tcBorders>
          </w:tcPr>
          <w:p w14:paraId="601A8039" w14:textId="77777777" w:rsidR="005D672A" w:rsidRPr="00D326F8" w:rsidRDefault="005D672A" w:rsidP="005D672A">
            <w:pPr>
              <w:spacing w:before="120" w:after="120"/>
              <w:rPr>
                <w:rFonts w:eastAsia="MS Mincho"/>
                <w:bCs/>
              </w:rPr>
            </w:pPr>
          </w:p>
        </w:tc>
        <w:tc>
          <w:tcPr>
            <w:tcW w:w="3799" w:type="pct"/>
            <w:tcBorders>
              <w:top w:val="single" w:sz="4" w:space="0" w:color="auto"/>
              <w:left w:val="single" w:sz="4" w:space="0" w:color="auto"/>
              <w:bottom w:val="single" w:sz="4" w:space="0" w:color="auto"/>
              <w:right w:val="single" w:sz="4" w:space="0" w:color="auto"/>
            </w:tcBorders>
            <w:hideMark/>
          </w:tcPr>
          <w:p w14:paraId="601A803A" w14:textId="77777777" w:rsidR="005D672A" w:rsidRPr="00D326F8" w:rsidRDefault="003E23E4" w:rsidP="0057019A">
            <w:pPr>
              <w:numPr>
                <w:ilvl w:val="0"/>
                <w:numId w:val="21"/>
              </w:numPr>
              <w:spacing w:before="120" w:after="120" w:line="300" w:lineRule="atLeast"/>
              <w:ind w:left="257" w:hanging="257"/>
              <w:contextualSpacing/>
              <w:jc w:val="left"/>
              <w:rPr>
                <w:szCs w:val="24"/>
              </w:rPr>
            </w:pPr>
            <w:r w:rsidRPr="00D326F8">
              <w:rPr>
                <w:szCs w:val="24"/>
              </w:rPr>
              <w:t>History of epilepsy.</w:t>
            </w:r>
          </w:p>
        </w:tc>
      </w:tr>
      <w:tr w:rsidR="003B74AE" w:rsidRPr="00D326F8" w14:paraId="601A803E"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3C" w14:textId="77777777" w:rsidR="005D672A" w:rsidRPr="00D326F8" w:rsidRDefault="005D672A" w:rsidP="005D672A">
            <w:pPr>
              <w:spacing w:before="120" w:after="120"/>
              <w:rPr>
                <w:rFonts w:eastAsia="MS Mincho"/>
                <w:bCs/>
              </w:rPr>
            </w:pPr>
          </w:p>
        </w:tc>
        <w:tc>
          <w:tcPr>
            <w:tcW w:w="3799" w:type="pct"/>
            <w:tcBorders>
              <w:top w:val="single" w:sz="4" w:space="0" w:color="auto"/>
              <w:left w:val="single" w:sz="4" w:space="0" w:color="auto"/>
              <w:bottom w:val="single" w:sz="4" w:space="0" w:color="auto"/>
              <w:right w:val="single" w:sz="4" w:space="0" w:color="auto"/>
            </w:tcBorders>
            <w:hideMark/>
          </w:tcPr>
          <w:p w14:paraId="601A803D" w14:textId="77777777" w:rsidR="005D672A" w:rsidRPr="00D326F8" w:rsidRDefault="003E23E4" w:rsidP="0057019A">
            <w:pPr>
              <w:numPr>
                <w:ilvl w:val="0"/>
                <w:numId w:val="21"/>
              </w:numPr>
              <w:spacing w:before="120" w:after="120" w:line="300" w:lineRule="atLeast"/>
              <w:ind w:left="257" w:hanging="257"/>
              <w:contextualSpacing/>
              <w:jc w:val="left"/>
              <w:rPr>
                <w:szCs w:val="24"/>
              </w:rPr>
            </w:pPr>
            <w:r w:rsidRPr="00D326F8">
              <w:rPr>
                <w:szCs w:val="24"/>
              </w:rPr>
              <w:t>Ascertained or presumptive allergy/hypersensitivity to the active drug substance and/or excipients; history of anaphylaxis to drugs or serious allergic reactions leading to hospitalization or any other allergy reaction in general, which the Investigator considers may affect the safety of the participant and/or outcome of the study.</w:t>
            </w:r>
          </w:p>
        </w:tc>
      </w:tr>
      <w:tr w:rsidR="003B74AE" w:rsidRPr="00D326F8" w14:paraId="601A8041"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3F" w14:textId="77777777" w:rsidR="005D672A" w:rsidRPr="00D326F8" w:rsidRDefault="005D672A" w:rsidP="005D672A">
            <w:pPr>
              <w:spacing w:before="120" w:after="120"/>
              <w:rPr>
                <w:rFonts w:eastAsia="MS Mincho"/>
                <w:bCs/>
              </w:rPr>
            </w:pPr>
          </w:p>
        </w:tc>
        <w:tc>
          <w:tcPr>
            <w:tcW w:w="3799" w:type="pct"/>
            <w:tcBorders>
              <w:top w:val="single" w:sz="4" w:space="0" w:color="auto"/>
              <w:left w:val="single" w:sz="4" w:space="0" w:color="auto"/>
              <w:bottom w:val="single" w:sz="4" w:space="0" w:color="auto"/>
              <w:right w:val="single" w:sz="4" w:space="0" w:color="auto"/>
            </w:tcBorders>
            <w:hideMark/>
          </w:tcPr>
          <w:p w14:paraId="601A8040" w14:textId="77777777" w:rsidR="005D672A" w:rsidRPr="00D326F8" w:rsidRDefault="003E23E4" w:rsidP="0057019A">
            <w:pPr>
              <w:numPr>
                <w:ilvl w:val="0"/>
                <w:numId w:val="21"/>
              </w:numPr>
              <w:spacing w:before="120" w:after="120" w:line="300" w:lineRule="atLeast"/>
              <w:ind w:left="257" w:hanging="257"/>
              <w:contextualSpacing/>
              <w:jc w:val="left"/>
              <w:rPr>
                <w:szCs w:val="24"/>
              </w:rPr>
            </w:pPr>
            <w:r w:rsidRPr="00D326F8">
              <w:rPr>
                <w:szCs w:val="24"/>
              </w:rPr>
              <w:t>Any condition, including findings in the laboratory tests, medical history, or other Screening assessments, that in the opinion of the Investigator constitutes an inappropriate risk or a contraindication for participation in the study or that could interfere with the study’s objectives, conduct, or evaluation.</w:t>
            </w:r>
          </w:p>
        </w:tc>
      </w:tr>
      <w:tr w:rsidR="003B74AE" w:rsidRPr="00D326F8" w14:paraId="601A8044"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hideMark/>
          </w:tcPr>
          <w:p w14:paraId="601A8042" w14:textId="77777777" w:rsidR="005D672A" w:rsidRPr="00D326F8" w:rsidRDefault="003E23E4" w:rsidP="005D672A">
            <w:pPr>
              <w:spacing w:before="120" w:after="120"/>
              <w:rPr>
                <w:rFonts w:eastAsia="MS Mincho"/>
                <w:bCs/>
              </w:rPr>
            </w:pPr>
            <w:r w:rsidRPr="00D326F8">
              <w:rPr>
                <w:rFonts w:eastAsia="MS Mincho"/>
              </w:rPr>
              <w:t>Prior/Concomitant Therapy</w:t>
            </w:r>
          </w:p>
        </w:tc>
        <w:tc>
          <w:tcPr>
            <w:tcW w:w="3799" w:type="pct"/>
            <w:tcBorders>
              <w:top w:val="single" w:sz="4" w:space="0" w:color="auto"/>
              <w:left w:val="single" w:sz="4" w:space="0" w:color="auto"/>
              <w:bottom w:val="single" w:sz="4" w:space="0" w:color="auto"/>
              <w:right w:val="single" w:sz="4" w:space="0" w:color="auto"/>
            </w:tcBorders>
            <w:hideMark/>
          </w:tcPr>
          <w:p w14:paraId="601A8043" w14:textId="77777777" w:rsidR="005D672A" w:rsidRPr="00D326F8" w:rsidRDefault="003E23E4" w:rsidP="0057019A">
            <w:pPr>
              <w:numPr>
                <w:ilvl w:val="0"/>
                <w:numId w:val="21"/>
              </w:numPr>
              <w:spacing w:before="120" w:after="120" w:line="300" w:lineRule="atLeast"/>
              <w:ind w:left="257" w:hanging="257"/>
              <w:contextualSpacing/>
              <w:jc w:val="left"/>
              <w:rPr>
                <w:szCs w:val="24"/>
              </w:rPr>
            </w:pPr>
            <w:r w:rsidRPr="00D326F8">
              <w:rPr>
                <w:szCs w:val="24"/>
              </w:rPr>
              <w:t>Moderate or strong inhibitors or inducers of CYP3A4/5, P-gp and CYP2C8 within 4 weeks prior to the first administration of study intervention.</w:t>
            </w:r>
          </w:p>
        </w:tc>
      </w:tr>
      <w:tr w:rsidR="003B74AE" w:rsidRPr="00D326F8" w14:paraId="601A8047"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45" w14:textId="77777777" w:rsidR="005D672A" w:rsidRPr="00D326F8" w:rsidRDefault="005D672A" w:rsidP="005D672A">
            <w:pPr>
              <w:spacing w:before="120" w:after="120"/>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46" w14:textId="77777777" w:rsidR="005D672A" w:rsidRPr="00D326F8" w:rsidRDefault="003E23E4" w:rsidP="0057019A">
            <w:pPr>
              <w:numPr>
                <w:ilvl w:val="0"/>
                <w:numId w:val="21"/>
              </w:numPr>
              <w:spacing w:before="120" w:after="120" w:line="300" w:lineRule="atLeast"/>
              <w:ind w:left="257" w:hanging="257"/>
              <w:contextualSpacing/>
              <w:jc w:val="left"/>
              <w:rPr>
                <w:rFonts w:eastAsia="MS Mincho"/>
              </w:rPr>
            </w:pPr>
            <w:r w:rsidRPr="00D326F8">
              <w:rPr>
                <w:szCs w:val="24"/>
              </w:rPr>
              <w:t xml:space="preserve">Use of any prescribed medicine or over-the-counter drug or dietary supplement, including herbal remedies, vitamins, and minerals, </w:t>
            </w:r>
            <w:proofErr w:type="gramStart"/>
            <w:r w:rsidRPr="00D326F8">
              <w:rPr>
                <w:szCs w:val="24"/>
              </w:rPr>
              <w:t>antacids</w:t>
            </w:r>
            <w:proofErr w:type="gramEnd"/>
            <w:r w:rsidRPr="00D326F8">
              <w:rPr>
                <w:szCs w:val="24"/>
              </w:rPr>
              <w:t xml:space="preserve"> and dietary supplements such as fish oils within 2 weeks or 5 times the half-life of the respective drug, whichever is longer, prior to the first administration of study intervention.</w:t>
            </w:r>
          </w:p>
        </w:tc>
      </w:tr>
      <w:tr w:rsidR="003B74AE" w:rsidRPr="00D326F8" w14:paraId="601A804B"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48" w14:textId="77777777" w:rsidR="005D672A" w:rsidRPr="00D326F8" w:rsidRDefault="005D672A" w:rsidP="005D672A">
            <w:pPr>
              <w:spacing w:before="120" w:after="120"/>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49" w14:textId="53835CD8" w:rsidR="005D672A" w:rsidRPr="00D326F8" w:rsidRDefault="003E23E4" w:rsidP="0057019A">
            <w:pPr>
              <w:numPr>
                <w:ilvl w:val="0"/>
                <w:numId w:val="21"/>
              </w:numPr>
              <w:spacing w:before="120" w:after="120" w:line="300" w:lineRule="atLeast"/>
              <w:ind w:left="257" w:hanging="257"/>
              <w:contextualSpacing/>
              <w:jc w:val="left"/>
              <w:rPr>
                <w:szCs w:val="24"/>
              </w:rPr>
            </w:pPr>
            <w:r w:rsidRPr="00D326F8">
              <w:rPr>
                <w:szCs w:val="24"/>
              </w:rPr>
              <w:t>Administration of live vaccines or live-attenuated virus vaccines within 3 months prior to Screening. Administration of other types of vaccines (e.g.</w:t>
            </w:r>
            <w:r w:rsidR="00B617D3" w:rsidRPr="00D326F8">
              <w:rPr>
                <w:szCs w:val="24"/>
              </w:rPr>
              <w:t>,</w:t>
            </w:r>
            <w:r w:rsidRPr="00D326F8">
              <w:rPr>
                <w:szCs w:val="24"/>
              </w:rPr>
              <w:t xml:space="preserve"> SARS-CoV-2 vaccines, final boost) is allowed </w:t>
            </w:r>
            <w:r w:rsidR="004D1526" w:rsidRPr="00D326F8">
              <w:rPr>
                <w:szCs w:val="24"/>
              </w:rPr>
              <w:t>until 1</w:t>
            </w:r>
            <w:r w:rsidR="00960A28" w:rsidRPr="00D326F8">
              <w:rPr>
                <w:szCs w:val="24"/>
              </w:rPr>
              <w:t> </w:t>
            </w:r>
            <w:r w:rsidR="004D1526" w:rsidRPr="00D326F8">
              <w:rPr>
                <w:szCs w:val="24"/>
              </w:rPr>
              <w:t xml:space="preserve">week </w:t>
            </w:r>
            <w:r w:rsidRPr="00D326F8">
              <w:rPr>
                <w:szCs w:val="24"/>
              </w:rPr>
              <w:t>before admission to CRU.</w:t>
            </w:r>
          </w:p>
          <w:p w14:paraId="601A804A" w14:textId="77777777" w:rsidR="005D672A" w:rsidRPr="00D326F8" w:rsidRDefault="003E23E4" w:rsidP="00D77174">
            <w:pPr>
              <w:spacing w:before="120" w:after="120"/>
              <w:ind w:left="255"/>
              <w:rPr>
                <w:rFonts w:eastAsia="MS Mincho"/>
              </w:rPr>
            </w:pPr>
            <w:r w:rsidRPr="00D326F8">
              <w:rPr>
                <w:rFonts w:eastAsia="MS Mincho"/>
              </w:rPr>
              <w:t>Note: In case of clinical symptoms, the participant should be symptom-free for at least 1</w:t>
            </w:r>
            <w:r w:rsidR="00960A28" w:rsidRPr="00D326F8">
              <w:rPr>
                <w:rFonts w:eastAsia="MS Mincho"/>
              </w:rPr>
              <w:t> </w:t>
            </w:r>
            <w:r w:rsidRPr="00D326F8">
              <w:rPr>
                <w:rFonts w:eastAsia="MS Mincho"/>
              </w:rPr>
              <w:t>week prior to admission to CRU.</w:t>
            </w:r>
          </w:p>
        </w:tc>
      </w:tr>
      <w:tr w:rsidR="003B74AE" w:rsidRPr="00D326F8" w14:paraId="601A804E"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hideMark/>
          </w:tcPr>
          <w:p w14:paraId="601A804C" w14:textId="77777777" w:rsidR="005D672A" w:rsidRPr="00D326F8" w:rsidRDefault="003E23E4" w:rsidP="005D672A">
            <w:pPr>
              <w:spacing w:before="120" w:after="120"/>
              <w:rPr>
                <w:rFonts w:eastAsia="MS Mincho"/>
              </w:rPr>
            </w:pPr>
            <w:r w:rsidRPr="00D326F8">
              <w:rPr>
                <w:rFonts w:eastAsia="MS Mincho"/>
              </w:rPr>
              <w:lastRenderedPageBreak/>
              <w:t>Prior/Concurrent Clinical Study Experience</w:t>
            </w:r>
          </w:p>
        </w:tc>
        <w:tc>
          <w:tcPr>
            <w:tcW w:w="3799" w:type="pct"/>
            <w:tcBorders>
              <w:top w:val="single" w:sz="4" w:space="0" w:color="auto"/>
              <w:left w:val="single" w:sz="4" w:space="0" w:color="auto"/>
              <w:bottom w:val="single" w:sz="4" w:space="0" w:color="auto"/>
              <w:right w:val="single" w:sz="4" w:space="0" w:color="auto"/>
            </w:tcBorders>
            <w:hideMark/>
          </w:tcPr>
          <w:p w14:paraId="601A804D" w14:textId="7777777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Participation in the treatment phase of a clinical study within 60 days or 5 half-lives after last dosing of the previous study drug, whatever is longer, before administration of study drug.</w:t>
            </w:r>
          </w:p>
        </w:tc>
      </w:tr>
      <w:tr w:rsidR="003B74AE" w:rsidRPr="00D326F8" w14:paraId="601A8051"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hideMark/>
          </w:tcPr>
          <w:p w14:paraId="601A804F" w14:textId="77777777" w:rsidR="005D672A" w:rsidRPr="00D326F8" w:rsidRDefault="003E23E4" w:rsidP="005D672A">
            <w:pPr>
              <w:spacing w:before="120" w:after="120"/>
              <w:rPr>
                <w:rFonts w:eastAsia="MS Mincho"/>
              </w:rPr>
            </w:pPr>
            <w:r w:rsidRPr="00D326F8">
              <w:rPr>
                <w:rFonts w:eastAsia="MS Mincho"/>
              </w:rPr>
              <w:t>Diagnostic Assessments</w:t>
            </w:r>
          </w:p>
        </w:tc>
        <w:tc>
          <w:tcPr>
            <w:tcW w:w="3799" w:type="pct"/>
            <w:tcBorders>
              <w:top w:val="single" w:sz="4" w:space="0" w:color="auto"/>
              <w:left w:val="single" w:sz="4" w:space="0" w:color="auto"/>
              <w:bottom w:val="single" w:sz="4" w:space="0" w:color="auto"/>
              <w:right w:val="single" w:sz="4" w:space="0" w:color="auto"/>
            </w:tcBorders>
            <w:hideMark/>
          </w:tcPr>
          <w:p w14:paraId="601A8050" w14:textId="370AACEA"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Supine systolic blood pressure &gt;</w:t>
            </w:r>
            <w:r w:rsidR="00BA0A59" w:rsidRPr="00D326F8">
              <w:rPr>
                <w:szCs w:val="24"/>
              </w:rPr>
              <w:t> </w:t>
            </w:r>
            <w:r w:rsidRPr="00D326F8">
              <w:rPr>
                <w:szCs w:val="24"/>
              </w:rPr>
              <w:t>140 or &lt;</w:t>
            </w:r>
            <w:r w:rsidR="00BA0A59" w:rsidRPr="00D326F8">
              <w:rPr>
                <w:szCs w:val="24"/>
              </w:rPr>
              <w:t> </w:t>
            </w:r>
            <w:r w:rsidRPr="00D326F8">
              <w:rPr>
                <w:szCs w:val="24"/>
              </w:rPr>
              <w:t>90 mmHg, diastolic blood pressure &gt;</w:t>
            </w:r>
            <w:r w:rsidR="00BA0A59" w:rsidRPr="00D326F8">
              <w:rPr>
                <w:szCs w:val="24"/>
              </w:rPr>
              <w:t> </w:t>
            </w:r>
            <w:r w:rsidRPr="00D326F8">
              <w:rPr>
                <w:szCs w:val="24"/>
              </w:rPr>
              <w:t>90 or &lt;</w:t>
            </w:r>
            <w:r w:rsidR="00BA0A59" w:rsidRPr="00D326F8">
              <w:rPr>
                <w:szCs w:val="24"/>
              </w:rPr>
              <w:t> </w:t>
            </w:r>
            <w:r w:rsidRPr="00D326F8">
              <w:rPr>
                <w:szCs w:val="24"/>
              </w:rPr>
              <w:t>50</w:t>
            </w:r>
            <w:r w:rsidR="00BA0A59" w:rsidRPr="00D326F8">
              <w:rPr>
                <w:szCs w:val="24"/>
              </w:rPr>
              <w:t> </w:t>
            </w:r>
            <w:r w:rsidRPr="00D326F8">
              <w:rPr>
                <w:szCs w:val="24"/>
              </w:rPr>
              <w:t>mmHg, and pulse rate &gt;</w:t>
            </w:r>
            <w:r w:rsidR="00BA0A59" w:rsidRPr="00D326F8">
              <w:rPr>
                <w:szCs w:val="24"/>
              </w:rPr>
              <w:t> </w:t>
            </w:r>
            <w:r w:rsidRPr="00D326F8">
              <w:rPr>
                <w:szCs w:val="24"/>
              </w:rPr>
              <w:t>90 or &lt;</w:t>
            </w:r>
            <w:r w:rsidR="00BA0A59" w:rsidRPr="00D326F8">
              <w:rPr>
                <w:szCs w:val="24"/>
              </w:rPr>
              <w:t> </w:t>
            </w:r>
            <w:r w:rsidRPr="00D326F8">
              <w:rPr>
                <w:szCs w:val="24"/>
              </w:rPr>
              <w:t>50</w:t>
            </w:r>
            <w:r w:rsidR="00BA0A59" w:rsidRPr="00D326F8">
              <w:rPr>
                <w:szCs w:val="24"/>
              </w:rPr>
              <w:t> </w:t>
            </w:r>
            <w:r w:rsidRPr="00D326F8">
              <w:rPr>
                <w:szCs w:val="24"/>
              </w:rPr>
              <w:t xml:space="preserve">beats per minute at Screening and at </w:t>
            </w:r>
            <w:r w:rsidR="00BA0A59" w:rsidRPr="00D326F8">
              <w:rPr>
                <w:szCs w:val="24"/>
              </w:rPr>
              <w:t>a</w:t>
            </w:r>
            <w:r w:rsidRPr="00D326F8">
              <w:rPr>
                <w:szCs w:val="24"/>
              </w:rPr>
              <w:t>dmission on Day</w:t>
            </w:r>
            <w:r w:rsidR="00BA0A59" w:rsidRPr="00D326F8">
              <w:rPr>
                <w:szCs w:val="24"/>
              </w:rPr>
              <w:t> </w:t>
            </w:r>
            <w:r w:rsidRPr="00D326F8">
              <w:rPr>
                <w:szCs w:val="24"/>
              </w:rPr>
              <w:t>-1 (</w:t>
            </w:r>
            <w:r w:rsidR="00BA0A59" w:rsidRPr="00D326F8">
              <w:rPr>
                <w:szCs w:val="24"/>
              </w:rPr>
              <w:t>a</w:t>
            </w:r>
            <w:r w:rsidRPr="00D326F8">
              <w:rPr>
                <w:szCs w:val="24"/>
              </w:rPr>
              <w:t>ny abnormal blood pressure results may be repeated once and if the repeat result is within the normal range, it is not considered to have met the exclusion criterion)</w:t>
            </w:r>
            <w:r w:rsidR="00BA0A59" w:rsidRPr="00D326F8">
              <w:rPr>
                <w:szCs w:val="24"/>
              </w:rPr>
              <w:t xml:space="preserve"> (Section </w:t>
            </w:r>
            <w:r w:rsidR="00BA0A59" w:rsidRPr="00D326F8">
              <w:rPr>
                <w:szCs w:val="24"/>
              </w:rPr>
              <w:fldChar w:fldCharType="begin"/>
            </w:r>
            <w:r w:rsidR="00BA0A59" w:rsidRPr="00D326F8">
              <w:rPr>
                <w:szCs w:val="24"/>
              </w:rPr>
              <w:instrText xml:space="preserve"> REF _Ref74470022 \r \h </w:instrText>
            </w:r>
            <w:r w:rsidR="00CE2791" w:rsidRPr="00D326F8">
              <w:rPr>
                <w:szCs w:val="24"/>
              </w:rPr>
              <w:instrText xml:space="preserve"> \* MERGEFORMAT </w:instrText>
            </w:r>
            <w:r w:rsidR="00BA0A59" w:rsidRPr="00D326F8">
              <w:rPr>
                <w:szCs w:val="24"/>
              </w:rPr>
            </w:r>
            <w:r w:rsidR="00BA0A59" w:rsidRPr="00D326F8">
              <w:rPr>
                <w:szCs w:val="24"/>
              </w:rPr>
              <w:fldChar w:fldCharType="separate"/>
            </w:r>
            <w:r w:rsidR="00173A27">
              <w:rPr>
                <w:szCs w:val="24"/>
              </w:rPr>
              <w:t>8.2.2</w:t>
            </w:r>
            <w:r w:rsidR="00BA0A59" w:rsidRPr="00D326F8">
              <w:rPr>
                <w:szCs w:val="24"/>
              </w:rPr>
              <w:fldChar w:fldCharType="end"/>
            </w:r>
            <w:r w:rsidR="00BA0A59" w:rsidRPr="00D326F8">
              <w:rPr>
                <w:szCs w:val="24"/>
              </w:rPr>
              <w:t>)</w:t>
            </w:r>
            <w:r w:rsidR="002C5F7D" w:rsidRPr="00D326F8">
              <w:rPr>
                <w:szCs w:val="24"/>
              </w:rPr>
              <w:t>.</w:t>
            </w:r>
          </w:p>
        </w:tc>
      </w:tr>
      <w:tr w:rsidR="003B74AE" w:rsidRPr="00D326F8" w14:paraId="601A8054"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52" w14:textId="77777777" w:rsidR="005D672A" w:rsidRPr="00D326F8" w:rsidRDefault="005D672A" w:rsidP="005D672A">
            <w:pPr>
              <w:spacing w:before="120" w:after="120"/>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53" w14:textId="7CD028C3"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12-Lead ECG showing a QTcF &gt;</w:t>
            </w:r>
            <w:r w:rsidR="00BA0A59" w:rsidRPr="00D326F8">
              <w:rPr>
                <w:szCs w:val="24"/>
              </w:rPr>
              <w:t> </w:t>
            </w:r>
            <w:r w:rsidRPr="00D326F8">
              <w:rPr>
                <w:szCs w:val="24"/>
              </w:rPr>
              <w:t>450</w:t>
            </w:r>
            <w:r w:rsidR="00BA0A59" w:rsidRPr="00D326F8">
              <w:rPr>
                <w:szCs w:val="24"/>
              </w:rPr>
              <w:t> </w:t>
            </w:r>
            <w:r w:rsidRPr="00D326F8">
              <w:rPr>
                <w:szCs w:val="24"/>
              </w:rPr>
              <w:t>ms, PR &gt;</w:t>
            </w:r>
            <w:r w:rsidR="00BA0A59" w:rsidRPr="00D326F8">
              <w:rPr>
                <w:szCs w:val="24"/>
              </w:rPr>
              <w:t> </w:t>
            </w:r>
            <w:r w:rsidRPr="00D326F8">
              <w:rPr>
                <w:szCs w:val="24"/>
              </w:rPr>
              <w:t>215</w:t>
            </w:r>
            <w:r w:rsidR="00BA0A59" w:rsidRPr="00D326F8">
              <w:rPr>
                <w:szCs w:val="24"/>
              </w:rPr>
              <w:t> </w:t>
            </w:r>
            <w:r w:rsidRPr="00D326F8">
              <w:rPr>
                <w:szCs w:val="24"/>
              </w:rPr>
              <w:t>ms, or QRS &gt;</w:t>
            </w:r>
            <w:r w:rsidR="00BA0A59" w:rsidRPr="00D326F8">
              <w:rPr>
                <w:szCs w:val="24"/>
              </w:rPr>
              <w:t> </w:t>
            </w:r>
            <w:r w:rsidRPr="00D326F8">
              <w:rPr>
                <w:szCs w:val="24"/>
              </w:rPr>
              <w:t>120</w:t>
            </w:r>
            <w:r w:rsidR="00BA0A59" w:rsidRPr="00D326F8">
              <w:rPr>
                <w:szCs w:val="24"/>
              </w:rPr>
              <w:t> </w:t>
            </w:r>
            <w:r w:rsidRPr="00D326F8">
              <w:rPr>
                <w:szCs w:val="24"/>
              </w:rPr>
              <w:t xml:space="preserve">ms at Screening and at </w:t>
            </w:r>
            <w:r w:rsidR="00BA0A59" w:rsidRPr="00D326F8">
              <w:rPr>
                <w:szCs w:val="24"/>
              </w:rPr>
              <w:t>a</w:t>
            </w:r>
            <w:r w:rsidRPr="00D326F8">
              <w:rPr>
                <w:szCs w:val="24"/>
              </w:rPr>
              <w:t>dmission on Day</w:t>
            </w:r>
            <w:r w:rsidR="00BA0A59" w:rsidRPr="00D326F8">
              <w:rPr>
                <w:szCs w:val="24"/>
              </w:rPr>
              <w:t> </w:t>
            </w:r>
            <w:r w:rsidRPr="00D326F8">
              <w:rPr>
                <w:szCs w:val="24"/>
              </w:rPr>
              <w:t>-1.</w:t>
            </w:r>
          </w:p>
        </w:tc>
      </w:tr>
      <w:tr w:rsidR="003B74AE" w:rsidRPr="00D326F8" w14:paraId="601A8057"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55" w14:textId="77777777" w:rsidR="005D672A" w:rsidRPr="00D326F8" w:rsidRDefault="005D672A" w:rsidP="005D672A">
            <w:pPr>
              <w:spacing w:before="120" w:after="120"/>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56" w14:textId="7777777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Creatinine clearance estimated glomerular filtration rate according to the Chronic Kidney Disease Epidemiology Collaboration Creatinine Equation (2009) &lt;</w:t>
            </w:r>
            <w:r w:rsidR="00BA0A59" w:rsidRPr="00D326F8">
              <w:rPr>
                <w:szCs w:val="24"/>
              </w:rPr>
              <w:t> </w:t>
            </w:r>
            <w:r w:rsidRPr="00D326F8">
              <w:rPr>
                <w:szCs w:val="24"/>
              </w:rPr>
              <w:t>90</w:t>
            </w:r>
            <w:r w:rsidR="00BA0A59" w:rsidRPr="00D326F8">
              <w:rPr>
                <w:szCs w:val="24"/>
              </w:rPr>
              <w:t> </w:t>
            </w:r>
            <w:r w:rsidRPr="00D326F8">
              <w:rPr>
                <w:szCs w:val="24"/>
              </w:rPr>
              <w:t>mL/min at Screening.</w:t>
            </w:r>
          </w:p>
        </w:tc>
      </w:tr>
      <w:tr w:rsidR="003B74AE" w:rsidRPr="00D326F8" w14:paraId="601A805A"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58" w14:textId="77777777" w:rsidR="005D672A" w:rsidRPr="00D326F8" w:rsidRDefault="005D672A" w:rsidP="005D672A">
            <w:pPr>
              <w:spacing w:before="120" w:after="120"/>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59" w14:textId="58B8C490"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 xml:space="preserve">History of alcoholism or drug abuse within 2 years prior to Screening, or positive for drugs of abuse, nicotine/cotinine or alcohol by the laboratory assays conducted during Screening and on </w:t>
            </w:r>
            <w:r w:rsidR="00BA0A59" w:rsidRPr="00D326F8">
              <w:rPr>
                <w:szCs w:val="24"/>
              </w:rPr>
              <w:t>a</w:t>
            </w:r>
            <w:r w:rsidRPr="00D326F8">
              <w:rPr>
                <w:szCs w:val="24"/>
              </w:rPr>
              <w:t>dmission on Day -1.</w:t>
            </w:r>
          </w:p>
        </w:tc>
      </w:tr>
      <w:tr w:rsidR="003B74AE" w:rsidRPr="00D326F8" w14:paraId="601A805D"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5B"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5C" w14:textId="2B09ADC8"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Positive for a) hepatitis B surface antigen, hepatitis B core antibody, hepatitis C antibody, or human immunodeficiency virus</w:t>
            </w:r>
            <w:r w:rsidR="005015A2" w:rsidRPr="00D326F8">
              <w:rPr>
                <w:szCs w:val="24"/>
              </w:rPr>
              <w:t> </w:t>
            </w:r>
            <w:r w:rsidRPr="00D326F8">
              <w:rPr>
                <w:szCs w:val="24"/>
              </w:rPr>
              <w:t xml:space="preserve">I and II tests at Screening; b) SARS-CoV-2 </w:t>
            </w:r>
            <w:r w:rsidR="004D1526" w:rsidRPr="00D326F8">
              <w:rPr>
                <w:szCs w:val="24"/>
              </w:rPr>
              <w:t>at Screening</w:t>
            </w:r>
            <w:r w:rsidR="003A1489" w:rsidRPr="00D326F8">
              <w:rPr>
                <w:szCs w:val="24"/>
              </w:rPr>
              <w:t xml:space="preserve"> (by rapid antigen test)</w:t>
            </w:r>
            <w:r w:rsidR="00626027" w:rsidRPr="00D326F8">
              <w:rPr>
                <w:szCs w:val="24"/>
              </w:rPr>
              <w:t xml:space="preserve"> or</w:t>
            </w:r>
            <w:r w:rsidRPr="00D326F8">
              <w:rPr>
                <w:szCs w:val="24"/>
              </w:rPr>
              <w:t xml:space="preserve"> </w:t>
            </w:r>
            <w:r w:rsidR="00626027" w:rsidRPr="00D326F8">
              <w:rPr>
                <w:szCs w:val="24"/>
              </w:rPr>
              <w:t xml:space="preserve">at </w:t>
            </w:r>
            <w:r w:rsidR="00C340D4" w:rsidRPr="00D326F8">
              <w:rPr>
                <w:szCs w:val="24"/>
              </w:rPr>
              <w:t>a</w:t>
            </w:r>
            <w:r w:rsidR="00626027" w:rsidRPr="00D326F8">
              <w:rPr>
                <w:szCs w:val="24"/>
              </w:rPr>
              <w:t xml:space="preserve">dmission on </w:t>
            </w:r>
            <w:r w:rsidRPr="00D326F8">
              <w:rPr>
                <w:szCs w:val="24"/>
              </w:rPr>
              <w:t>Day </w:t>
            </w:r>
            <w:r w:rsidRPr="00D326F8">
              <w:rPr>
                <w:szCs w:val="24"/>
              </w:rPr>
              <w:noBreakHyphen/>
              <w:t>1 (</w:t>
            </w:r>
            <w:r w:rsidR="00C340D4" w:rsidRPr="00D326F8">
              <w:rPr>
                <w:szCs w:val="24"/>
              </w:rPr>
              <w:t xml:space="preserve">by </w:t>
            </w:r>
            <w:r w:rsidRPr="00D326F8">
              <w:rPr>
                <w:szCs w:val="24"/>
              </w:rPr>
              <w:t>PCR test).</w:t>
            </w:r>
          </w:p>
        </w:tc>
      </w:tr>
      <w:tr w:rsidR="003B74AE" w:rsidRPr="00D326F8" w14:paraId="601A8064"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5E"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5F" w14:textId="2D5C8F2D" w:rsidR="005D672A" w:rsidRPr="00D326F8" w:rsidRDefault="003E23E4" w:rsidP="0057019A">
            <w:pPr>
              <w:numPr>
                <w:ilvl w:val="0"/>
                <w:numId w:val="21"/>
              </w:numPr>
              <w:spacing w:before="0" w:after="120" w:line="300" w:lineRule="atLeast"/>
              <w:ind w:left="386" w:hanging="386"/>
              <w:jc w:val="left"/>
              <w:rPr>
                <w:szCs w:val="24"/>
              </w:rPr>
            </w:pPr>
            <w:r w:rsidRPr="00D326F8">
              <w:rPr>
                <w:szCs w:val="24"/>
              </w:rPr>
              <w:t>Clinically relevant findings (excluding minor, not clinically relevant excursions from normal ranges, as judged by the investigator) at Screening in biochemistry, hematology, coagulation, and urinalysis examinations for the age of the participant, as judged by the Investigator:</w:t>
            </w:r>
          </w:p>
          <w:p w14:paraId="601A8060" w14:textId="77777777" w:rsidR="005D672A" w:rsidRPr="00D326F8" w:rsidRDefault="003E23E4" w:rsidP="0057019A">
            <w:pPr>
              <w:numPr>
                <w:ilvl w:val="0"/>
                <w:numId w:val="22"/>
              </w:numPr>
              <w:spacing w:before="120" w:after="120" w:line="300" w:lineRule="atLeast"/>
              <w:ind w:left="668" w:hanging="283"/>
              <w:contextualSpacing/>
              <w:jc w:val="left"/>
              <w:rPr>
                <w:szCs w:val="24"/>
              </w:rPr>
            </w:pPr>
            <w:r w:rsidRPr="00D326F8">
              <w:rPr>
                <w:szCs w:val="24"/>
              </w:rPr>
              <w:t xml:space="preserve">Alanine aminotransferase, aspartate aminotransferase: </w:t>
            </w:r>
            <w:r w:rsidR="00C340D4" w:rsidRPr="00D326F8">
              <w:rPr>
                <w:szCs w:val="24"/>
              </w:rPr>
              <w:t>should not exceed the ULN ×</w:t>
            </w:r>
            <w:r w:rsidR="00BA0A59" w:rsidRPr="00D326F8">
              <w:rPr>
                <w:szCs w:val="24"/>
              </w:rPr>
              <w:t> </w:t>
            </w:r>
            <w:r w:rsidR="00C340D4" w:rsidRPr="00D326F8">
              <w:rPr>
                <w:szCs w:val="24"/>
              </w:rPr>
              <w:t>1.1</w:t>
            </w:r>
          </w:p>
          <w:p w14:paraId="601A8061" w14:textId="77777777" w:rsidR="005D672A" w:rsidRPr="00D326F8" w:rsidRDefault="003E23E4" w:rsidP="0057019A">
            <w:pPr>
              <w:numPr>
                <w:ilvl w:val="0"/>
                <w:numId w:val="22"/>
              </w:numPr>
              <w:spacing w:before="120" w:after="120" w:line="300" w:lineRule="atLeast"/>
              <w:ind w:left="668" w:hanging="283"/>
              <w:contextualSpacing/>
              <w:jc w:val="left"/>
              <w:rPr>
                <w:szCs w:val="24"/>
              </w:rPr>
            </w:pPr>
            <w:r w:rsidRPr="00D326F8">
              <w:rPr>
                <w:szCs w:val="24"/>
              </w:rPr>
              <w:t>Creatinine: above normal limits</w:t>
            </w:r>
          </w:p>
          <w:p w14:paraId="601A8062" w14:textId="77777777" w:rsidR="005D672A" w:rsidRPr="00D326F8" w:rsidRDefault="003E23E4" w:rsidP="0057019A">
            <w:pPr>
              <w:numPr>
                <w:ilvl w:val="0"/>
                <w:numId w:val="22"/>
              </w:numPr>
              <w:spacing w:before="120" w:after="120" w:line="300" w:lineRule="atLeast"/>
              <w:ind w:left="668" w:hanging="283"/>
              <w:contextualSpacing/>
              <w:jc w:val="left"/>
              <w:rPr>
                <w:szCs w:val="24"/>
              </w:rPr>
            </w:pPr>
            <w:r w:rsidRPr="00D326F8">
              <w:rPr>
                <w:szCs w:val="24"/>
              </w:rPr>
              <w:t>Absolute lymphocyte count, absolute neutrophil count</w:t>
            </w:r>
            <w:r w:rsidR="004B7B2B" w:rsidRPr="00D326F8">
              <w:rPr>
                <w:szCs w:val="24"/>
              </w:rPr>
              <w:t>, absolute platelet count</w:t>
            </w:r>
            <w:r w:rsidRPr="00D326F8">
              <w:rPr>
                <w:szCs w:val="24"/>
              </w:rPr>
              <w:t>: below limit of reference range</w:t>
            </w:r>
          </w:p>
          <w:p w14:paraId="601A8063" w14:textId="77777777" w:rsidR="005D672A" w:rsidRPr="00D326F8" w:rsidRDefault="003E23E4" w:rsidP="0057019A">
            <w:pPr>
              <w:numPr>
                <w:ilvl w:val="0"/>
                <w:numId w:val="22"/>
              </w:numPr>
              <w:spacing w:before="120" w:after="120" w:line="300" w:lineRule="atLeast"/>
              <w:ind w:left="668" w:hanging="283"/>
              <w:contextualSpacing/>
              <w:jc w:val="left"/>
              <w:rPr>
                <w:szCs w:val="24"/>
              </w:rPr>
            </w:pPr>
            <w:r w:rsidRPr="00D326F8">
              <w:rPr>
                <w:szCs w:val="24"/>
              </w:rPr>
              <w:t>Amylase and lipase above the upper limit of normal and/or signs/symptoms of pancreatitis.</w:t>
            </w:r>
          </w:p>
        </w:tc>
      </w:tr>
      <w:tr w:rsidR="003B74AE" w:rsidRPr="00D326F8" w14:paraId="601A8067"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hideMark/>
          </w:tcPr>
          <w:p w14:paraId="601A8065" w14:textId="77777777" w:rsidR="005D672A" w:rsidRPr="00D326F8" w:rsidRDefault="003E23E4" w:rsidP="005D672A">
            <w:pPr>
              <w:tabs>
                <w:tab w:val="left" w:pos="288"/>
                <w:tab w:val="left" w:pos="576"/>
                <w:tab w:val="left" w:pos="864"/>
              </w:tabs>
              <w:spacing w:before="120" w:after="120"/>
              <w:jc w:val="left"/>
              <w:rPr>
                <w:rFonts w:eastAsia="MS Mincho"/>
              </w:rPr>
            </w:pPr>
            <w:r w:rsidRPr="00D326F8">
              <w:rPr>
                <w:rFonts w:eastAsia="MS Mincho"/>
              </w:rPr>
              <w:lastRenderedPageBreak/>
              <w:t>Other Exclusions</w:t>
            </w:r>
          </w:p>
        </w:tc>
        <w:tc>
          <w:tcPr>
            <w:tcW w:w="3799" w:type="pct"/>
            <w:tcBorders>
              <w:top w:val="single" w:sz="4" w:space="0" w:color="auto"/>
              <w:left w:val="single" w:sz="4" w:space="0" w:color="auto"/>
              <w:bottom w:val="single" w:sz="4" w:space="0" w:color="auto"/>
              <w:right w:val="single" w:sz="4" w:space="0" w:color="auto"/>
            </w:tcBorders>
            <w:hideMark/>
          </w:tcPr>
          <w:p w14:paraId="601A8066" w14:textId="01F10410"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Contraindication to carbamazepine</w:t>
            </w:r>
            <w:r w:rsidR="00960A28" w:rsidRPr="00D326F8">
              <w:rPr>
                <w:szCs w:val="24"/>
              </w:rPr>
              <w:t>(</w:t>
            </w:r>
            <w:r w:rsidR="00A60808" w:rsidRPr="00D326F8">
              <w:rPr>
                <w:szCs w:val="24"/>
              </w:rPr>
              <w:t xml:space="preserve">refer to </w:t>
            </w:r>
            <w:hyperlink w:anchor="_Carbamazepine_USPI._https://www.dru" w:history="1">
              <w:r w:rsidR="00960A28" w:rsidRPr="00D326F8">
                <w:rPr>
                  <w:rStyle w:val="Hyperlink"/>
                  <w:color w:val="auto"/>
                  <w:szCs w:val="24"/>
                </w:rPr>
                <w:t>Carbamazepine USPI</w:t>
              </w:r>
            </w:hyperlink>
            <w:r w:rsidRPr="00D326F8">
              <w:rPr>
                <w:szCs w:val="24"/>
              </w:rPr>
              <w:t xml:space="preserve"> and</w:t>
            </w:r>
            <w:r w:rsidR="00960A28" w:rsidRPr="00D326F8">
              <w:rPr>
                <w:szCs w:val="24"/>
              </w:rPr>
              <w:t xml:space="preserve"> </w:t>
            </w:r>
            <w:hyperlink w:anchor="_Carbamazepine_SmPC._" w:history="1">
              <w:r w:rsidR="00960A28" w:rsidRPr="00D326F8">
                <w:rPr>
                  <w:rStyle w:val="Hyperlink"/>
                  <w:color w:val="auto"/>
                  <w:szCs w:val="24"/>
                </w:rPr>
                <w:t>SmPC</w:t>
              </w:r>
            </w:hyperlink>
            <w:r w:rsidRPr="00D326F8">
              <w:rPr>
                <w:szCs w:val="24"/>
              </w:rPr>
              <w:t>)</w:t>
            </w:r>
            <w:r w:rsidR="00A706E4" w:rsidRPr="00D326F8">
              <w:rPr>
                <w:szCs w:val="24"/>
              </w:rPr>
              <w:t xml:space="preserve">: hypersensitivity to carbamazepine or structurally related drugs (e.g., tricyclic antidepressants), atrioventricular block, a history of bone marrow depression or a history of hepatic </w:t>
            </w:r>
            <w:proofErr w:type="spellStart"/>
            <w:r w:rsidR="00A706E4" w:rsidRPr="00D326F8">
              <w:rPr>
                <w:szCs w:val="24"/>
              </w:rPr>
              <w:t>porphyrias</w:t>
            </w:r>
            <w:proofErr w:type="spellEnd"/>
            <w:r w:rsidR="00A706E4" w:rsidRPr="00D326F8">
              <w:rPr>
                <w:szCs w:val="24"/>
              </w:rPr>
              <w:t xml:space="preserve"> (e.g., acute intermittent porphyria, variegate porphyria, porphyria cutanea </w:t>
            </w:r>
            <w:proofErr w:type="spellStart"/>
            <w:r w:rsidR="00A706E4" w:rsidRPr="00D326F8">
              <w:rPr>
                <w:szCs w:val="24"/>
              </w:rPr>
              <w:t>tarda</w:t>
            </w:r>
            <w:proofErr w:type="spellEnd"/>
            <w:r w:rsidR="00A706E4" w:rsidRPr="00D326F8">
              <w:rPr>
                <w:szCs w:val="24"/>
              </w:rPr>
              <w:t>), drug interactions (e.g., coadministration with monoamine oxidase inhibitors or with</w:t>
            </w:r>
            <w:r w:rsidR="00A706E4" w:rsidRPr="00D326F8">
              <w:rPr>
                <w:rFonts w:eastAsiaTheme="minorEastAsia"/>
                <w:szCs w:val="24"/>
              </w:rPr>
              <w:t xml:space="preserve"> CYP3A4 inhibitors/inducers</w:t>
            </w:r>
            <w:r w:rsidR="00A706E4" w:rsidRPr="00D326F8">
              <w:rPr>
                <w:szCs w:val="24"/>
              </w:rPr>
              <w:t>).</w:t>
            </w:r>
          </w:p>
        </w:tc>
      </w:tr>
      <w:tr w:rsidR="003B74AE" w:rsidRPr="00D326F8" w14:paraId="601A806A"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68"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69" w14:textId="7777777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Carriers of HLA-B* 1502 or HLA-A* 3101.</w:t>
            </w:r>
          </w:p>
        </w:tc>
      </w:tr>
      <w:tr w:rsidR="003B74AE" w:rsidRPr="00D326F8" w14:paraId="601A806D"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6B"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6C" w14:textId="5A51F8BD"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 xml:space="preserve">Han Chinese, </w:t>
            </w:r>
            <w:proofErr w:type="gramStart"/>
            <w:r w:rsidRPr="00D326F8">
              <w:rPr>
                <w:szCs w:val="24"/>
              </w:rPr>
              <w:t>Thai</w:t>
            </w:r>
            <w:proofErr w:type="gramEnd"/>
            <w:r w:rsidRPr="00D326F8">
              <w:rPr>
                <w:szCs w:val="24"/>
              </w:rPr>
              <w:t xml:space="preserve"> and other Asians, (e.g., Philippines, Malayans, South Asian Indians)</w:t>
            </w:r>
            <w:r w:rsidR="002C5F7D" w:rsidRPr="00D326F8">
              <w:rPr>
                <w:szCs w:val="24"/>
              </w:rPr>
              <w:t>.</w:t>
            </w:r>
          </w:p>
        </w:tc>
      </w:tr>
      <w:tr w:rsidR="003B74AE" w:rsidRPr="00D326F8" w14:paraId="601A8070"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6E"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6F" w14:textId="7777777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Donation or loss of more than 450 mL of blood in the 60 days prior to Screening, donation of plasma from 2 weeks prior to Screening, or platelets from 6 weeks prior to Screening.</w:t>
            </w:r>
          </w:p>
        </w:tc>
      </w:tr>
      <w:tr w:rsidR="003B74AE" w:rsidRPr="00D326F8" w14:paraId="601A8073"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71"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72" w14:textId="6D1ACFE1"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 xml:space="preserve">Excessive consumption of xanthine-containing food or beverages (&gt; 5 cups of coffee or equivalent a day) or inability to stop consuming caffeine at Screening and at </w:t>
            </w:r>
            <w:r w:rsidR="00BA0A59" w:rsidRPr="00D326F8">
              <w:rPr>
                <w:szCs w:val="24"/>
              </w:rPr>
              <w:t>a</w:t>
            </w:r>
            <w:r w:rsidRPr="00D326F8">
              <w:rPr>
                <w:szCs w:val="24"/>
              </w:rPr>
              <w:t>dmission on Day </w:t>
            </w:r>
            <w:r w:rsidRPr="00D326F8">
              <w:rPr>
                <w:szCs w:val="24"/>
              </w:rPr>
              <w:noBreakHyphen/>
              <w:t>1.</w:t>
            </w:r>
          </w:p>
        </w:tc>
      </w:tr>
      <w:tr w:rsidR="003B74AE" w:rsidRPr="00D326F8" w14:paraId="601A8076"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74"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75" w14:textId="6C54E60C"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 xml:space="preserve">Consumption of an average weekly alcohol intake of &gt; 14 units/week for men or &gt; 7 units/week for women. </w:t>
            </w:r>
            <w:r w:rsidR="006D695D" w:rsidRPr="00D326F8">
              <w:rPr>
                <w:szCs w:val="24"/>
              </w:rPr>
              <w:t>1 </w:t>
            </w:r>
            <w:r w:rsidRPr="00D326F8">
              <w:rPr>
                <w:szCs w:val="24"/>
              </w:rPr>
              <w:t>unit (12 g) of alcohol equals ½ pint (285 mL) of beer or lager, 1 glass (125 mL) of wine, or 1/6 gill (25 mL) of spirits.</w:t>
            </w:r>
          </w:p>
        </w:tc>
      </w:tr>
      <w:tr w:rsidR="003B74AE" w:rsidRPr="00D326F8" w14:paraId="601A8079"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77"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78" w14:textId="7777777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Consumption of alcohol from 48 hours prior to first administration of study intervention.</w:t>
            </w:r>
          </w:p>
        </w:tc>
      </w:tr>
      <w:tr w:rsidR="003B74AE" w:rsidRPr="00D326F8" w14:paraId="601A807C"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7A"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7B" w14:textId="38A5E08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 xml:space="preserve">Smoker (cigarettes, pipes, cigars, or others) or former smoker who stopped smoking for less than 6 months before the time of the Screening </w:t>
            </w:r>
            <w:r w:rsidR="002C5F7D" w:rsidRPr="00D326F8">
              <w:rPr>
                <w:szCs w:val="24"/>
              </w:rPr>
              <w:t>v</w:t>
            </w:r>
            <w:r w:rsidRPr="00D326F8">
              <w:rPr>
                <w:szCs w:val="24"/>
              </w:rPr>
              <w:t>isit.</w:t>
            </w:r>
          </w:p>
        </w:tc>
      </w:tr>
      <w:tr w:rsidR="003B74AE" w:rsidRPr="00D326F8" w14:paraId="601A807F"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7D"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7E" w14:textId="372A8E20"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 xml:space="preserve">Intake of grapefruit, Seville orange, pomelos, grapefruit hybrids, exotic citrus fruit, cranberries or juices of these fruits, or St John’s Wort, from 14 days prior to </w:t>
            </w:r>
            <w:r w:rsidR="00BA0A59" w:rsidRPr="00D326F8">
              <w:rPr>
                <w:szCs w:val="24"/>
              </w:rPr>
              <w:t>a</w:t>
            </w:r>
            <w:r w:rsidRPr="00D326F8">
              <w:rPr>
                <w:szCs w:val="24"/>
              </w:rPr>
              <w:t>dmission on Day</w:t>
            </w:r>
            <w:r w:rsidR="005015A2" w:rsidRPr="00D326F8">
              <w:rPr>
                <w:szCs w:val="24"/>
              </w:rPr>
              <w:t> </w:t>
            </w:r>
            <w:r w:rsidRPr="00D326F8">
              <w:rPr>
                <w:szCs w:val="24"/>
              </w:rPr>
              <w:t>-1.</w:t>
            </w:r>
          </w:p>
        </w:tc>
      </w:tr>
      <w:tr w:rsidR="003B74AE" w:rsidRPr="00D326F8" w14:paraId="64B82631"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365BE8F2" w14:textId="77777777" w:rsidR="00BB138E" w:rsidRPr="00D326F8" w:rsidRDefault="00BB138E"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tcPr>
          <w:p w14:paraId="7F045830" w14:textId="38C9FDFE" w:rsidR="00BB138E"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Products containing poppy seeds (cake, rolls) may not be consumed within 48</w:t>
            </w:r>
            <w:r w:rsidR="00D77174" w:rsidRPr="00D326F8">
              <w:rPr>
                <w:szCs w:val="24"/>
              </w:rPr>
              <w:t> </w:t>
            </w:r>
            <w:r w:rsidRPr="00D326F8">
              <w:rPr>
                <w:szCs w:val="24"/>
              </w:rPr>
              <w:t>hours before Screening and each admission until discharge.</w:t>
            </w:r>
          </w:p>
        </w:tc>
      </w:tr>
      <w:tr w:rsidR="003B74AE" w:rsidRPr="00D326F8" w14:paraId="601A8082"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80"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81" w14:textId="7777777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Inability to communicate or cooperate with the Investigator (e.g., language problem, illiteracy, poor mental status) or to comply with the requirements of the entire study, including dietary restrictions.</w:t>
            </w:r>
          </w:p>
        </w:tc>
      </w:tr>
      <w:tr w:rsidR="003B74AE" w:rsidRPr="00D326F8" w14:paraId="601A8085" w14:textId="77777777" w:rsidTr="00D77174">
        <w:trPr>
          <w:cantSplit/>
          <w:trHeight w:val="567"/>
        </w:trPr>
        <w:tc>
          <w:tcPr>
            <w:tcW w:w="1201" w:type="pct"/>
            <w:tcBorders>
              <w:top w:val="single" w:sz="4" w:space="0" w:color="auto"/>
              <w:left w:val="single" w:sz="4" w:space="0" w:color="auto"/>
              <w:bottom w:val="single" w:sz="4" w:space="0" w:color="auto"/>
              <w:right w:val="single" w:sz="4" w:space="0" w:color="auto"/>
            </w:tcBorders>
          </w:tcPr>
          <w:p w14:paraId="601A8083"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84" w14:textId="7777777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Other factors, which in the opinion of the Investigator may interfere with study conduct.</w:t>
            </w:r>
          </w:p>
        </w:tc>
      </w:tr>
      <w:tr w:rsidR="003B74AE" w:rsidRPr="00D326F8" w14:paraId="601A8088" w14:textId="77777777" w:rsidTr="00087608">
        <w:trPr>
          <w:cantSplit/>
          <w:trHeight w:val="284"/>
        </w:trPr>
        <w:tc>
          <w:tcPr>
            <w:tcW w:w="1201" w:type="pct"/>
            <w:tcBorders>
              <w:top w:val="single" w:sz="4" w:space="0" w:color="auto"/>
              <w:left w:val="single" w:sz="4" w:space="0" w:color="auto"/>
              <w:bottom w:val="single" w:sz="4" w:space="0" w:color="auto"/>
              <w:right w:val="single" w:sz="4" w:space="0" w:color="auto"/>
            </w:tcBorders>
          </w:tcPr>
          <w:p w14:paraId="601A8086"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87" w14:textId="7777777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Legal incapacity or limited legal capacity.</w:t>
            </w:r>
          </w:p>
        </w:tc>
      </w:tr>
      <w:tr w:rsidR="003B74AE" w:rsidRPr="00D326F8" w14:paraId="601A808B" w14:textId="77777777" w:rsidTr="00087608">
        <w:trPr>
          <w:cantSplit/>
          <w:trHeight w:val="284"/>
        </w:trPr>
        <w:tc>
          <w:tcPr>
            <w:tcW w:w="1201" w:type="pct"/>
            <w:tcBorders>
              <w:top w:val="single" w:sz="4" w:space="0" w:color="auto"/>
              <w:left w:val="single" w:sz="4" w:space="0" w:color="auto"/>
              <w:bottom w:val="single" w:sz="4" w:space="0" w:color="auto"/>
              <w:right w:val="single" w:sz="4" w:space="0" w:color="auto"/>
            </w:tcBorders>
          </w:tcPr>
          <w:p w14:paraId="601A8089" w14:textId="77777777" w:rsidR="005D672A" w:rsidRPr="00D326F8" w:rsidRDefault="005D672A" w:rsidP="005D672A">
            <w:pPr>
              <w:tabs>
                <w:tab w:val="left" w:pos="288"/>
                <w:tab w:val="left" w:pos="576"/>
                <w:tab w:val="left" w:pos="864"/>
              </w:tabs>
              <w:spacing w:before="120" w:after="120"/>
              <w:jc w:val="left"/>
              <w:rPr>
                <w:rFonts w:eastAsia="MS Mincho"/>
              </w:rPr>
            </w:pPr>
          </w:p>
        </w:tc>
        <w:tc>
          <w:tcPr>
            <w:tcW w:w="3799" w:type="pct"/>
            <w:tcBorders>
              <w:top w:val="single" w:sz="4" w:space="0" w:color="auto"/>
              <w:left w:val="single" w:sz="4" w:space="0" w:color="auto"/>
              <w:bottom w:val="single" w:sz="4" w:space="0" w:color="auto"/>
              <w:right w:val="single" w:sz="4" w:space="0" w:color="auto"/>
            </w:tcBorders>
            <w:hideMark/>
          </w:tcPr>
          <w:p w14:paraId="601A808A" w14:textId="77777777" w:rsidR="005D672A" w:rsidRPr="00D326F8" w:rsidRDefault="003E23E4" w:rsidP="0057019A">
            <w:pPr>
              <w:numPr>
                <w:ilvl w:val="0"/>
                <w:numId w:val="21"/>
              </w:numPr>
              <w:spacing w:before="120" w:after="120" w:line="300" w:lineRule="atLeast"/>
              <w:ind w:left="385" w:hanging="385"/>
              <w:contextualSpacing/>
              <w:jc w:val="left"/>
              <w:rPr>
                <w:szCs w:val="24"/>
              </w:rPr>
            </w:pPr>
            <w:r w:rsidRPr="00D326F8">
              <w:rPr>
                <w:szCs w:val="24"/>
              </w:rPr>
              <w:t>Participant is in custody by order of an authority or a court of law.</w:t>
            </w:r>
          </w:p>
        </w:tc>
      </w:tr>
      <w:tr w:rsidR="003B74AE" w:rsidRPr="00D326F8" w14:paraId="601A808D" w14:textId="77777777" w:rsidTr="00024B84">
        <w:trPr>
          <w:cantSplit/>
        </w:trPr>
        <w:tc>
          <w:tcPr>
            <w:tcW w:w="5000" w:type="pct"/>
            <w:gridSpan w:val="2"/>
            <w:tcBorders>
              <w:top w:val="single" w:sz="4" w:space="0" w:color="auto"/>
              <w:left w:val="nil"/>
              <w:bottom w:val="nil"/>
              <w:right w:val="nil"/>
            </w:tcBorders>
          </w:tcPr>
          <w:p w14:paraId="601A808C" w14:textId="06563E12" w:rsidR="00B02FAB" w:rsidRPr="00D326F8" w:rsidRDefault="003E23E4" w:rsidP="00B02FAB">
            <w:pPr>
              <w:pStyle w:val="Tablefootnote"/>
            </w:pPr>
            <w:r w:rsidRPr="00D326F8">
              <w:t>CRU=clinical research unit,</w:t>
            </w:r>
            <w:r w:rsidR="001E138A" w:rsidRPr="00D326F8">
              <w:t xml:space="preserve"> CYP=cytochrome P450,</w:t>
            </w:r>
            <w:r w:rsidRPr="00D326F8">
              <w:t xml:space="preserve"> </w:t>
            </w:r>
            <w:r w:rsidR="005015A2" w:rsidRPr="00D326F8">
              <w:t>PCR=polymerase chain reaction,</w:t>
            </w:r>
            <w:r w:rsidR="001E138A" w:rsidRPr="00D326F8">
              <w:t xml:space="preserve"> P-gp=P-glycoprotein, ECG=electrocardiogram,</w:t>
            </w:r>
            <w:r w:rsidR="005015A2" w:rsidRPr="00D326F8">
              <w:t xml:space="preserve"> </w:t>
            </w:r>
            <w:r w:rsidRPr="00D326F8">
              <w:t>SARS-CoV-2=</w:t>
            </w:r>
            <w:r w:rsidR="001E138A" w:rsidRPr="00D326F8">
              <w:t>s</w:t>
            </w:r>
            <w:r w:rsidRPr="00D326F8">
              <w:t>evere acute respiratory syndrome coronavirus</w:t>
            </w:r>
            <w:r w:rsidR="005015A2" w:rsidRPr="00D326F8">
              <w:t> </w:t>
            </w:r>
            <w:r w:rsidRPr="00D326F8">
              <w:t>2</w:t>
            </w:r>
            <w:r w:rsidR="005015A2" w:rsidRPr="00D326F8">
              <w:t>, SmPC=summary of product characteristics, ULN=upper limit of normal, USPI=United States prescribing information.</w:t>
            </w:r>
          </w:p>
        </w:tc>
      </w:tr>
    </w:tbl>
    <w:p w14:paraId="601A808E" w14:textId="77777777" w:rsidR="00945494" w:rsidRPr="00D326F8" w:rsidRDefault="003E23E4" w:rsidP="00A2185D">
      <w:pPr>
        <w:pStyle w:val="Heading2"/>
        <w:tabs>
          <w:tab w:val="clear" w:pos="4896"/>
          <w:tab w:val="num" w:pos="5040"/>
        </w:tabs>
        <w:ind w:left="2070" w:hanging="2106"/>
      </w:pPr>
      <w:bookmarkStart w:id="91" w:name="_Toc63944357"/>
      <w:bookmarkStart w:id="92" w:name="_Toc63944363"/>
      <w:bookmarkStart w:id="93" w:name="_Toc63944364"/>
      <w:bookmarkStart w:id="94" w:name="_Toc63944365"/>
      <w:bookmarkStart w:id="95" w:name="_Toc63944370"/>
      <w:bookmarkStart w:id="96" w:name="_Toc63944371"/>
      <w:bookmarkStart w:id="97" w:name="_Toc63944372"/>
      <w:bookmarkStart w:id="98" w:name="_Toc63944373"/>
      <w:bookmarkStart w:id="99" w:name="_Toc77839735"/>
      <w:bookmarkEnd w:id="90"/>
      <w:bookmarkEnd w:id="91"/>
      <w:bookmarkEnd w:id="92"/>
      <w:bookmarkEnd w:id="93"/>
      <w:bookmarkEnd w:id="94"/>
      <w:bookmarkEnd w:id="95"/>
      <w:bookmarkEnd w:id="96"/>
      <w:bookmarkEnd w:id="97"/>
      <w:bookmarkEnd w:id="98"/>
      <w:r w:rsidRPr="00D326F8">
        <w:t>Lifestyle Considerations</w:t>
      </w:r>
      <w:bookmarkEnd w:id="99"/>
    </w:p>
    <w:p w14:paraId="601A808F" w14:textId="77777777" w:rsidR="00945494" w:rsidRPr="00D326F8" w:rsidRDefault="003E23E4" w:rsidP="0069106E">
      <w:pPr>
        <w:pStyle w:val="Heading3"/>
      </w:pPr>
      <w:bookmarkStart w:id="100" w:name="_Ref74473877"/>
      <w:bookmarkStart w:id="101" w:name="_Ref74915043"/>
      <w:bookmarkStart w:id="102" w:name="_Ref74915072"/>
      <w:bookmarkStart w:id="103" w:name="_Ref74915968"/>
      <w:bookmarkStart w:id="104" w:name="_Toc77839736"/>
      <w:r w:rsidRPr="00D326F8">
        <w:t>Meals and Dietary Restrictions</w:t>
      </w:r>
      <w:bookmarkEnd w:id="100"/>
      <w:bookmarkEnd w:id="101"/>
      <w:bookmarkEnd w:id="102"/>
      <w:bookmarkEnd w:id="103"/>
      <w:bookmarkEnd w:id="104"/>
    </w:p>
    <w:p w14:paraId="601A8090" w14:textId="3597EF76" w:rsidR="00945494" w:rsidRPr="00D326F8" w:rsidRDefault="003E23E4" w:rsidP="00A43907">
      <w:pPr>
        <w:pStyle w:val="List2withoutbullet"/>
        <w:ind w:left="0"/>
      </w:pPr>
      <w:r w:rsidRPr="00D326F8">
        <w:t>Abstain f</w:t>
      </w:r>
      <w:r w:rsidR="00A55EAE" w:rsidRPr="00D326F8">
        <w:t xml:space="preserve">rom consumption </w:t>
      </w:r>
      <w:r w:rsidR="00C24195" w:rsidRPr="00D326F8">
        <w:t xml:space="preserve">of the following from </w:t>
      </w:r>
      <w:r w:rsidR="00A43907" w:rsidRPr="00D326F8">
        <w:t>14 days</w:t>
      </w:r>
      <w:r w:rsidR="00C24195" w:rsidRPr="00D326F8">
        <w:t xml:space="preserve"> before the start of study intervention until after the final dose</w:t>
      </w:r>
      <w:r w:rsidRPr="00D326F8">
        <w:t xml:space="preserve">: </w:t>
      </w:r>
      <w:r w:rsidR="00A55EAE" w:rsidRPr="00D326F8">
        <w:t xml:space="preserve">Seville oranges, grapefruit or grapefruit juice, </w:t>
      </w:r>
      <w:r w:rsidR="00A43907" w:rsidRPr="00D326F8">
        <w:t xml:space="preserve">pomelos, exotic citrus fruits, grapefruit hybrids, cranberries, St John’s </w:t>
      </w:r>
      <w:proofErr w:type="gramStart"/>
      <w:r w:rsidR="00A43907" w:rsidRPr="00D326F8">
        <w:t>Wort</w:t>
      </w:r>
      <w:proofErr w:type="gramEnd"/>
      <w:r w:rsidR="00A43907" w:rsidRPr="00D326F8">
        <w:t xml:space="preserve"> or juices</w:t>
      </w:r>
      <w:r w:rsidR="000D4B1B" w:rsidRPr="00D326F8">
        <w:t>.</w:t>
      </w:r>
    </w:p>
    <w:p w14:paraId="601A8091" w14:textId="77777777" w:rsidR="00395891" w:rsidRPr="00D326F8" w:rsidRDefault="003E23E4" w:rsidP="00395891">
      <w:pPr>
        <w:pStyle w:val="BodyText"/>
      </w:pPr>
      <w:r w:rsidRPr="00D326F8">
        <w:rPr>
          <w:noProof/>
        </w:rPr>
        <w:t>Products containing poppy seeds (cake, rolls) may not be consumed within 48 hours before Screening and each admission until discharge.</w:t>
      </w:r>
    </w:p>
    <w:p w14:paraId="601A8092" w14:textId="77777777" w:rsidR="00B60618" w:rsidRPr="00D326F8" w:rsidRDefault="003E23E4" w:rsidP="00B60618">
      <w:pPr>
        <w:spacing w:after="120"/>
        <w:rPr>
          <w:rFonts w:eastAsia="MS Mincho"/>
        </w:rPr>
      </w:pPr>
      <w:r w:rsidRPr="00D326F8">
        <w:rPr>
          <w:rFonts w:eastAsia="MS Mincho"/>
        </w:rPr>
        <w:t>On Day</w:t>
      </w:r>
      <w:r w:rsidR="00960A28" w:rsidRPr="00D326F8">
        <w:rPr>
          <w:rFonts w:eastAsia="MS Mincho"/>
        </w:rPr>
        <w:t> </w:t>
      </w:r>
      <w:r w:rsidRPr="00D326F8">
        <w:rPr>
          <w:rFonts w:eastAsia="MS Mincho"/>
        </w:rPr>
        <w:t xml:space="preserve">1 and Day 26, participants will receive a single dose </w:t>
      </w:r>
      <w:bookmarkStart w:id="105" w:name="_Hlk75865705"/>
      <w:r w:rsidRPr="00D326F8">
        <w:rPr>
          <w:rFonts w:eastAsia="MS Mincho"/>
        </w:rPr>
        <w:t>of 500 mg tepotinib HCl hydrate (tablets) in the morning 0.5 hours after the start of a standard moderate-fat/moderate-calorie breakfast</w:t>
      </w:r>
      <w:bookmarkEnd w:id="105"/>
      <w:r w:rsidRPr="00D326F8">
        <w:rPr>
          <w:rFonts w:eastAsia="MS Mincho"/>
        </w:rPr>
        <w:t xml:space="preserve">. </w:t>
      </w:r>
      <w:r w:rsidR="00852EBF" w:rsidRPr="00D326F8">
        <w:rPr>
          <w:rFonts w:eastAsia="MS Mincho"/>
        </w:rPr>
        <w:t>Following an overnight fast of at least 10 hours, participants should start breakfast 0.5</w:t>
      </w:r>
      <w:r w:rsidR="00241A3E" w:rsidRPr="00D326F8">
        <w:rPr>
          <w:rFonts w:eastAsia="MS Mincho"/>
        </w:rPr>
        <w:t> </w:t>
      </w:r>
      <w:r w:rsidR="00852EBF" w:rsidRPr="00D326F8">
        <w:rPr>
          <w:rFonts w:eastAsia="MS Mincho"/>
        </w:rPr>
        <w:t xml:space="preserve">hours before the administration of tepotinib on Day 1 and Day 26. </w:t>
      </w:r>
      <w:r w:rsidRPr="00D326F8">
        <w:rPr>
          <w:rFonts w:eastAsia="MS Mincho"/>
        </w:rPr>
        <w:t>The breakfast should be consumed within 25 to 30 minutes. The start date and time and stop time of the breakfast will be recorded in the participant’s eCRFs as well as whether the entire breakfast was consumed. If the entire meal is not consumed, the percentage of meal consumed (in quartiles) should be recorded.</w:t>
      </w:r>
    </w:p>
    <w:p w14:paraId="601A8093" w14:textId="163594EF" w:rsidR="00B60618" w:rsidRPr="00D326F8" w:rsidRDefault="003E23E4" w:rsidP="00D77174">
      <w:pPr>
        <w:spacing w:after="120"/>
        <w:rPr>
          <w:rFonts w:eastAsia="MS Mincho"/>
        </w:rPr>
      </w:pPr>
      <w:r w:rsidRPr="00D326F8">
        <w:rPr>
          <w:rFonts w:eastAsia="MS Mincho"/>
        </w:rPr>
        <w:t>Standard moderate-fat, moderate-calorie breakfasts on tepotinib dosing days are defined as follows: 490 calories composed of approximately 77 g of carbohydrates, 28 g of protein, and 13 g of fat (</w:t>
      </w:r>
      <w:proofErr w:type="spellStart"/>
      <w:r w:rsidR="002E504A">
        <w:fldChar w:fldCharType="begin"/>
      </w:r>
      <w:r w:rsidR="002E504A">
        <w:instrText xml:space="preserve"> HYPERLINK \l "_Naderer_O,_Jones" </w:instrText>
      </w:r>
      <w:r w:rsidR="002E504A">
        <w:fldChar w:fldCharType="separate"/>
      </w:r>
      <w:r w:rsidRPr="00D326F8">
        <w:rPr>
          <w:rStyle w:val="Hyperlink"/>
          <w:rFonts w:eastAsia="MS Mincho"/>
          <w:color w:val="auto"/>
        </w:rPr>
        <w:t>Naderer</w:t>
      </w:r>
      <w:proofErr w:type="spellEnd"/>
      <w:r w:rsidRPr="00D326F8">
        <w:rPr>
          <w:rStyle w:val="Hyperlink"/>
          <w:rFonts w:eastAsia="MS Mincho"/>
          <w:color w:val="auto"/>
        </w:rPr>
        <w:t xml:space="preserve"> 2015</w:t>
      </w:r>
      <w:r w:rsidR="002E504A">
        <w:rPr>
          <w:rStyle w:val="Hyperlink"/>
          <w:rFonts w:eastAsia="MS Mincho"/>
          <w:color w:val="auto"/>
        </w:rPr>
        <w:fldChar w:fldCharType="end"/>
      </w:r>
      <w:r w:rsidRPr="00D326F8">
        <w:rPr>
          <w:rFonts w:eastAsia="MS Mincho"/>
        </w:rPr>
        <w:t>).</w:t>
      </w:r>
    </w:p>
    <w:p w14:paraId="601A8094" w14:textId="77777777" w:rsidR="00B60618" w:rsidRPr="00D326F8" w:rsidRDefault="003E23E4" w:rsidP="00D77174">
      <w:pPr>
        <w:spacing w:after="120"/>
        <w:rPr>
          <w:rFonts w:eastAsia="MS Mincho"/>
        </w:rPr>
      </w:pPr>
      <w:r w:rsidRPr="00D326F8">
        <w:rPr>
          <w:rFonts w:eastAsia="MS Mincho"/>
        </w:rPr>
        <w:t xml:space="preserve">All other meals during the inpatient stay at the study center will be </w:t>
      </w:r>
      <w:r w:rsidR="00E409DA" w:rsidRPr="00D326F8">
        <w:rPr>
          <w:rFonts w:eastAsia="MS Mincho"/>
        </w:rPr>
        <w:t xml:space="preserve">standardized </w:t>
      </w:r>
      <w:r w:rsidRPr="00D326F8">
        <w:rPr>
          <w:rFonts w:eastAsia="MS Mincho"/>
        </w:rPr>
        <w:t>and no documentation of time and complete consumption is needed.</w:t>
      </w:r>
      <w:r w:rsidR="00395891" w:rsidRPr="00D326F8">
        <w:rPr>
          <w:noProof/>
        </w:rPr>
        <w:t xml:space="preserve"> </w:t>
      </w:r>
      <w:r w:rsidR="00D71EE5" w:rsidRPr="00D326F8">
        <w:rPr>
          <w:noProof/>
        </w:rPr>
        <w:t>During the in-house stay t</w:t>
      </w:r>
      <w:r w:rsidR="00395891" w:rsidRPr="00D326F8">
        <w:rPr>
          <w:noProof/>
        </w:rPr>
        <w:t>he participants are only permitted to eat meals provided by the study center</w:t>
      </w:r>
      <w:r w:rsidR="00395891" w:rsidRPr="00D326F8">
        <w:t xml:space="preserve">. These </w:t>
      </w:r>
      <w:r w:rsidR="00395891" w:rsidRPr="00D326F8">
        <w:rPr>
          <w:noProof/>
        </w:rPr>
        <w:t>meals will be provided at usual meal times of the study center.</w:t>
      </w:r>
    </w:p>
    <w:p w14:paraId="601A8095" w14:textId="6DECA106" w:rsidR="00B60618" w:rsidRPr="00D326F8" w:rsidRDefault="003E23E4" w:rsidP="00B60618">
      <w:pPr>
        <w:spacing w:after="120"/>
        <w:rPr>
          <w:rFonts w:eastAsia="MS Mincho"/>
        </w:rPr>
      </w:pPr>
      <w:r w:rsidRPr="00D326F8">
        <w:rPr>
          <w:rFonts w:eastAsia="MS Mincho"/>
        </w:rPr>
        <w:t>On Days</w:t>
      </w:r>
      <w:r w:rsidR="00D77174" w:rsidRPr="00D326F8">
        <w:rPr>
          <w:rFonts w:eastAsia="MS Mincho"/>
        </w:rPr>
        <w:t> </w:t>
      </w:r>
      <w:r w:rsidRPr="00D326F8">
        <w:rPr>
          <w:rFonts w:eastAsia="MS Mincho"/>
        </w:rPr>
        <w:t>8 to 32, each participant will receive 100, 200 or 300</w:t>
      </w:r>
      <w:r w:rsidR="00D77174" w:rsidRPr="00D326F8">
        <w:rPr>
          <w:rFonts w:eastAsia="MS Mincho"/>
        </w:rPr>
        <w:t> </w:t>
      </w:r>
      <w:r w:rsidRPr="00D326F8">
        <w:rPr>
          <w:rFonts w:eastAsia="MS Mincho"/>
        </w:rPr>
        <w:t>mg carbamazepine (tablets) twice daily during, after or between meals at the CRU. On Day</w:t>
      </w:r>
      <w:r w:rsidR="00D77174" w:rsidRPr="00D326F8">
        <w:rPr>
          <w:rFonts w:eastAsia="MS Mincho"/>
        </w:rPr>
        <w:t> </w:t>
      </w:r>
      <w:r w:rsidRPr="00D326F8">
        <w:rPr>
          <w:rFonts w:eastAsia="MS Mincho"/>
        </w:rPr>
        <w:t>26, the morning dose of carbamazepine will be coadministered with tepotinib 0.5</w:t>
      </w:r>
      <w:r w:rsidR="00D77174" w:rsidRPr="00D326F8">
        <w:rPr>
          <w:rFonts w:eastAsia="MS Mincho"/>
        </w:rPr>
        <w:t> </w:t>
      </w:r>
      <w:r w:rsidRPr="00D326F8">
        <w:rPr>
          <w:rFonts w:eastAsia="MS Mincho"/>
        </w:rPr>
        <w:t>hours after the start of a standard moderate</w:t>
      </w:r>
      <w:r w:rsidRPr="00D326F8">
        <w:rPr>
          <w:rFonts w:eastAsia="MS Mincho"/>
        </w:rPr>
        <w:noBreakHyphen/>
        <w:t>fat/moderate-calorie breakfast.</w:t>
      </w:r>
    </w:p>
    <w:p w14:paraId="601A8096" w14:textId="1B7465D4" w:rsidR="00B60618" w:rsidRPr="00D326F8" w:rsidRDefault="003E23E4" w:rsidP="00B60618">
      <w:pPr>
        <w:pStyle w:val="BodyText"/>
      </w:pPr>
      <w:r w:rsidRPr="00D326F8">
        <w:rPr>
          <w:rFonts w:eastAsia="MS Mincho"/>
        </w:rPr>
        <w:t xml:space="preserve">Study interventions will be administered with 240 mL of water in a standing position at the CRU. On all dosing days (see </w:t>
      </w:r>
      <w:r w:rsidR="00CF2490" w:rsidRPr="00D326F8">
        <w:rPr>
          <w:rFonts w:eastAsia="MS Mincho"/>
        </w:rPr>
        <w:t>Schedule of Assessments</w:t>
      </w:r>
      <w:r w:rsidRPr="00D326F8">
        <w:rPr>
          <w:rFonts w:eastAsia="MS Mincho"/>
        </w:rPr>
        <w:t xml:space="preserve"> in Section</w:t>
      </w:r>
      <w:r w:rsidR="001E138A" w:rsidRPr="00D326F8">
        <w:rPr>
          <w:rFonts w:eastAsia="MS Mincho"/>
        </w:rPr>
        <w:t> </w:t>
      </w:r>
      <w:r w:rsidR="001E138A" w:rsidRPr="00D326F8">
        <w:rPr>
          <w:rFonts w:eastAsia="MS Mincho"/>
        </w:rPr>
        <w:fldChar w:fldCharType="begin"/>
      </w:r>
      <w:r w:rsidR="001E138A" w:rsidRPr="00D326F8">
        <w:rPr>
          <w:rFonts w:eastAsia="MS Mincho"/>
        </w:rPr>
        <w:instrText xml:space="preserve"> REF _Ref77583760 \r \h </w:instrText>
      </w:r>
      <w:r w:rsidR="00CE2791" w:rsidRPr="00D326F8">
        <w:rPr>
          <w:rFonts w:eastAsia="MS Mincho"/>
        </w:rPr>
        <w:instrText xml:space="preserve"> \* MERGEFORMAT </w:instrText>
      </w:r>
      <w:r w:rsidR="001E138A" w:rsidRPr="00D326F8">
        <w:rPr>
          <w:rFonts w:eastAsia="MS Mincho"/>
        </w:rPr>
      </w:r>
      <w:r w:rsidR="001E138A" w:rsidRPr="00D326F8">
        <w:rPr>
          <w:rFonts w:eastAsia="MS Mincho"/>
        </w:rPr>
        <w:fldChar w:fldCharType="separate"/>
      </w:r>
      <w:r w:rsidR="00173A27">
        <w:rPr>
          <w:rFonts w:eastAsia="MS Mincho"/>
        </w:rPr>
        <w:t>1.3</w:t>
      </w:r>
      <w:r w:rsidR="001E138A" w:rsidRPr="00D326F8">
        <w:rPr>
          <w:rFonts w:eastAsia="MS Mincho"/>
        </w:rPr>
        <w:fldChar w:fldCharType="end"/>
      </w:r>
      <w:r w:rsidRPr="00D326F8">
        <w:rPr>
          <w:rFonts w:eastAsia="MS Mincho"/>
        </w:rPr>
        <w:t>), participants may consume water ad libitum and should drink at least 1.5 L/day.</w:t>
      </w:r>
    </w:p>
    <w:p w14:paraId="601A8097" w14:textId="77777777" w:rsidR="00945494" w:rsidRPr="00D326F8" w:rsidRDefault="003E23E4" w:rsidP="0069106E">
      <w:pPr>
        <w:pStyle w:val="Heading3"/>
      </w:pPr>
      <w:bookmarkStart w:id="106" w:name="_Toc77839737"/>
      <w:r w:rsidRPr="00D326F8">
        <w:lastRenderedPageBreak/>
        <w:t>Caffeine, Alcohol, Tobacco</w:t>
      </w:r>
      <w:r w:rsidR="00295F32" w:rsidRPr="00D326F8">
        <w:t>, and Cannabinoid</w:t>
      </w:r>
      <w:bookmarkEnd w:id="106"/>
    </w:p>
    <w:p w14:paraId="601A8098" w14:textId="77777777" w:rsidR="00945494" w:rsidRPr="00D326F8" w:rsidRDefault="003E23E4" w:rsidP="00A37F85">
      <w:pPr>
        <w:pStyle w:val="List1withbullet"/>
        <w:ind w:left="357" w:hanging="357"/>
      </w:pPr>
      <w:r w:rsidRPr="00D326F8">
        <w:t xml:space="preserve">During each dosing </w:t>
      </w:r>
      <w:r w:rsidR="00A5605E" w:rsidRPr="00D326F8">
        <w:t>period</w:t>
      </w:r>
      <w:r w:rsidRPr="00D326F8">
        <w:t xml:space="preserve">, participants will abstain from ingesting caffeine- or xanthine-containing products (e.g., coffee, tea, cola drinks, and chocolate) for </w:t>
      </w:r>
      <w:r w:rsidR="00494248" w:rsidRPr="00D326F8">
        <w:t>48</w:t>
      </w:r>
      <w:r w:rsidR="00176A88" w:rsidRPr="00D326F8">
        <w:t> </w:t>
      </w:r>
      <w:r w:rsidRPr="00D326F8">
        <w:t xml:space="preserve">hours before the start of dosing until after collection of the final PK and/or </w:t>
      </w:r>
      <w:r w:rsidR="002B19E0" w:rsidRPr="00D326F8">
        <w:t>PD</w:t>
      </w:r>
      <w:r w:rsidRPr="00D326F8">
        <w:t xml:space="preserve"> sample.</w:t>
      </w:r>
    </w:p>
    <w:p w14:paraId="601A8099" w14:textId="39BF90F4" w:rsidR="00945494" w:rsidRPr="00D326F8" w:rsidRDefault="003E23E4" w:rsidP="00A37F85">
      <w:pPr>
        <w:pStyle w:val="List1withbullet"/>
        <w:ind w:left="357" w:hanging="357"/>
      </w:pPr>
      <w:r w:rsidRPr="00D326F8">
        <w:t xml:space="preserve">During each dosing </w:t>
      </w:r>
      <w:r w:rsidR="00A5605E" w:rsidRPr="00D326F8">
        <w:t>period</w:t>
      </w:r>
      <w:r w:rsidRPr="00D326F8">
        <w:t xml:space="preserve">, participants will abstain from </w:t>
      </w:r>
      <w:r w:rsidR="00E409DA" w:rsidRPr="00D326F8">
        <w:t xml:space="preserve">alcohol </w:t>
      </w:r>
      <w:r w:rsidR="00295F32" w:rsidRPr="00D326F8">
        <w:t xml:space="preserve">and </w:t>
      </w:r>
      <w:r w:rsidR="00E409DA" w:rsidRPr="00D326F8">
        <w:t xml:space="preserve">cannabinoid-containing products </w:t>
      </w:r>
      <w:r w:rsidRPr="00D326F8">
        <w:t xml:space="preserve">for </w:t>
      </w:r>
      <w:r w:rsidR="009D2915" w:rsidRPr="00D326F8">
        <w:t>48 </w:t>
      </w:r>
      <w:r w:rsidRPr="00D326F8">
        <w:t xml:space="preserve">hours before the start of dosing until after collection of the final PK and/or </w:t>
      </w:r>
      <w:r w:rsidR="002B19E0" w:rsidRPr="00D326F8">
        <w:t>PD</w:t>
      </w:r>
      <w:r w:rsidRPr="00D326F8">
        <w:t xml:space="preserve"> sample.</w:t>
      </w:r>
    </w:p>
    <w:p w14:paraId="36A29BC3" w14:textId="5D495C32" w:rsidR="001E138A" w:rsidRPr="00D326F8" w:rsidRDefault="003E23E4" w:rsidP="00A37F85">
      <w:pPr>
        <w:pStyle w:val="List1withbullet"/>
        <w:ind w:left="357" w:hanging="357"/>
      </w:pPr>
      <w:r w:rsidRPr="00D326F8">
        <w:t>Use of tobacco products will not be allowed from 6</w:t>
      </w:r>
      <w:r w:rsidR="00B17887" w:rsidRPr="00D326F8">
        <w:t> </w:t>
      </w:r>
      <w:r w:rsidRPr="00D326F8">
        <w:t>months before the time of the Screening visit until after the final follow-up visit.</w:t>
      </w:r>
      <w:r w:rsidR="00B17887" w:rsidRPr="00D326F8">
        <w:t xml:space="preserve"> </w:t>
      </w:r>
    </w:p>
    <w:p w14:paraId="601A809A" w14:textId="77777777" w:rsidR="00945494" w:rsidRPr="00D326F8" w:rsidRDefault="003E23E4" w:rsidP="0069106E">
      <w:pPr>
        <w:pStyle w:val="Heading3"/>
      </w:pPr>
      <w:bookmarkStart w:id="107" w:name="_Toc77839738"/>
      <w:r w:rsidRPr="00D326F8">
        <w:t>Activity</w:t>
      </w:r>
      <w:bookmarkEnd w:id="107"/>
    </w:p>
    <w:p w14:paraId="601A809B" w14:textId="77777777" w:rsidR="00DE0305" w:rsidRPr="00D326F8" w:rsidRDefault="003E23E4" w:rsidP="00B60618">
      <w:pPr>
        <w:pStyle w:val="List1withoutbullet"/>
        <w:ind w:left="0"/>
      </w:pPr>
      <w:r w:rsidRPr="00D326F8">
        <w:t xml:space="preserve">Participants will abstain from strenuous exercise for </w:t>
      </w:r>
      <w:r w:rsidR="00494248" w:rsidRPr="00D326F8">
        <w:t>72</w:t>
      </w:r>
      <w:r w:rsidRPr="00D326F8">
        <w:t xml:space="preserve"> hours before each blood collection for clinical laboratory tests. Participants may participate in light recreational activities (e.g., watching television or reading).</w:t>
      </w:r>
    </w:p>
    <w:p w14:paraId="601A809C" w14:textId="77777777" w:rsidR="00BE3490" w:rsidRPr="00D326F8" w:rsidRDefault="003E23E4" w:rsidP="00BE3490">
      <w:pPr>
        <w:pStyle w:val="BodyText"/>
      </w:pPr>
      <w:r w:rsidRPr="00D326F8">
        <w:t>Participants should exercise due caution when driving a vehicle or operating machinery.</w:t>
      </w:r>
    </w:p>
    <w:p w14:paraId="601A809D" w14:textId="77777777" w:rsidR="00945494" w:rsidRPr="00D326F8" w:rsidRDefault="003E23E4" w:rsidP="00B44E41">
      <w:pPr>
        <w:pStyle w:val="Heading2"/>
        <w:tabs>
          <w:tab w:val="clear" w:pos="4896"/>
          <w:tab w:val="num" w:pos="5310"/>
        </w:tabs>
        <w:ind w:left="1980" w:hanging="1980"/>
      </w:pPr>
      <w:bookmarkStart w:id="108" w:name="_Toc77839739"/>
      <w:r w:rsidRPr="00D326F8">
        <w:t>Screen Failures</w:t>
      </w:r>
      <w:bookmarkEnd w:id="108"/>
    </w:p>
    <w:p w14:paraId="601A809E" w14:textId="77777777" w:rsidR="00DE0305" w:rsidRPr="00D326F8" w:rsidRDefault="003E23E4" w:rsidP="00B60618">
      <w:pPr>
        <w:pStyle w:val="List1withoutbullet"/>
        <w:ind w:left="0"/>
      </w:pPr>
      <w:bookmarkStart w:id="109" w:name="_Hlk508117879"/>
      <w:r w:rsidRPr="00D326F8">
        <w:t xml:space="preserve">Individuals who do not meet the criteria for participation in this study (screen failure) </w:t>
      </w:r>
      <w:r w:rsidR="00B60618" w:rsidRPr="00D326F8">
        <w:t>will</w:t>
      </w:r>
      <w:r w:rsidRPr="00D326F8">
        <w:t xml:space="preserve"> not be rescreened.</w:t>
      </w:r>
      <w:bookmarkEnd w:id="109"/>
    </w:p>
    <w:p w14:paraId="601A809F" w14:textId="0528B2B1" w:rsidR="001E79A1" w:rsidRPr="00D326F8" w:rsidRDefault="003E23E4" w:rsidP="00B44E41">
      <w:pPr>
        <w:pStyle w:val="Heading2"/>
        <w:tabs>
          <w:tab w:val="clear" w:pos="4896"/>
          <w:tab w:val="num" w:pos="4320"/>
        </w:tabs>
        <w:ind w:left="1980" w:hanging="1980"/>
        <w:jc w:val="left"/>
      </w:pPr>
      <w:bookmarkStart w:id="110" w:name="_Toc77839740"/>
      <w:r w:rsidRPr="00D326F8">
        <w:t>Criteria for Temporarily Delaying the Administration of Study Intervention</w:t>
      </w:r>
      <w:bookmarkEnd w:id="110"/>
      <w:r w:rsidRPr="00D326F8">
        <w:t xml:space="preserve"> </w:t>
      </w:r>
    </w:p>
    <w:p w14:paraId="601A80A0" w14:textId="77777777" w:rsidR="00494248" w:rsidRPr="00D326F8" w:rsidRDefault="003E23E4" w:rsidP="00494248">
      <w:pPr>
        <w:pStyle w:val="BodyText"/>
      </w:pPr>
      <w:r w:rsidRPr="00D326F8">
        <w:t>Not applicable.</w:t>
      </w:r>
    </w:p>
    <w:p w14:paraId="601A80A1" w14:textId="77777777" w:rsidR="00945494" w:rsidRPr="00D326F8" w:rsidRDefault="003E23E4" w:rsidP="0069106E">
      <w:pPr>
        <w:pStyle w:val="Heading1"/>
      </w:pPr>
      <w:bookmarkStart w:id="111" w:name="_Toc77839741"/>
      <w:r w:rsidRPr="00D326F8">
        <w:t>Study Intervention(s)</w:t>
      </w:r>
      <w:r w:rsidR="001E79A1" w:rsidRPr="00D326F8">
        <w:t xml:space="preserve"> and Concomitant Therapies</w:t>
      </w:r>
      <w:bookmarkEnd w:id="111"/>
    </w:p>
    <w:p w14:paraId="601A80A2" w14:textId="77777777" w:rsidR="00DE0305" w:rsidRPr="00D326F8" w:rsidRDefault="003E23E4" w:rsidP="00B60618">
      <w:pPr>
        <w:pStyle w:val="List1withoutbullet"/>
        <w:ind w:left="0"/>
      </w:pPr>
      <w:r w:rsidRPr="00D326F8">
        <w:t xml:space="preserve">Study intervention is any investigational intervention(s), marketed product(s), placebo, or medical device(s) intended to be administered to a study participant </w:t>
      </w:r>
      <w:r w:rsidR="006613C6" w:rsidRPr="00D326F8">
        <w:t>per</w:t>
      </w:r>
      <w:r w:rsidRPr="00D326F8">
        <w:t xml:space="preserve"> the study protocol.</w:t>
      </w:r>
    </w:p>
    <w:p w14:paraId="601A80A3" w14:textId="77777777" w:rsidR="00945494" w:rsidRPr="00D326F8" w:rsidRDefault="003E23E4" w:rsidP="000A67FC">
      <w:pPr>
        <w:pStyle w:val="Heading2"/>
        <w:tabs>
          <w:tab w:val="clear" w:pos="4896"/>
          <w:tab w:val="num" w:pos="5130"/>
        </w:tabs>
        <w:spacing w:after="120"/>
        <w:ind w:left="1979" w:hanging="1979"/>
      </w:pPr>
      <w:bookmarkStart w:id="112" w:name="_Ref74915054"/>
      <w:bookmarkStart w:id="113" w:name="_Ref74915081"/>
      <w:bookmarkStart w:id="114" w:name="_Toc77839742"/>
      <w:r w:rsidRPr="00D326F8">
        <w:lastRenderedPageBreak/>
        <w:t>Study Intervention(s) Administration</w:t>
      </w:r>
      <w:bookmarkEnd w:id="112"/>
      <w:bookmarkEnd w:id="113"/>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3131"/>
        <w:gridCol w:w="3131"/>
      </w:tblGrid>
      <w:tr w:rsidR="003B74AE" w:rsidRPr="00D326F8" w14:paraId="601A80A7"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A4"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Intervention Name</w:t>
            </w:r>
          </w:p>
        </w:tc>
        <w:tc>
          <w:tcPr>
            <w:tcW w:w="1707" w:type="pct"/>
            <w:tcBorders>
              <w:top w:val="single" w:sz="4" w:space="0" w:color="auto"/>
              <w:left w:val="single" w:sz="4" w:space="0" w:color="auto"/>
              <w:bottom w:val="single" w:sz="4" w:space="0" w:color="auto"/>
              <w:right w:val="single" w:sz="4" w:space="0" w:color="auto"/>
            </w:tcBorders>
            <w:hideMark/>
          </w:tcPr>
          <w:p w14:paraId="601A80A5" w14:textId="77777777" w:rsidR="00B60618" w:rsidRPr="00D326F8" w:rsidRDefault="003E23E4" w:rsidP="00B60618">
            <w:pPr>
              <w:keepNext/>
              <w:keepLines/>
              <w:spacing w:before="40" w:after="40"/>
              <w:jc w:val="left"/>
              <w:rPr>
                <w:rFonts w:ascii="Arial" w:hAnsi="Arial" w:cs="Arial"/>
                <w:color w:val="808080"/>
                <w:sz w:val="18"/>
              </w:rPr>
            </w:pPr>
            <w:r w:rsidRPr="00D326F8">
              <w:rPr>
                <w:rFonts w:ascii="Arial" w:hAnsi="Arial" w:cs="Arial"/>
                <w:sz w:val="18"/>
                <w:szCs w:val="18"/>
              </w:rPr>
              <w:t>Tepotinib (HCl hydrate)</w:t>
            </w:r>
          </w:p>
        </w:tc>
        <w:tc>
          <w:tcPr>
            <w:tcW w:w="1707" w:type="pct"/>
            <w:tcBorders>
              <w:top w:val="single" w:sz="4" w:space="0" w:color="auto"/>
              <w:left w:val="single" w:sz="4" w:space="0" w:color="auto"/>
              <w:bottom w:val="single" w:sz="4" w:space="0" w:color="auto"/>
              <w:right w:val="single" w:sz="4" w:space="0" w:color="auto"/>
            </w:tcBorders>
            <w:hideMark/>
          </w:tcPr>
          <w:p w14:paraId="601A80A6" w14:textId="77777777" w:rsidR="00B60618" w:rsidRPr="00D326F8" w:rsidRDefault="003E23E4" w:rsidP="00B60618">
            <w:pPr>
              <w:keepNext/>
              <w:keepLines/>
              <w:spacing w:before="40" w:after="40"/>
              <w:jc w:val="left"/>
              <w:rPr>
                <w:rFonts w:ascii="Arial" w:hAnsi="Arial" w:cs="Arial"/>
                <w:sz w:val="18"/>
              </w:rPr>
            </w:pPr>
            <w:r w:rsidRPr="00D326F8">
              <w:rPr>
                <w:rFonts w:ascii="Arial" w:hAnsi="Arial" w:cs="Arial"/>
                <w:sz w:val="18"/>
              </w:rPr>
              <w:t>Carbamazepine</w:t>
            </w:r>
          </w:p>
        </w:tc>
      </w:tr>
      <w:tr w:rsidR="003B74AE" w:rsidRPr="00D326F8" w14:paraId="601A80AB"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A8"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 xml:space="preserve">Type </w:t>
            </w:r>
          </w:p>
        </w:tc>
        <w:tc>
          <w:tcPr>
            <w:tcW w:w="1707" w:type="pct"/>
            <w:tcBorders>
              <w:top w:val="single" w:sz="4" w:space="0" w:color="auto"/>
              <w:left w:val="single" w:sz="4" w:space="0" w:color="auto"/>
              <w:bottom w:val="single" w:sz="4" w:space="0" w:color="auto"/>
              <w:right w:val="single" w:sz="4" w:space="0" w:color="auto"/>
            </w:tcBorders>
            <w:hideMark/>
          </w:tcPr>
          <w:p w14:paraId="601A80A9" w14:textId="77777777" w:rsidR="00B60618" w:rsidRPr="00D326F8" w:rsidRDefault="003E23E4" w:rsidP="00B60618">
            <w:pPr>
              <w:keepLines/>
              <w:spacing w:before="40" w:after="40"/>
              <w:jc w:val="left"/>
              <w:rPr>
                <w:rFonts w:ascii="Arial" w:hAnsi="Arial" w:cs="Arial"/>
                <w:sz w:val="18"/>
                <w:szCs w:val="18"/>
              </w:rPr>
            </w:pPr>
            <w:r w:rsidRPr="00D326F8">
              <w:rPr>
                <w:rFonts w:ascii="Arial" w:hAnsi="Arial" w:cs="Arial"/>
                <w:sz w:val="18"/>
                <w:szCs w:val="18"/>
              </w:rPr>
              <w:t>Drug</w:t>
            </w:r>
          </w:p>
        </w:tc>
        <w:tc>
          <w:tcPr>
            <w:tcW w:w="1707" w:type="pct"/>
            <w:tcBorders>
              <w:top w:val="single" w:sz="4" w:space="0" w:color="auto"/>
              <w:left w:val="single" w:sz="4" w:space="0" w:color="auto"/>
              <w:bottom w:val="single" w:sz="4" w:space="0" w:color="auto"/>
              <w:right w:val="single" w:sz="4" w:space="0" w:color="auto"/>
            </w:tcBorders>
            <w:hideMark/>
          </w:tcPr>
          <w:p w14:paraId="601A80AA"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Drug</w:t>
            </w:r>
          </w:p>
        </w:tc>
      </w:tr>
      <w:tr w:rsidR="003B74AE" w:rsidRPr="00D326F8" w14:paraId="601A80AF"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AC"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Dose Formulation</w:t>
            </w:r>
          </w:p>
        </w:tc>
        <w:tc>
          <w:tcPr>
            <w:tcW w:w="1707" w:type="pct"/>
            <w:tcBorders>
              <w:top w:val="single" w:sz="4" w:space="0" w:color="auto"/>
              <w:left w:val="single" w:sz="4" w:space="0" w:color="auto"/>
              <w:bottom w:val="single" w:sz="4" w:space="0" w:color="auto"/>
              <w:right w:val="single" w:sz="4" w:space="0" w:color="auto"/>
            </w:tcBorders>
            <w:hideMark/>
          </w:tcPr>
          <w:p w14:paraId="601A80AD"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Film-coated tablet</w:t>
            </w:r>
          </w:p>
        </w:tc>
        <w:tc>
          <w:tcPr>
            <w:tcW w:w="1707" w:type="pct"/>
            <w:tcBorders>
              <w:top w:val="single" w:sz="4" w:space="0" w:color="auto"/>
              <w:left w:val="single" w:sz="4" w:space="0" w:color="auto"/>
              <w:bottom w:val="single" w:sz="4" w:space="0" w:color="auto"/>
              <w:right w:val="single" w:sz="4" w:space="0" w:color="auto"/>
            </w:tcBorders>
            <w:hideMark/>
          </w:tcPr>
          <w:p w14:paraId="601A80AE"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Tablet with break-line</w:t>
            </w:r>
          </w:p>
        </w:tc>
      </w:tr>
      <w:tr w:rsidR="003B74AE" w:rsidRPr="00D326F8" w14:paraId="601A80B3"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B0"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Unit Dose Strength(s)</w:t>
            </w:r>
          </w:p>
        </w:tc>
        <w:tc>
          <w:tcPr>
            <w:tcW w:w="1707" w:type="pct"/>
            <w:tcBorders>
              <w:top w:val="single" w:sz="4" w:space="0" w:color="auto"/>
              <w:left w:val="single" w:sz="4" w:space="0" w:color="auto"/>
              <w:bottom w:val="single" w:sz="4" w:space="0" w:color="auto"/>
              <w:right w:val="single" w:sz="4" w:space="0" w:color="auto"/>
            </w:tcBorders>
            <w:hideMark/>
          </w:tcPr>
          <w:p w14:paraId="601A80B1"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lang w:val="de-DE" w:eastAsia="ja-JP"/>
              </w:rPr>
              <w:t>250 mg</w:t>
            </w:r>
            <w:r w:rsidRPr="00D326F8">
              <w:rPr>
                <w:rFonts w:ascii="Arial" w:hAnsi="Arial" w:cs="Arial"/>
                <w:sz w:val="18"/>
                <w:szCs w:val="18"/>
              </w:rPr>
              <w:t xml:space="preserve"> </w:t>
            </w:r>
          </w:p>
        </w:tc>
        <w:tc>
          <w:tcPr>
            <w:tcW w:w="1707" w:type="pct"/>
            <w:tcBorders>
              <w:top w:val="single" w:sz="4" w:space="0" w:color="auto"/>
              <w:left w:val="single" w:sz="4" w:space="0" w:color="auto"/>
              <w:bottom w:val="single" w:sz="4" w:space="0" w:color="auto"/>
              <w:right w:val="single" w:sz="4" w:space="0" w:color="auto"/>
            </w:tcBorders>
            <w:hideMark/>
          </w:tcPr>
          <w:p w14:paraId="601A80B2" w14:textId="64B9BDD1"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200 mg</w:t>
            </w:r>
          </w:p>
        </w:tc>
      </w:tr>
      <w:tr w:rsidR="003B74AE" w:rsidRPr="00D326F8" w14:paraId="601A80B7"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B4"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Dose Amount</w:t>
            </w:r>
          </w:p>
        </w:tc>
        <w:tc>
          <w:tcPr>
            <w:tcW w:w="1707" w:type="pct"/>
            <w:tcBorders>
              <w:top w:val="single" w:sz="4" w:space="0" w:color="auto"/>
              <w:left w:val="single" w:sz="4" w:space="0" w:color="auto"/>
              <w:bottom w:val="single" w:sz="4" w:space="0" w:color="auto"/>
              <w:right w:val="single" w:sz="4" w:space="0" w:color="auto"/>
            </w:tcBorders>
            <w:hideMark/>
          </w:tcPr>
          <w:p w14:paraId="601A80B5"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 xml:space="preserve">500 mg </w:t>
            </w:r>
            <w:r w:rsidR="008B491F" w:rsidRPr="00D326F8">
              <w:rPr>
                <w:rFonts w:ascii="Arial" w:hAnsi="Arial" w:cs="Arial"/>
                <w:sz w:val="18"/>
                <w:szCs w:val="18"/>
              </w:rPr>
              <w:t xml:space="preserve">(2 tablets) </w:t>
            </w:r>
            <w:r w:rsidRPr="00D326F8">
              <w:rPr>
                <w:rFonts w:ascii="Arial" w:hAnsi="Arial" w:cs="Arial"/>
                <w:sz w:val="18"/>
                <w:szCs w:val="18"/>
                <w:lang w:eastAsia="ja-JP"/>
              </w:rPr>
              <w:t>with food</w:t>
            </w:r>
          </w:p>
        </w:tc>
        <w:tc>
          <w:tcPr>
            <w:tcW w:w="1707" w:type="pct"/>
            <w:tcBorders>
              <w:top w:val="single" w:sz="4" w:space="0" w:color="auto"/>
              <w:left w:val="single" w:sz="4" w:space="0" w:color="auto"/>
              <w:bottom w:val="single" w:sz="4" w:space="0" w:color="auto"/>
              <w:right w:val="single" w:sz="4" w:space="0" w:color="auto"/>
            </w:tcBorders>
            <w:hideMark/>
          </w:tcPr>
          <w:p w14:paraId="601A80B6" w14:textId="6820088E"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100 mg (</w:t>
            </w:r>
            <w:r w:rsidR="000B0CDD" w:rsidRPr="00D326F8">
              <w:rPr>
                <w:rFonts w:ascii="Arial" w:hAnsi="Arial" w:cs="Arial"/>
                <w:sz w:val="18"/>
                <w:szCs w:val="18"/>
              </w:rPr>
              <w:t xml:space="preserve">0.5 tablet; </w:t>
            </w:r>
            <w:r w:rsidRPr="00D326F8">
              <w:rPr>
                <w:rFonts w:ascii="Arial" w:hAnsi="Arial" w:cs="Arial"/>
                <w:sz w:val="18"/>
                <w:szCs w:val="18"/>
              </w:rPr>
              <w:t>Day</w:t>
            </w:r>
            <w:r w:rsidR="000B0CDD" w:rsidRPr="00D326F8">
              <w:rPr>
                <w:rFonts w:ascii="Arial" w:hAnsi="Arial" w:cs="Arial"/>
                <w:sz w:val="18"/>
                <w:szCs w:val="18"/>
              </w:rPr>
              <w:t> </w:t>
            </w:r>
            <w:r w:rsidRPr="00D326F8">
              <w:rPr>
                <w:rFonts w:ascii="Arial" w:hAnsi="Arial" w:cs="Arial"/>
                <w:sz w:val="18"/>
                <w:szCs w:val="18"/>
              </w:rPr>
              <w:t>8 and 9), 200 mg (</w:t>
            </w:r>
            <w:r w:rsidR="000B0CDD" w:rsidRPr="00D326F8">
              <w:rPr>
                <w:rFonts w:ascii="Arial" w:hAnsi="Arial" w:cs="Arial"/>
                <w:sz w:val="18"/>
                <w:szCs w:val="18"/>
              </w:rPr>
              <w:t xml:space="preserve">1.0 tablet; </w:t>
            </w:r>
            <w:r w:rsidRPr="00D326F8">
              <w:rPr>
                <w:rFonts w:ascii="Arial" w:hAnsi="Arial" w:cs="Arial"/>
                <w:sz w:val="18"/>
                <w:szCs w:val="18"/>
              </w:rPr>
              <w:t>Day 10 and 11) or 300</w:t>
            </w:r>
            <w:r w:rsidR="000B0CDD" w:rsidRPr="00D326F8">
              <w:rPr>
                <w:rFonts w:ascii="Arial" w:hAnsi="Arial" w:cs="Arial"/>
                <w:sz w:val="18"/>
                <w:szCs w:val="18"/>
              </w:rPr>
              <w:t> </w:t>
            </w:r>
            <w:r w:rsidRPr="00D326F8">
              <w:rPr>
                <w:rFonts w:ascii="Arial" w:hAnsi="Arial" w:cs="Arial"/>
                <w:sz w:val="18"/>
                <w:szCs w:val="18"/>
              </w:rPr>
              <w:t>mg (</w:t>
            </w:r>
            <w:r w:rsidR="000B0CDD" w:rsidRPr="00D326F8">
              <w:rPr>
                <w:rFonts w:ascii="Arial" w:hAnsi="Arial" w:cs="Arial"/>
                <w:sz w:val="18"/>
                <w:szCs w:val="18"/>
              </w:rPr>
              <w:t xml:space="preserve">1.5 tablets; </w:t>
            </w:r>
            <w:r w:rsidRPr="00D326F8">
              <w:rPr>
                <w:rFonts w:ascii="Arial" w:hAnsi="Arial" w:cs="Arial"/>
                <w:sz w:val="18"/>
                <w:szCs w:val="18"/>
              </w:rPr>
              <w:t>Days</w:t>
            </w:r>
            <w:r w:rsidR="00EF3E0E" w:rsidRPr="00D326F8">
              <w:rPr>
                <w:rFonts w:ascii="Arial" w:hAnsi="Arial" w:cs="Arial"/>
                <w:sz w:val="18"/>
                <w:szCs w:val="18"/>
              </w:rPr>
              <w:t> </w:t>
            </w:r>
            <w:r w:rsidRPr="00D326F8">
              <w:rPr>
                <w:rFonts w:ascii="Arial" w:hAnsi="Arial" w:cs="Arial"/>
                <w:sz w:val="18"/>
                <w:szCs w:val="18"/>
              </w:rPr>
              <w:t xml:space="preserve">12 to 32) per administration </w:t>
            </w:r>
          </w:p>
        </w:tc>
      </w:tr>
      <w:tr w:rsidR="003B74AE" w:rsidRPr="00D326F8" w14:paraId="601A80BB"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B8"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Frequency</w:t>
            </w:r>
          </w:p>
        </w:tc>
        <w:tc>
          <w:tcPr>
            <w:tcW w:w="1707" w:type="pct"/>
            <w:tcBorders>
              <w:top w:val="single" w:sz="4" w:space="0" w:color="auto"/>
              <w:left w:val="single" w:sz="4" w:space="0" w:color="auto"/>
              <w:bottom w:val="single" w:sz="4" w:space="0" w:color="auto"/>
              <w:right w:val="single" w:sz="4" w:space="0" w:color="auto"/>
            </w:tcBorders>
            <w:hideMark/>
          </w:tcPr>
          <w:p w14:paraId="601A80B9"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Single dose on Day 1 and Day 26 in the morning</w:t>
            </w:r>
          </w:p>
        </w:tc>
        <w:tc>
          <w:tcPr>
            <w:tcW w:w="1707" w:type="pct"/>
            <w:tcBorders>
              <w:top w:val="single" w:sz="4" w:space="0" w:color="auto"/>
              <w:left w:val="single" w:sz="4" w:space="0" w:color="auto"/>
              <w:bottom w:val="single" w:sz="4" w:space="0" w:color="auto"/>
              <w:right w:val="single" w:sz="4" w:space="0" w:color="auto"/>
            </w:tcBorders>
            <w:hideMark/>
          </w:tcPr>
          <w:p w14:paraId="601A80BA" w14:textId="08A4198B"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Twice daily at the same time each day in the morning and evening (± 1 hour) from Day</w:t>
            </w:r>
            <w:r w:rsidR="00A86951" w:rsidRPr="00D326F8">
              <w:rPr>
                <w:rFonts w:ascii="Arial" w:hAnsi="Arial" w:cs="Arial"/>
                <w:sz w:val="18"/>
                <w:szCs w:val="18"/>
              </w:rPr>
              <w:t> </w:t>
            </w:r>
            <w:r w:rsidRPr="00D326F8">
              <w:rPr>
                <w:rFonts w:ascii="Arial" w:hAnsi="Arial" w:cs="Arial"/>
                <w:sz w:val="18"/>
                <w:szCs w:val="18"/>
              </w:rPr>
              <w:t>8 to Day</w:t>
            </w:r>
            <w:r w:rsidR="00A86951" w:rsidRPr="00D326F8">
              <w:rPr>
                <w:rFonts w:ascii="Arial" w:hAnsi="Arial" w:cs="Arial"/>
                <w:sz w:val="18"/>
                <w:szCs w:val="18"/>
              </w:rPr>
              <w:t> </w:t>
            </w:r>
            <w:r w:rsidRPr="00D326F8">
              <w:rPr>
                <w:rFonts w:ascii="Arial" w:hAnsi="Arial" w:cs="Arial"/>
                <w:sz w:val="18"/>
                <w:szCs w:val="18"/>
              </w:rPr>
              <w:t>32</w:t>
            </w:r>
          </w:p>
        </w:tc>
      </w:tr>
      <w:tr w:rsidR="003B74AE" w:rsidRPr="00D326F8" w14:paraId="601A80BF"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BC"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Route of Administration</w:t>
            </w:r>
          </w:p>
        </w:tc>
        <w:tc>
          <w:tcPr>
            <w:tcW w:w="1707" w:type="pct"/>
            <w:tcBorders>
              <w:top w:val="single" w:sz="4" w:space="0" w:color="auto"/>
              <w:left w:val="single" w:sz="4" w:space="0" w:color="auto"/>
              <w:bottom w:val="single" w:sz="4" w:space="0" w:color="auto"/>
              <w:right w:val="single" w:sz="4" w:space="0" w:color="auto"/>
            </w:tcBorders>
            <w:hideMark/>
          </w:tcPr>
          <w:p w14:paraId="601A80BD"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Oral</w:t>
            </w:r>
          </w:p>
        </w:tc>
        <w:tc>
          <w:tcPr>
            <w:tcW w:w="1707" w:type="pct"/>
            <w:tcBorders>
              <w:top w:val="single" w:sz="4" w:space="0" w:color="auto"/>
              <w:left w:val="single" w:sz="4" w:space="0" w:color="auto"/>
              <w:bottom w:val="single" w:sz="4" w:space="0" w:color="auto"/>
              <w:right w:val="single" w:sz="4" w:space="0" w:color="auto"/>
            </w:tcBorders>
            <w:hideMark/>
          </w:tcPr>
          <w:p w14:paraId="601A80BE"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Oral</w:t>
            </w:r>
          </w:p>
        </w:tc>
      </w:tr>
      <w:tr w:rsidR="003B74AE" w:rsidRPr="00D326F8" w14:paraId="601A80C3"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C0"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Use</w:t>
            </w:r>
          </w:p>
        </w:tc>
        <w:tc>
          <w:tcPr>
            <w:tcW w:w="1707" w:type="pct"/>
            <w:tcBorders>
              <w:top w:val="single" w:sz="4" w:space="0" w:color="auto"/>
              <w:left w:val="single" w:sz="4" w:space="0" w:color="auto"/>
              <w:bottom w:val="single" w:sz="4" w:space="0" w:color="auto"/>
              <w:right w:val="single" w:sz="4" w:space="0" w:color="auto"/>
            </w:tcBorders>
            <w:hideMark/>
          </w:tcPr>
          <w:p w14:paraId="601A80C1"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Experimental</w:t>
            </w:r>
          </w:p>
        </w:tc>
        <w:tc>
          <w:tcPr>
            <w:tcW w:w="1707" w:type="pct"/>
            <w:tcBorders>
              <w:top w:val="single" w:sz="4" w:space="0" w:color="auto"/>
              <w:left w:val="single" w:sz="4" w:space="0" w:color="auto"/>
              <w:bottom w:val="single" w:sz="4" w:space="0" w:color="auto"/>
              <w:right w:val="single" w:sz="4" w:space="0" w:color="auto"/>
            </w:tcBorders>
            <w:hideMark/>
          </w:tcPr>
          <w:p w14:paraId="601A80C2"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Experimental</w:t>
            </w:r>
          </w:p>
        </w:tc>
      </w:tr>
      <w:tr w:rsidR="003B74AE" w:rsidRPr="00D326F8" w14:paraId="601A80C7"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C4" w14:textId="690F2D01"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Investigational Medicinal Product (IMP) and Non</w:t>
            </w:r>
            <w:r w:rsidR="00A86951" w:rsidRPr="00D326F8">
              <w:rPr>
                <w:rFonts w:ascii="Arial" w:hAnsi="Arial" w:cs="Arial"/>
                <w:b/>
                <w:bCs/>
                <w:sz w:val="18"/>
                <w:szCs w:val="18"/>
              </w:rPr>
              <w:noBreakHyphen/>
            </w:r>
            <w:r w:rsidRPr="00D326F8">
              <w:rPr>
                <w:rFonts w:ascii="Arial" w:hAnsi="Arial" w:cs="Arial"/>
                <w:b/>
                <w:bCs/>
                <w:sz w:val="18"/>
                <w:szCs w:val="18"/>
              </w:rPr>
              <w:t>Investigational Medicinal Product (NIMP)</w:t>
            </w:r>
          </w:p>
        </w:tc>
        <w:tc>
          <w:tcPr>
            <w:tcW w:w="1707" w:type="pct"/>
            <w:tcBorders>
              <w:top w:val="single" w:sz="4" w:space="0" w:color="auto"/>
              <w:left w:val="single" w:sz="4" w:space="0" w:color="auto"/>
              <w:bottom w:val="single" w:sz="4" w:space="0" w:color="auto"/>
              <w:right w:val="single" w:sz="4" w:space="0" w:color="auto"/>
            </w:tcBorders>
            <w:hideMark/>
          </w:tcPr>
          <w:p w14:paraId="601A80C5"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 xml:space="preserve">IMP: Tepotinib </w:t>
            </w:r>
          </w:p>
        </w:tc>
        <w:tc>
          <w:tcPr>
            <w:tcW w:w="1707" w:type="pct"/>
            <w:tcBorders>
              <w:top w:val="single" w:sz="4" w:space="0" w:color="auto"/>
              <w:left w:val="single" w:sz="4" w:space="0" w:color="auto"/>
              <w:bottom w:val="single" w:sz="4" w:space="0" w:color="auto"/>
              <w:right w:val="single" w:sz="4" w:space="0" w:color="auto"/>
            </w:tcBorders>
            <w:hideMark/>
          </w:tcPr>
          <w:p w14:paraId="601A80C6"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 xml:space="preserve">IMP: Carbamazepine </w:t>
            </w:r>
          </w:p>
        </w:tc>
      </w:tr>
      <w:tr w:rsidR="003B74AE" w:rsidRPr="00D326F8" w14:paraId="601A80CB" w14:textId="77777777" w:rsidTr="00B60618">
        <w:trPr>
          <w:cantSplit/>
        </w:trPr>
        <w:tc>
          <w:tcPr>
            <w:tcW w:w="1586" w:type="pct"/>
            <w:tcBorders>
              <w:top w:val="single" w:sz="4" w:space="0" w:color="auto"/>
              <w:left w:val="single" w:sz="4" w:space="0" w:color="auto"/>
              <w:bottom w:val="single" w:sz="4" w:space="0" w:color="auto"/>
              <w:right w:val="single" w:sz="4" w:space="0" w:color="auto"/>
            </w:tcBorders>
            <w:hideMark/>
          </w:tcPr>
          <w:p w14:paraId="601A80C8"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Sourcing</w:t>
            </w:r>
          </w:p>
        </w:tc>
        <w:tc>
          <w:tcPr>
            <w:tcW w:w="1707" w:type="pct"/>
            <w:tcBorders>
              <w:top w:val="single" w:sz="4" w:space="0" w:color="auto"/>
              <w:left w:val="single" w:sz="4" w:space="0" w:color="auto"/>
              <w:bottom w:val="single" w:sz="4" w:space="0" w:color="auto"/>
              <w:right w:val="single" w:sz="4" w:space="0" w:color="auto"/>
            </w:tcBorders>
            <w:hideMark/>
          </w:tcPr>
          <w:p w14:paraId="601A80C9"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 xml:space="preserve">Sponsor (Merck Healthcare </w:t>
            </w:r>
            <w:proofErr w:type="spellStart"/>
            <w:r w:rsidRPr="00D326F8">
              <w:rPr>
                <w:rFonts w:ascii="Arial" w:hAnsi="Arial" w:cs="Arial"/>
                <w:sz w:val="18"/>
                <w:szCs w:val="18"/>
              </w:rPr>
              <w:t>KGaA</w:t>
            </w:r>
            <w:proofErr w:type="spellEnd"/>
            <w:r w:rsidRPr="00D326F8">
              <w:rPr>
                <w:rFonts w:ascii="Arial" w:hAnsi="Arial" w:cs="Arial"/>
                <w:sz w:val="18"/>
                <w:szCs w:val="18"/>
              </w:rPr>
              <w:t>)</w:t>
            </w:r>
          </w:p>
        </w:tc>
        <w:tc>
          <w:tcPr>
            <w:tcW w:w="1707" w:type="pct"/>
            <w:tcBorders>
              <w:top w:val="single" w:sz="4" w:space="0" w:color="auto"/>
              <w:left w:val="single" w:sz="4" w:space="0" w:color="auto"/>
              <w:bottom w:val="single" w:sz="4" w:space="0" w:color="auto"/>
              <w:right w:val="single" w:sz="4" w:space="0" w:color="auto"/>
            </w:tcBorders>
            <w:hideMark/>
          </w:tcPr>
          <w:p w14:paraId="601A80CA"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 xml:space="preserve">Sponsor (Merck Healthcare </w:t>
            </w:r>
            <w:proofErr w:type="spellStart"/>
            <w:r w:rsidRPr="00D326F8">
              <w:rPr>
                <w:rFonts w:ascii="Arial" w:hAnsi="Arial" w:cs="Arial"/>
                <w:sz w:val="18"/>
                <w:szCs w:val="18"/>
              </w:rPr>
              <w:t>KGaA</w:t>
            </w:r>
            <w:proofErr w:type="spellEnd"/>
            <w:r w:rsidRPr="00D326F8">
              <w:rPr>
                <w:rFonts w:ascii="Arial" w:hAnsi="Arial" w:cs="Arial"/>
                <w:sz w:val="18"/>
                <w:szCs w:val="18"/>
              </w:rPr>
              <w:t xml:space="preserve">) </w:t>
            </w:r>
          </w:p>
        </w:tc>
      </w:tr>
      <w:tr w:rsidR="003B74AE" w:rsidRPr="00D326F8" w14:paraId="601A80D1" w14:textId="77777777" w:rsidTr="0054633D">
        <w:trPr>
          <w:cantSplit/>
        </w:trPr>
        <w:tc>
          <w:tcPr>
            <w:tcW w:w="1586" w:type="pct"/>
            <w:tcBorders>
              <w:top w:val="single" w:sz="4" w:space="0" w:color="auto"/>
              <w:left w:val="single" w:sz="4" w:space="0" w:color="auto"/>
              <w:bottom w:val="single" w:sz="4" w:space="0" w:color="auto"/>
              <w:right w:val="single" w:sz="4" w:space="0" w:color="auto"/>
            </w:tcBorders>
            <w:hideMark/>
          </w:tcPr>
          <w:p w14:paraId="601A80CC" w14:textId="77777777" w:rsidR="00B60618" w:rsidRPr="00D326F8" w:rsidRDefault="003E23E4" w:rsidP="00B60618">
            <w:pPr>
              <w:keepNext/>
              <w:keepLines/>
              <w:spacing w:before="40" w:after="40"/>
              <w:jc w:val="left"/>
              <w:rPr>
                <w:rFonts w:ascii="Arial" w:hAnsi="Arial" w:cs="Arial"/>
                <w:b/>
                <w:bCs/>
                <w:sz w:val="18"/>
                <w:szCs w:val="18"/>
              </w:rPr>
            </w:pPr>
            <w:r w:rsidRPr="00D326F8">
              <w:rPr>
                <w:rFonts w:ascii="Arial" w:hAnsi="Arial" w:cs="Arial"/>
                <w:b/>
                <w:bCs/>
                <w:sz w:val="18"/>
                <w:szCs w:val="18"/>
              </w:rPr>
              <w:t>Packaging and Labeling</w:t>
            </w:r>
          </w:p>
        </w:tc>
        <w:tc>
          <w:tcPr>
            <w:tcW w:w="1707" w:type="pct"/>
            <w:tcBorders>
              <w:top w:val="single" w:sz="4" w:space="0" w:color="auto"/>
              <w:left w:val="single" w:sz="4" w:space="0" w:color="auto"/>
              <w:bottom w:val="single" w:sz="4" w:space="0" w:color="auto"/>
              <w:right w:val="single" w:sz="4" w:space="0" w:color="auto"/>
            </w:tcBorders>
            <w:hideMark/>
          </w:tcPr>
          <w:p w14:paraId="601A80CD" w14:textId="77777777" w:rsidR="00575A21" w:rsidRPr="00D326F8" w:rsidRDefault="003E23E4" w:rsidP="00575A21">
            <w:pPr>
              <w:keepNext/>
              <w:spacing w:before="40" w:after="40"/>
              <w:jc w:val="left"/>
              <w:rPr>
                <w:rFonts w:ascii="Arial" w:hAnsi="Arial" w:cs="Arial"/>
                <w:sz w:val="18"/>
                <w:szCs w:val="18"/>
              </w:rPr>
            </w:pPr>
            <w:r w:rsidRPr="00D326F8">
              <w:rPr>
                <w:rFonts w:ascii="Arial" w:hAnsi="Arial" w:cs="Arial"/>
                <w:sz w:val="18"/>
                <w:szCs w:val="18"/>
              </w:rPr>
              <w:t xml:space="preserve">Study intervention will be provided as blisters in screw-cap bottles that are packaged and labeled per all applicable regulatory requirements and Good Manufacturing Practice Guidelines.  </w:t>
            </w:r>
          </w:p>
          <w:p w14:paraId="601A80CE"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 xml:space="preserve">Details on </w:t>
            </w:r>
            <w:r w:rsidR="00575A21" w:rsidRPr="00D326F8">
              <w:rPr>
                <w:rFonts w:ascii="Arial" w:hAnsi="Arial" w:cs="Arial"/>
                <w:sz w:val="18"/>
                <w:szCs w:val="18"/>
              </w:rPr>
              <w:t xml:space="preserve">packaging design and </w:t>
            </w:r>
            <w:r w:rsidRPr="00D326F8">
              <w:rPr>
                <w:rFonts w:ascii="Arial" w:hAnsi="Arial" w:cs="Arial"/>
                <w:sz w:val="18"/>
                <w:szCs w:val="18"/>
              </w:rPr>
              <w:t>administration of tepotinib will be defined in the IMP Handling Manual.</w:t>
            </w:r>
          </w:p>
        </w:tc>
        <w:tc>
          <w:tcPr>
            <w:tcW w:w="1707" w:type="pct"/>
            <w:tcBorders>
              <w:top w:val="single" w:sz="4" w:space="0" w:color="auto"/>
              <w:left w:val="single" w:sz="4" w:space="0" w:color="auto"/>
              <w:bottom w:val="single" w:sz="4" w:space="0" w:color="auto"/>
              <w:right w:val="single" w:sz="4" w:space="0" w:color="auto"/>
            </w:tcBorders>
            <w:hideMark/>
          </w:tcPr>
          <w:p w14:paraId="601A80CF" w14:textId="2FF52C45" w:rsidR="00176A8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 xml:space="preserve">Study intervention will be sourced as commercial packs and </w:t>
            </w:r>
            <w:r w:rsidR="00CF2490" w:rsidRPr="00D326F8">
              <w:rPr>
                <w:rFonts w:ascii="Arial" w:hAnsi="Arial" w:cs="Arial"/>
                <w:sz w:val="18"/>
                <w:szCs w:val="18"/>
              </w:rPr>
              <w:t>labeled</w:t>
            </w:r>
            <w:r w:rsidR="00575A21" w:rsidRPr="00D326F8">
              <w:rPr>
                <w:rFonts w:ascii="Arial" w:hAnsi="Arial" w:cs="Arial"/>
                <w:sz w:val="18"/>
                <w:szCs w:val="18"/>
              </w:rPr>
              <w:t xml:space="preserve"> per all applicable regulatory requirements and Good Manufacturing Practice.</w:t>
            </w:r>
            <w:r w:rsidRPr="00D326F8">
              <w:rPr>
                <w:rFonts w:ascii="Arial" w:hAnsi="Arial" w:cs="Arial"/>
                <w:sz w:val="18"/>
                <w:szCs w:val="18"/>
              </w:rPr>
              <w:t xml:space="preserve"> </w:t>
            </w:r>
          </w:p>
          <w:p w14:paraId="601A80D0" w14:textId="77777777" w:rsidR="00B60618" w:rsidRPr="00D326F8" w:rsidRDefault="003E23E4" w:rsidP="00B60618">
            <w:pPr>
              <w:keepNext/>
              <w:keepLines/>
              <w:spacing w:before="40" w:after="40"/>
              <w:jc w:val="left"/>
              <w:rPr>
                <w:rFonts w:ascii="Arial" w:hAnsi="Arial" w:cs="Arial"/>
                <w:sz w:val="18"/>
                <w:szCs w:val="18"/>
              </w:rPr>
            </w:pPr>
            <w:r w:rsidRPr="00D326F8">
              <w:rPr>
                <w:rFonts w:ascii="Arial" w:hAnsi="Arial" w:cs="Arial"/>
                <w:sz w:val="18"/>
                <w:szCs w:val="18"/>
              </w:rPr>
              <w:t>Details on</w:t>
            </w:r>
            <w:r w:rsidR="00575A21" w:rsidRPr="00D326F8">
              <w:rPr>
                <w:rFonts w:ascii="Arial" w:hAnsi="Arial" w:cs="Arial"/>
                <w:sz w:val="18"/>
                <w:szCs w:val="18"/>
              </w:rPr>
              <w:t xml:space="preserve"> packaging design and</w:t>
            </w:r>
            <w:r w:rsidRPr="00D326F8">
              <w:rPr>
                <w:rFonts w:ascii="Arial" w:hAnsi="Arial" w:cs="Arial"/>
                <w:sz w:val="18"/>
                <w:szCs w:val="18"/>
              </w:rPr>
              <w:t xml:space="preserve"> administration of </w:t>
            </w:r>
            <w:r w:rsidR="00873995" w:rsidRPr="00D326F8">
              <w:rPr>
                <w:rFonts w:ascii="Arial" w:hAnsi="Arial" w:cs="Arial"/>
                <w:sz w:val="18"/>
                <w:szCs w:val="18"/>
              </w:rPr>
              <w:t>carbamazepine</w:t>
            </w:r>
            <w:r w:rsidRPr="00D326F8">
              <w:rPr>
                <w:rFonts w:ascii="Arial" w:hAnsi="Arial" w:cs="Arial"/>
                <w:sz w:val="18"/>
                <w:szCs w:val="18"/>
              </w:rPr>
              <w:t xml:space="preserve"> will be defined in the IMP Handling Manual.</w:t>
            </w:r>
          </w:p>
        </w:tc>
      </w:tr>
      <w:tr w:rsidR="003B74AE" w:rsidRPr="00D326F8" w14:paraId="601A80D3" w14:textId="77777777" w:rsidTr="0054633D">
        <w:trPr>
          <w:cantSplit/>
        </w:trPr>
        <w:tc>
          <w:tcPr>
            <w:tcW w:w="5000" w:type="pct"/>
            <w:gridSpan w:val="3"/>
            <w:tcBorders>
              <w:top w:val="single" w:sz="4" w:space="0" w:color="auto"/>
              <w:left w:val="nil"/>
              <w:bottom w:val="nil"/>
              <w:right w:val="nil"/>
            </w:tcBorders>
          </w:tcPr>
          <w:p w14:paraId="601A80D2" w14:textId="77777777" w:rsidR="0054633D" w:rsidRPr="00D326F8" w:rsidRDefault="003E23E4" w:rsidP="0054633D">
            <w:pPr>
              <w:pStyle w:val="Tablefootnote"/>
            </w:pPr>
            <w:r w:rsidRPr="00D326F8">
              <w:t>IMP=investigational medicinal product.</w:t>
            </w:r>
          </w:p>
        </w:tc>
      </w:tr>
    </w:tbl>
    <w:p w14:paraId="601A80D4" w14:textId="77777777" w:rsidR="00B44D8E" w:rsidRPr="00D326F8" w:rsidRDefault="003E23E4" w:rsidP="00D0032C">
      <w:pPr>
        <w:pStyle w:val="Heading2"/>
        <w:tabs>
          <w:tab w:val="clear" w:pos="4896"/>
          <w:tab w:val="num" w:pos="5130"/>
        </w:tabs>
        <w:ind w:left="1980" w:hanging="1980"/>
      </w:pPr>
      <w:bookmarkStart w:id="115" w:name="_Toc77839743"/>
      <w:r w:rsidRPr="00D326F8">
        <w:t>Study Intervention(s) Preparation, Handling, Storage, and Accountability</w:t>
      </w:r>
      <w:bookmarkEnd w:id="115"/>
    </w:p>
    <w:p w14:paraId="601A80D5" w14:textId="77777777" w:rsidR="00B44D8E" w:rsidRPr="00D326F8" w:rsidRDefault="003E23E4" w:rsidP="00A86951">
      <w:pPr>
        <w:pStyle w:val="BodyText"/>
      </w:pPr>
      <w:r w:rsidRPr="00D326F8">
        <w:t xml:space="preserve">The </w:t>
      </w:r>
      <w:r w:rsidR="0081739D" w:rsidRPr="00D326F8">
        <w:t>I</w:t>
      </w:r>
      <w:r w:rsidRPr="00D326F8">
        <w:t>nvestigator, institution, or the head of the medical institution (where applicable) is responsible for study intervention accountability, reconciliation, and record maintenance (i.e., receipt, reconciliation, and final disposition records).</w:t>
      </w:r>
    </w:p>
    <w:p w14:paraId="601A80D6" w14:textId="77777777" w:rsidR="00B44D8E" w:rsidRPr="00D326F8" w:rsidRDefault="003E23E4" w:rsidP="008D37C0">
      <w:pPr>
        <w:pStyle w:val="List1withbullet"/>
        <w:ind w:left="357" w:hanging="357"/>
      </w:pPr>
      <w:r w:rsidRPr="00D326F8">
        <w:t xml:space="preserve">Upon receipt of the study intervention(s), the </w:t>
      </w:r>
      <w:r w:rsidR="0081739D" w:rsidRPr="00D326F8">
        <w:t>I</w:t>
      </w:r>
      <w:r w:rsidRPr="00D326F8">
        <w:t xml:space="preserve">nvestigator or designee </w:t>
      </w:r>
      <w:r w:rsidR="00785BC8" w:rsidRPr="00D326F8">
        <w:t>will</w:t>
      </w:r>
      <w:r w:rsidRPr="00D326F8">
        <w:t xml:space="preserve"> confirm appropriate temperature conditions have been maintained during transit and any discrepancies are reported and resolved before use.</w:t>
      </w:r>
      <w:r w:rsidR="00665EE6" w:rsidRPr="00D326F8">
        <w:t xml:space="preserve"> </w:t>
      </w:r>
      <w:r w:rsidRPr="00D326F8">
        <w:t>Also, the responsible person will check for accurate delivery.</w:t>
      </w:r>
      <w:r w:rsidR="00E952F0" w:rsidRPr="00D326F8">
        <w:t xml:space="preserve"> Further guidance and information for study intervention accountability are provided in the</w:t>
      </w:r>
      <w:r w:rsidR="00E952F0" w:rsidRPr="00D326F8">
        <w:rPr>
          <w:color w:val="0070C0"/>
        </w:rPr>
        <w:t xml:space="preserve"> </w:t>
      </w:r>
      <w:r w:rsidR="00873995" w:rsidRPr="00D326F8">
        <w:t>IMP handling manual</w:t>
      </w:r>
      <w:r w:rsidR="00E952F0" w:rsidRPr="00D326F8">
        <w:t>.</w:t>
      </w:r>
    </w:p>
    <w:p w14:paraId="601A80D7" w14:textId="77777777" w:rsidR="00B44D8E" w:rsidRPr="00D326F8" w:rsidRDefault="003E23E4" w:rsidP="008D37C0">
      <w:pPr>
        <w:pStyle w:val="List1withbullet"/>
        <w:ind w:left="357" w:hanging="357"/>
      </w:pPr>
      <w:r w:rsidRPr="00D326F8">
        <w:t>Only participants enrolled in the study may receive study intervention(s) and only authorized site staff may supply it.</w:t>
      </w:r>
      <w:r w:rsidR="00665EE6" w:rsidRPr="00D326F8">
        <w:t xml:space="preserve"> </w:t>
      </w:r>
      <w:r w:rsidRPr="00D326F8">
        <w:t xml:space="preserve">All study intervention(s) </w:t>
      </w:r>
      <w:r w:rsidR="00785BC8" w:rsidRPr="00D326F8">
        <w:t>will</w:t>
      </w:r>
      <w:r w:rsidRPr="00D326F8">
        <w:t xml:space="preserve"> be stored in a secure, </w:t>
      </w:r>
      <w:r w:rsidR="00BC1E8B" w:rsidRPr="00D326F8">
        <w:t>environmentally controlled</w:t>
      </w:r>
      <w:r w:rsidRPr="00D326F8">
        <w:t xml:space="preserve">, and monitored (manual or automated) area, </w:t>
      </w:r>
      <w:r w:rsidR="00785BC8" w:rsidRPr="00D326F8">
        <w:t>per</w:t>
      </w:r>
      <w:r w:rsidRPr="00D326F8">
        <w:t xml:space="preserve"> the labeled storage conditions, and with access limited to the </w:t>
      </w:r>
      <w:r w:rsidR="0081739D" w:rsidRPr="00D326F8">
        <w:t>I</w:t>
      </w:r>
      <w:r w:rsidRPr="00D326F8">
        <w:t>nvestigator and authorized site staff.</w:t>
      </w:r>
    </w:p>
    <w:p w14:paraId="601A80D8" w14:textId="77777777" w:rsidR="00B44D8E" w:rsidRPr="00D326F8" w:rsidRDefault="003E23E4" w:rsidP="008D37C0">
      <w:pPr>
        <w:pStyle w:val="List1withbullet"/>
        <w:ind w:left="357" w:hanging="357"/>
      </w:pPr>
      <w:r w:rsidRPr="00D326F8">
        <w:t>Dispensing will be recorded on the appropriate accountability forms so that accurate records will be available for verification at each monitoring visit.</w:t>
      </w:r>
    </w:p>
    <w:p w14:paraId="601A80D9" w14:textId="77777777" w:rsidR="00B44D8E" w:rsidRPr="00D326F8" w:rsidRDefault="003E23E4" w:rsidP="008D37C0">
      <w:pPr>
        <w:pStyle w:val="List1withbullet"/>
        <w:ind w:left="357" w:hanging="357"/>
      </w:pPr>
      <w:r w:rsidRPr="00D326F8">
        <w:lastRenderedPageBreak/>
        <w:t>Study intervention(s) accountability records at the study site will include the following:</w:t>
      </w:r>
    </w:p>
    <w:p w14:paraId="601A80DA" w14:textId="77777777" w:rsidR="00B44D8E" w:rsidRPr="00D326F8" w:rsidRDefault="003E23E4" w:rsidP="00947E23">
      <w:pPr>
        <w:pStyle w:val="List2withbullet"/>
        <w:tabs>
          <w:tab w:val="clear" w:pos="576"/>
          <w:tab w:val="num" w:pos="851"/>
        </w:tabs>
        <w:ind w:left="851"/>
      </w:pPr>
      <w:r w:rsidRPr="00D326F8">
        <w:t>Confirmation of receipt, in good condition and in the defined temperature range.</w:t>
      </w:r>
    </w:p>
    <w:p w14:paraId="601A80DB" w14:textId="77777777" w:rsidR="00B44D8E" w:rsidRPr="00D326F8" w:rsidRDefault="003E23E4" w:rsidP="00947E23">
      <w:pPr>
        <w:pStyle w:val="List2withbullet"/>
        <w:tabs>
          <w:tab w:val="clear" w:pos="576"/>
          <w:tab w:val="num" w:pos="851"/>
        </w:tabs>
        <w:ind w:left="851"/>
      </w:pPr>
      <w:r w:rsidRPr="00D326F8">
        <w:t>The inventory provided for the clinical study and prepared at the site.</w:t>
      </w:r>
    </w:p>
    <w:p w14:paraId="601A80DC" w14:textId="77777777" w:rsidR="00B44D8E" w:rsidRPr="00D326F8" w:rsidRDefault="003E23E4" w:rsidP="00947E23">
      <w:pPr>
        <w:pStyle w:val="List2withbullet"/>
        <w:tabs>
          <w:tab w:val="clear" w:pos="576"/>
          <w:tab w:val="num" w:pos="851"/>
        </w:tabs>
        <w:ind w:left="851"/>
      </w:pPr>
      <w:r w:rsidRPr="00D326F8">
        <w:t>The dose(s) each participant used during the study.</w:t>
      </w:r>
    </w:p>
    <w:p w14:paraId="601A80DD" w14:textId="77777777" w:rsidR="00B44D8E" w:rsidRPr="00D326F8" w:rsidRDefault="003E23E4" w:rsidP="00947E23">
      <w:pPr>
        <w:pStyle w:val="List2withbullet"/>
        <w:tabs>
          <w:tab w:val="clear" w:pos="576"/>
          <w:tab w:val="num" w:pos="851"/>
        </w:tabs>
        <w:ind w:left="851"/>
      </w:pPr>
      <w:r w:rsidRPr="00D326F8">
        <w:t>The disposition (including return, if applicable) of any unused study intervention(s).</w:t>
      </w:r>
    </w:p>
    <w:p w14:paraId="601A80DE" w14:textId="77777777" w:rsidR="00B44D8E" w:rsidRPr="00D326F8" w:rsidRDefault="003E23E4" w:rsidP="00947E23">
      <w:pPr>
        <w:pStyle w:val="List2withbullet"/>
        <w:tabs>
          <w:tab w:val="clear" w:pos="576"/>
          <w:tab w:val="num" w:pos="851"/>
        </w:tabs>
        <w:ind w:left="851"/>
      </w:pPr>
      <w:r w:rsidRPr="00D326F8">
        <w:t xml:space="preserve">Dates, quantities, batch numbers, </w:t>
      </w:r>
      <w:r w:rsidR="00097D90" w:rsidRPr="00D326F8">
        <w:t xml:space="preserve">container </w:t>
      </w:r>
      <w:r w:rsidRPr="00D326F8">
        <w:t>numbers, expiry dates, and the participant numbers.</w:t>
      </w:r>
    </w:p>
    <w:p w14:paraId="601A80DF" w14:textId="77777777" w:rsidR="00B44D8E" w:rsidRPr="00D326F8" w:rsidRDefault="003E23E4" w:rsidP="008D37C0">
      <w:pPr>
        <w:pStyle w:val="List1withbullet"/>
        <w:ind w:left="357" w:hanging="357"/>
      </w:pPr>
      <w:r w:rsidRPr="00D326F8">
        <w:t>The Investigator site will maintain records, which adequately documents that participants were provided the doses specified in this protocol, and all study intervention(s) provided were fully reconciled.</w:t>
      </w:r>
    </w:p>
    <w:p w14:paraId="601A80E0" w14:textId="3E18856E" w:rsidR="00B44D8E" w:rsidRPr="00D326F8" w:rsidRDefault="003E23E4" w:rsidP="008D37C0">
      <w:pPr>
        <w:pStyle w:val="List1withbullet"/>
        <w:ind w:left="357" w:hanging="357"/>
      </w:pPr>
      <w:r w:rsidRPr="00D326F8">
        <w:t xml:space="preserve">Unused study intervention(s) </w:t>
      </w:r>
      <w:r w:rsidR="00785BC8" w:rsidRPr="00D326F8">
        <w:t>will</w:t>
      </w:r>
      <w:r w:rsidRPr="00D326F8">
        <w:t xml:space="preserve"> not be discarded or used for any purpose other than the present study. No study intervention that is dispensed to a participant may be </w:t>
      </w:r>
      <w:proofErr w:type="spellStart"/>
      <w:r w:rsidRPr="00D326F8">
        <w:t>redispensed</w:t>
      </w:r>
      <w:proofErr w:type="spellEnd"/>
      <w:r w:rsidRPr="00D326F8">
        <w:t xml:space="preserve"> to a different participant.</w:t>
      </w:r>
    </w:p>
    <w:p w14:paraId="601A80E1" w14:textId="77777777" w:rsidR="00B44D8E" w:rsidRPr="00D326F8" w:rsidRDefault="003E23E4" w:rsidP="008D37C0">
      <w:pPr>
        <w:pStyle w:val="List1withbullet"/>
        <w:ind w:left="357" w:hanging="357"/>
      </w:pPr>
      <w:r w:rsidRPr="00D326F8">
        <w:t>A Study Monitor will periodically collect the study intervention(s) accountability forms.</w:t>
      </w:r>
    </w:p>
    <w:p w14:paraId="601A80E2" w14:textId="77777777" w:rsidR="00947E23" w:rsidRPr="00D326F8" w:rsidRDefault="003E23E4" w:rsidP="008D37C0">
      <w:pPr>
        <w:pStyle w:val="List1withbullet"/>
        <w:ind w:left="357" w:hanging="357"/>
      </w:pPr>
      <w:bookmarkStart w:id="116" w:name="_Hlk1736760"/>
      <w:r w:rsidRPr="00D326F8">
        <w:t xml:space="preserve">Further guidance and information for the final disposition of unused study intervention(s) are provided in the </w:t>
      </w:r>
      <w:r w:rsidR="007C7CA7" w:rsidRPr="00D326F8">
        <w:t>IMP handling manual</w:t>
      </w:r>
      <w:r w:rsidRPr="00D326F8">
        <w:t>.</w:t>
      </w:r>
      <w:bookmarkEnd w:id="116"/>
    </w:p>
    <w:p w14:paraId="601A80E3" w14:textId="77777777" w:rsidR="00B44D8E" w:rsidRPr="00D326F8" w:rsidRDefault="003E23E4" w:rsidP="00D0032C">
      <w:pPr>
        <w:pStyle w:val="Heading2"/>
        <w:tabs>
          <w:tab w:val="clear" w:pos="4896"/>
          <w:tab w:val="num" w:pos="5130"/>
        </w:tabs>
        <w:ind w:left="1980" w:hanging="1980"/>
      </w:pPr>
      <w:bookmarkStart w:id="117" w:name="_Toc77839744"/>
      <w:r w:rsidRPr="00D326F8">
        <w:t>Measures to Minimize Bias: Study Intervention Assignment and Blinding</w:t>
      </w:r>
      <w:bookmarkEnd w:id="117"/>
    </w:p>
    <w:p w14:paraId="601A80E4" w14:textId="77777777" w:rsidR="00B44D8E" w:rsidRPr="00D326F8" w:rsidRDefault="003E23E4" w:rsidP="0069106E">
      <w:pPr>
        <w:pStyle w:val="Heading3"/>
      </w:pPr>
      <w:bookmarkStart w:id="118" w:name="_Toc77839745"/>
      <w:r w:rsidRPr="00D326F8">
        <w:t>Study Intervention Assignment</w:t>
      </w:r>
      <w:bookmarkEnd w:id="118"/>
    </w:p>
    <w:p w14:paraId="601A80E5" w14:textId="77777777" w:rsidR="00893020" w:rsidRPr="00D326F8" w:rsidRDefault="003E23E4" w:rsidP="007221F1">
      <w:pPr>
        <w:pStyle w:val="BodyText"/>
      </w:pPr>
      <w:r w:rsidRPr="00D326F8">
        <w:t>Not applicable as this is a nonrandomized study.</w:t>
      </w:r>
    </w:p>
    <w:p w14:paraId="601A80E6" w14:textId="3672CA96" w:rsidR="002D06DE" w:rsidRPr="00D326F8" w:rsidRDefault="003E23E4" w:rsidP="002D06DE">
      <w:pPr>
        <w:pStyle w:val="BodyText"/>
      </w:pPr>
      <w:r w:rsidRPr="00D326F8">
        <w:t>After informed consent procedure, every participant is given a screening number. Only participants who comply with all selection criteria (see Sections</w:t>
      </w:r>
      <w:r w:rsidR="00157683" w:rsidRPr="00D326F8">
        <w:t xml:space="preserve"> </w:t>
      </w:r>
      <w:r w:rsidR="00157683" w:rsidRPr="00D326F8">
        <w:fldChar w:fldCharType="begin"/>
      </w:r>
      <w:r w:rsidR="00157683" w:rsidRPr="00D326F8">
        <w:instrText xml:space="preserve"> REF _Ref3989452 \n \h </w:instrText>
      </w:r>
      <w:r w:rsidR="00A636B6" w:rsidRPr="00D326F8">
        <w:instrText xml:space="preserve"> \* MERGEFORMAT </w:instrText>
      </w:r>
      <w:r w:rsidR="00157683" w:rsidRPr="00D326F8">
        <w:fldChar w:fldCharType="separate"/>
      </w:r>
      <w:r w:rsidR="00173A27">
        <w:t>5.1</w:t>
      </w:r>
      <w:r w:rsidR="00157683" w:rsidRPr="00D326F8">
        <w:fldChar w:fldCharType="end"/>
      </w:r>
      <w:r w:rsidR="00157683" w:rsidRPr="00D326F8">
        <w:t xml:space="preserve"> and </w:t>
      </w:r>
      <w:r w:rsidR="00157683" w:rsidRPr="00D326F8">
        <w:fldChar w:fldCharType="begin"/>
      </w:r>
      <w:r w:rsidR="00157683" w:rsidRPr="00D326F8">
        <w:instrText xml:space="preserve"> REF _Ref3989475 \n \h </w:instrText>
      </w:r>
      <w:r w:rsidR="00A636B6" w:rsidRPr="00D326F8">
        <w:instrText xml:space="preserve"> \* MERGEFORMAT </w:instrText>
      </w:r>
      <w:r w:rsidR="00157683" w:rsidRPr="00D326F8">
        <w:fldChar w:fldCharType="separate"/>
      </w:r>
      <w:r w:rsidR="00173A27">
        <w:t>5.2</w:t>
      </w:r>
      <w:r w:rsidR="00157683" w:rsidRPr="00D326F8">
        <w:fldChar w:fldCharType="end"/>
      </w:r>
      <w:r w:rsidRPr="00D326F8">
        <w:t xml:space="preserve">) can be included into the study. Prior to the first administration, the participants enrolled will be assigned to a unique 3-digits assignment number in ascending numerical order. </w:t>
      </w:r>
    </w:p>
    <w:p w14:paraId="601A80E7" w14:textId="77777777" w:rsidR="002D06DE" w:rsidRPr="00D326F8" w:rsidRDefault="003E23E4" w:rsidP="002D06DE">
      <w:pPr>
        <w:pStyle w:val="BodyText"/>
      </w:pPr>
      <w:r w:rsidRPr="00D326F8">
        <w:t>The Investigator will keep a record relating the participant assignment numbers and the names of all participants (including screening number and the Nuvisan GmbH identification number) who have given their informed consent, to allow easy checking of data in participant files, when required. This record will also include the date of participant’s enrollment and completion, as well as participants who could not be assigned to study intervention for whatever reason.</w:t>
      </w:r>
    </w:p>
    <w:p w14:paraId="601A80E8" w14:textId="77777777" w:rsidR="002D5216" w:rsidRPr="00D326F8" w:rsidRDefault="003E23E4" w:rsidP="00893020">
      <w:pPr>
        <w:pStyle w:val="Heading3"/>
        <w:pageBreakBefore/>
      </w:pPr>
      <w:bookmarkStart w:id="119" w:name="_Toc77839746"/>
      <w:r w:rsidRPr="00D326F8">
        <w:lastRenderedPageBreak/>
        <w:t>Blinding</w:t>
      </w:r>
      <w:bookmarkEnd w:id="119"/>
    </w:p>
    <w:p w14:paraId="601A80E9" w14:textId="77777777" w:rsidR="00CC6F9B" w:rsidRPr="00D326F8" w:rsidRDefault="003E23E4" w:rsidP="00CC6F9B">
      <w:pPr>
        <w:pStyle w:val="BodyText"/>
      </w:pPr>
      <w:r w:rsidRPr="00D326F8">
        <w:t>Not applicable</w:t>
      </w:r>
      <w:r w:rsidR="00B5062B" w:rsidRPr="00D326F8">
        <w:t>. T</w:t>
      </w:r>
      <w:r w:rsidR="006834ED" w:rsidRPr="00D326F8">
        <w:t>his is an open-label study</w:t>
      </w:r>
      <w:r w:rsidRPr="00D326F8">
        <w:t>.</w:t>
      </w:r>
    </w:p>
    <w:p w14:paraId="601A80EA" w14:textId="77777777" w:rsidR="002D5216" w:rsidRPr="00D326F8" w:rsidRDefault="003E23E4" w:rsidP="0069106E">
      <w:pPr>
        <w:pStyle w:val="Heading3"/>
      </w:pPr>
      <w:bookmarkStart w:id="120" w:name="_Toc77839747"/>
      <w:r w:rsidRPr="00D326F8">
        <w:t>Emergency Unblinding</w:t>
      </w:r>
      <w:bookmarkEnd w:id="120"/>
    </w:p>
    <w:p w14:paraId="601A80EB" w14:textId="77777777" w:rsidR="00A752A2" w:rsidRPr="00D326F8" w:rsidRDefault="003E23E4" w:rsidP="00A752A2">
      <w:pPr>
        <w:pStyle w:val="BodyText"/>
      </w:pPr>
      <w:r w:rsidRPr="00D326F8">
        <w:t>Not applicable</w:t>
      </w:r>
      <w:r w:rsidR="00B5062B" w:rsidRPr="00D326F8">
        <w:t>. T</w:t>
      </w:r>
      <w:r w:rsidR="006834ED" w:rsidRPr="00D326F8">
        <w:t>his is an open-label study</w:t>
      </w:r>
      <w:r w:rsidRPr="00D326F8">
        <w:t>.</w:t>
      </w:r>
    </w:p>
    <w:p w14:paraId="601A80EC" w14:textId="77777777" w:rsidR="002D5216" w:rsidRPr="00D326F8" w:rsidRDefault="003E23E4" w:rsidP="00CC0BE1">
      <w:pPr>
        <w:pStyle w:val="Heading2"/>
        <w:tabs>
          <w:tab w:val="clear" w:pos="4896"/>
          <w:tab w:val="num" w:pos="5130"/>
        </w:tabs>
        <w:ind w:left="1620" w:hanging="1620"/>
      </w:pPr>
      <w:bookmarkStart w:id="121" w:name="_Toc77839748"/>
      <w:r w:rsidRPr="00D326F8">
        <w:t>Study Intervention Compliance</w:t>
      </w:r>
      <w:bookmarkEnd w:id="121"/>
    </w:p>
    <w:p w14:paraId="601A80ED" w14:textId="3563825D" w:rsidR="002C559A" w:rsidRPr="00D326F8" w:rsidRDefault="003E23E4" w:rsidP="00A752A2">
      <w:pPr>
        <w:pStyle w:val="List1withoutbullet"/>
        <w:ind w:left="0"/>
      </w:pPr>
      <w:r w:rsidRPr="00D326F8">
        <w:t>When participants are dosed at the site, they will receive study intervention directly from the Investigator or designee, under medical supervision. The date and time of each dose administered in the clinic will be recorded in the source documents and recorded in the CRF. The dose of study intervention and study participant identification will be confirmed at the time of dosing by a member of the study site staff other than the person administering the study intervention. Study site personnel will examine each participant’s mouth to ensure that the study intervention was ingested.</w:t>
      </w:r>
    </w:p>
    <w:p w14:paraId="601A80EE" w14:textId="77777777" w:rsidR="00603353" w:rsidRPr="00D326F8" w:rsidRDefault="003E23E4" w:rsidP="00603353">
      <w:pPr>
        <w:pStyle w:val="Heading2"/>
        <w:tabs>
          <w:tab w:val="clear" w:pos="4896"/>
          <w:tab w:val="num" w:pos="5130"/>
        </w:tabs>
        <w:ind w:left="1800" w:hanging="1800"/>
      </w:pPr>
      <w:bookmarkStart w:id="122" w:name="_Toc77839749"/>
      <w:r w:rsidRPr="00D326F8">
        <w:t>Dose Modification</w:t>
      </w:r>
      <w:bookmarkEnd w:id="122"/>
    </w:p>
    <w:p w14:paraId="601A80EF" w14:textId="77777777" w:rsidR="00A752A2" w:rsidRPr="00D326F8" w:rsidRDefault="003E23E4" w:rsidP="00A752A2">
      <w:pPr>
        <w:pStyle w:val="BodyText"/>
      </w:pPr>
      <w:r w:rsidRPr="00D326F8">
        <w:t>Doses will not be modified.</w:t>
      </w:r>
    </w:p>
    <w:p w14:paraId="601A80F0" w14:textId="77777777" w:rsidR="00CC0BE1" w:rsidRPr="00D326F8" w:rsidRDefault="003E23E4" w:rsidP="00603353">
      <w:pPr>
        <w:pStyle w:val="Heading2"/>
        <w:tabs>
          <w:tab w:val="clear" w:pos="4896"/>
          <w:tab w:val="num" w:pos="5130"/>
        </w:tabs>
        <w:ind w:left="1260" w:hanging="1260"/>
      </w:pPr>
      <w:bookmarkStart w:id="123" w:name="_Toc77839750"/>
      <w:r w:rsidRPr="00D326F8">
        <w:t>Continued Access to Study Intervention after the End of the Study</w:t>
      </w:r>
      <w:bookmarkEnd w:id="123"/>
    </w:p>
    <w:p w14:paraId="601A80F1" w14:textId="77777777" w:rsidR="00A752A2" w:rsidRPr="00D326F8" w:rsidRDefault="003E23E4" w:rsidP="00A752A2">
      <w:pPr>
        <w:pStyle w:val="BodyText"/>
      </w:pPr>
      <w:r w:rsidRPr="00D326F8">
        <w:t>The Sponsor will not provide any additional care to participants after they leave the study because such care would not differ from what is normally expected for healthy participants.</w:t>
      </w:r>
    </w:p>
    <w:p w14:paraId="601A80F2" w14:textId="77777777" w:rsidR="00603353" w:rsidRPr="00D326F8" w:rsidRDefault="003E23E4" w:rsidP="00603353">
      <w:pPr>
        <w:pStyle w:val="Heading2"/>
        <w:numPr>
          <w:ilvl w:val="1"/>
          <w:numId w:val="1"/>
        </w:numPr>
        <w:tabs>
          <w:tab w:val="clear" w:pos="4896"/>
          <w:tab w:val="num" w:pos="5220"/>
        </w:tabs>
        <w:ind w:left="1530" w:hanging="1530"/>
      </w:pPr>
      <w:bookmarkStart w:id="124" w:name="_Toc77839751"/>
      <w:r w:rsidRPr="00D326F8">
        <w:t>Treatment of Overdose</w:t>
      </w:r>
      <w:bookmarkEnd w:id="124"/>
    </w:p>
    <w:p w14:paraId="601A80F3" w14:textId="77777777" w:rsidR="00603353" w:rsidRPr="00D326F8" w:rsidRDefault="003E23E4" w:rsidP="00A752A2">
      <w:pPr>
        <w:pStyle w:val="List1withoutbullet"/>
        <w:ind w:left="0"/>
        <w:rPr>
          <w:rFonts w:eastAsia="Calibri"/>
        </w:rPr>
      </w:pPr>
      <w:r w:rsidRPr="00D326F8">
        <w:rPr>
          <w:rFonts w:eastAsia="Calibri"/>
        </w:rPr>
        <w:t xml:space="preserve">For this study, any dose of study intervention greater than </w:t>
      </w:r>
      <w:r w:rsidR="002D06DE" w:rsidRPr="00D326F8">
        <w:rPr>
          <w:rFonts w:eastAsia="Calibri"/>
        </w:rPr>
        <w:t xml:space="preserve">the maximum dose in the study that is considered safe and well-tolerated within a 24-hour </w:t>
      </w:r>
      <w:proofErr w:type="gramStart"/>
      <w:r w:rsidR="002D06DE" w:rsidRPr="00D326F8">
        <w:rPr>
          <w:rFonts w:eastAsia="Calibri"/>
        </w:rPr>
        <w:t>time period</w:t>
      </w:r>
      <w:proofErr w:type="gramEnd"/>
      <w:r w:rsidRPr="00D326F8">
        <w:rPr>
          <w:rFonts w:eastAsia="Calibri"/>
        </w:rPr>
        <w:t xml:space="preserve"> will be considered an overdose.</w:t>
      </w:r>
    </w:p>
    <w:p w14:paraId="601A80F4" w14:textId="77777777" w:rsidR="00603353" w:rsidRPr="00D326F8" w:rsidRDefault="003E23E4" w:rsidP="00A752A2">
      <w:pPr>
        <w:pStyle w:val="List1withoutbullet"/>
        <w:ind w:left="0"/>
        <w:rPr>
          <w:rFonts w:eastAsia="Calibri"/>
        </w:rPr>
      </w:pPr>
      <w:r w:rsidRPr="00D326F8">
        <w:rPr>
          <w:rFonts w:eastAsia="Calibri"/>
        </w:rPr>
        <w:t>The Sponsor has no specific recommendation for treating an overdose</w:t>
      </w:r>
      <w:r w:rsidR="002D06DE" w:rsidRPr="00D326F8">
        <w:rPr>
          <w:rFonts w:eastAsia="Calibri"/>
        </w:rPr>
        <w:t xml:space="preserve"> of tepotinib</w:t>
      </w:r>
      <w:r w:rsidRPr="00D326F8">
        <w:rPr>
          <w:rFonts w:eastAsia="Calibri"/>
        </w:rPr>
        <w:t xml:space="preserve">. The Investigator will use his clinical judgment to manage any overdose, considering the symptoms and </w:t>
      </w:r>
      <w:r w:rsidR="00242B42" w:rsidRPr="00D326F8">
        <w:rPr>
          <w:rFonts w:eastAsia="Calibri"/>
        </w:rPr>
        <w:t>any site procedures or standards</w:t>
      </w:r>
      <w:r w:rsidR="008E2C4C" w:rsidRPr="00D326F8">
        <w:rPr>
          <w:rFonts w:eastAsia="Calibri"/>
        </w:rPr>
        <w:t>.</w:t>
      </w:r>
    </w:p>
    <w:p w14:paraId="601A80F5" w14:textId="77777777" w:rsidR="002D06DE" w:rsidRPr="00D326F8" w:rsidRDefault="003E23E4" w:rsidP="002D06DE">
      <w:pPr>
        <w:pStyle w:val="BodyText"/>
        <w:rPr>
          <w:rFonts w:eastAsia="Calibri"/>
        </w:rPr>
      </w:pPr>
      <w:r w:rsidRPr="00D326F8">
        <w:rPr>
          <w:rFonts w:eastAsia="Calibri"/>
        </w:rPr>
        <w:t>Recommendation for treatment of an overdose of carbamazepine is described in the respective SmPC.</w:t>
      </w:r>
    </w:p>
    <w:p w14:paraId="601A80F6" w14:textId="6CD29CC7" w:rsidR="00603353" w:rsidRPr="00D326F8" w:rsidRDefault="003E23E4" w:rsidP="00A752A2">
      <w:pPr>
        <w:pStyle w:val="List1withoutbullet"/>
        <w:ind w:left="0"/>
      </w:pPr>
      <w:r w:rsidRPr="00D326F8">
        <w:t>Even if not associated with an AE or a SAE, any overdose is recorded in the CRF and reported to global patient safety in an expedited manner. Overdoses are reported on a SAE and Overdose Report Form, following the procedure in</w:t>
      </w:r>
      <w:r w:rsidR="003A5C57" w:rsidRPr="00D326F8">
        <w:t xml:space="preserve"> </w:t>
      </w:r>
      <w:hyperlink w:anchor="_Appendix_4_Adverse" w:history="1">
        <w:r w:rsidR="003A5C57" w:rsidRPr="00D326F8">
          <w:rPr>
            <w:rStyle w:val="Hyperlink"/>
            <w:color w:val="auto"/>
          </w:rPr>
          <w:t>Appendix 4</w:t>
        </w:r>
      </w:hyperlink>
      <w:r w:rsidRPr="00D326F8">
        <w:t>.</w:t>
      </w:r>
    </w:p>
    <w:p w14:paraId="601A80F7" w14:textId="77777777" w:rsidR="002D5216" w:rsidRPr="00D326F8" w:rsidRDefault="003E23E4" w:rsidP="00CC0BE1">
      <w:pPr>
        <w:pStyle w:val="Heading2"/>
        <w:tabs>
          <w:tab w:val="clear" w:pos="4896"/>
          <w:tab w:val="num" w:pos="5040"/>
        </w:tabs>
        <w:ind w:left="1890" w:hanging="1890"/>
      </w:pPr>
      <w:bookmarkStart w:id="125" w:name="_Ref74914997"/>
      <w:bookmarkStart w:id="126" w:name="_Ref74915937"/>
      <w:bookmarkStart w:id="127" w:name="_Ref74916106"/>
      <w:bookmarkStart w:id="128" w:name="_Toc77839752"/>
      <w:r w:rsidRPr="00D326F8">
        <w:t>Concomitant Therapy</w:t>
      </w:r>
      <w:bookmarkEnd w:id="125"/>
      <w:bookmarkEnd w:id="126"/>
      <w:bookmarkEnd w:id="127"/>
      <w:bookmarkEnd w:id="128"/>
    </w:p>
    <w:p w14:paraId="601A80F8" w14:textId="77777777" w:rsidR="002D5216" w:rsidRPr="00D326F8" w:rsidRDefault="003E23E4" w:rsidP="00A752A2">
      <w:pPr>
        <w:pStyle w:val="List1withoutbullet"/>
        <w:ind w:left="0"/>
      </w:pPr>
      <w:r w:rsidRPr="00D326F8">
        <w:t xml:space="preserve">Record in the CRF all concomitant therapies (e.g., medicines or nondrug </w:t>
      </w:r>
      <w:r w:rsidR="00166204" w:rsidRPr="00D326F8">
        <w:t>interventions</w:t>
      </w:r>
      <w:r w:rsidRPr="00D326F8">
        <w:t xml:space="preserve">) used from the time the participant signs the informed consent until completion </w:t>
      </w:r>
      <w:r w:rsidR="00F860F7" w:rsidRPr="00D326F8">
        <w:t xml:space="preserve">of </w:t>
      </w:r>
      <w:r w:rsidRPr="00D326F8">
        <w:t>the study, including any changes.</w:t>
      </w:r>
      <w:r w:rsidR="00665EE6" w:rsidRPr="00D326F8">
        <w:t xml:space="preserve"> </w:t>
      </w:r>
      <w:r w:rsidRPr="00D326F8">
        <w:t>For prescription and over-the-counter medicines, vaccines, vitamins, and herbal supplements, record the name, reason for use, dates administered, and dosing information.</w:t>
      </w:r>
    </w:p>
    <w:p w14:paraId="601A80F9" w14:textId="77777777" w:rsidR="002D5216" w:rsidRPr="00D326F8" w:rsidRDefault="003E23E4" w:rsidP="00A752A2">
      <w:pPr>
        <w:pStyle w:val="List1withoutbullet"/>
        <w:ind w:left="0"/>
      </w:pPr>
      <w:r w:rsidRPr="00D326F8">
        <w:lastRenderedPageBreak/>
        <w:t xml:space="preserve">Contact the Medical Monitor for any questions </w:t>
      </w:r>
      <w:r w:rsidR="00F860F7" w:rsidRPr="00D326F8">
        <w:t>on</w:t>
      </w:r>
      <w:r w:rsidRPr="00D326F8">
        <w:t xml:space="preserve"> concomitant or prior therapy.</w:t>
      </w:r>
    </w:p>
    <w:p w14:paraId="601A80FA" w14:textId="77777777" w:rsidR="002D5216" w:rsidRPr="00D326F8" w:rsidRDefault="003E23E4" w:rsidP="0069106E">
      <w:pPr>
        <w:pStyle w:val="Heading3"/>
      </w:pPr>
      <w:bookmarkStart w:id="129" w:name="_Toc77839753"/>
      <w:r w:rsidRPr="00D326F8">
        <w:t>Rescue Medicine</w:t>
      </w:r>
      <w:bookmarkEnd w:id="129"/>
    </w:p>
    <w:p w14:paraId="601A80FB" w14:textId="77777777" w:rsidR="00A752A2" w:rsidRPr="00D326F8" w:rsidRDefault="003E23E4" w:rsidP="00A752A2">
      <w:pPr>
        <w:pStyle w:val="BodyText"/>
      </w:pPr>
      <w:r w:rsidRPr="00D326F8">
        <w:t>No specific antidote is available for tepotinib. Symptomatic treatment will be provided in case of a medical emergency.</w:t>
      </w:r>
    </w:p>
    <w:p w14:paraId="601A80FC" w14:textId="77777777" w:rsidR="002D5216" w:rsidRPr="00D326F8" w:rsidRDefault="003E23E4" w:rsidP="00A752A2">
      <w:pPr>
        <w:pStyle w:val="BodyText"/>
      </w:pPr>
      <w:r w:rsidRPr="00D326F8">
        <w:t>In case of toxicity during carbamazepine treatment see the carbamazepine USPI and SmPC.</w:t>
      </w:r>
    </w:p>
    <w:p w14:paraId="601A80FD" w14:textId="77777777" w:rsidR="002D5216" w:rsidRPr="00D326F8" w:rsidRDefault="003E23E4" w:rsidP="0069106E">
      <w:pPr>
        <w:pStyle w:val="Heading3"/>
      </w:pPr>
      <w:bookmarkStart w:id="130" w:name="_Toc77839754"/>
      <w:r w:rsidRPr="00D326F8">
        <w:t>Permitted Medicines</w:t>
      </w:r>
      <w:bookmarkEnd w:id="130"/>
    </w:p>
    <w:p w14:paraId="601A80FE" w14:textId="77777777" w:rsidR="00EB4344" w:rsidRPr="00D326F8" w:rsidRDefault="003E23E4" w:rsidP="00A752A2">
      <w:pPr>
        <w:pStyle w:val="BodyText"/>
      </w:pPr>
      <w:r w:rsidRPr="00D326F8">
        <w:rPr>
          <w:noProof/>
        </w:rPr>
        <w:t xml:space="preserve">The only permitted </w:t>
      </w:r>
      <w:r w:rsidR="00F842AA" w:rsidRPr="00D326F8">
        <w:rPr>
          <w:noProof/>
        </w:rPr>
        <w:t xml:space="preserve">medicines </w:t>
      </w:r>
      <w:r w:rsidRPr="00D326F8">
        <w:rPr>
          <w:noProof/>
        </w:rPr>
        <w:t>are the following:</w:t>
      </w:r>
    </w:p>
    <w:p w14:paraId="601A80FF" w14:textId="7081BE2F" w:rsidR="00EB4344" w:rsidRPr="00D326F8" w:rsidRDefault="003E23E4" w:rsidP="00A752A2">
      <w:pPr>
        <w:pStyle w:val="List1withbullet"/>
      </w:pPr>
      <w:r w:rsidRPr="00D326F8">
        <w:t>Ibuprofen up to 1.2 g per day, at the discretion of the Investigator</w:t>
      </w:r>
      <w:r w:rsidR="00F25168" w:rsidRPr="00D326F8">
        <w:t>.</w:t>
      </w:r>
    </w:p>
    <w:p w14:paraId="601A8100" w14:textId="77777777" w:rsidR="002D5216" w:rsidRPr="00D326F8" w:rsidRDefault="003E23E4" w:rsidP="00A752A2">
      <w:pPr>
        <w:pStyle w:val="BodyText"/>
      </w:pPr>
      <w:r w:rsidRPr="00D326F8">
        <w:t>Any medicines that are considered necessary to protect the participant’s welfare</w:t>
      </w:r>
      <w:r w:rsidR="00EB4344" w:rsidRPr="00D326F8">
        <w:t xml:space="preserve"> in emergenc</w:t>
      </w:r>
      <w:r w:rsidR="00DC5C20" w:rsidRPr="00D326F8">
        <w:t>ies</w:t>
      </w:r>
      <w:r w:rsidR="00EB4344" w:rsidRPr="00D326F8">
        <w:t xml:space="preserve"> </w:t>
      </w:r>
      <w:r w:rsidRPr="00D326F8">
        <w:t>may be given at the Investigator’s discretion</w:t>
      </w:r>
      <w:r w:rsidR="00EB4344" w:rsidRPr="00D326F8">
        <w:t>, regardless if it results in a protocol deviation</w:t>
      </w:r>
      <w:r w:rsidRPr="00D326F8">
        <w:t>.</w:t>
      </w:r>
    </w:p>
    <w:p w14:paraId="601A8101" w14:textId="77777777" w:rsidR="00B5062B" w:rsidRPr="00D326F8" w:rsidRDefault="003E23E4" w:rsidP="00A752A2">
      <w:pPr>
        <w:pStyle w:val="BodyText"/>
      </w:pPr>
      <w:r w:rsidRPr="00D326F8">
        <w:t xml:space="preserve">Medications may be given at the Investigator’s discretion if deemed necessary for the participant’s immediate wellbeing. Medications may be administered to address adverse reactions or anticipated emergency situations. </w:t>
      </w:r>
    </w:p>
    <w:p w14:paraId="601A8102" w14:textId="77777777" w:rsidR="00A752A2" w:rsidRPr="00D326F8" w:rsidRDefault="003E23E4" w:rsidP="00A752A2">
      <w:pPr>
        <w:pStyle w:val="BodyText"/>
      </w:pPr>
      <w:r w:rsidRPr="00D326F8">
        <w:t>The Investigator will record all concomitant medications taken by the participants during the study, from the date of signature of informed consent, in the participant source data and in the appropriate section of the eCRF.</w:t>
      </w:r>
    </w:p>
    <w:p w14:paraId="601A8103" w14:textId="77777777" w:rsidR="002D5216" w:rsidRPr="00D326F8" w:rsidRDefault="003E23E4" w:rsidP="0069106E">
      <w:pPr>
        <w:pStyle w:val="Heading3"/>
      </w:pPr>
      <w:bookmarkStart w:id="131" w:name="_Ref77682418"/>
      <w:bookmarkStart w:id="132" w:name="_Toc77839755"/>
      <w:r w:rsidRPr="00D326F8">
        <w:t>Prohibited Medicines</w:t>
      </w:r>
      <w:bookmarkEnd w:id="131"/>
      <w:bookmarkEnd w:id="132"/>
    </w:p>
    <w:p w14:paraId="601A8104" w14:textId="268269F9" w:rsidR="00A752A2" w:rsidRPr="00D326F8" w:rsidRDefault="003E23E4" w:rsidP="00A752A2">
      <w:pPr>
        <w:pStyle w:val="BodyText"/>
      </w:pPr>
      <w:r w:rsidRPr="00D326F8">
        <w:t>Prohibited medicines at study entry are indicated in the exclusion criteria (Section</w:t>
      </w:r>
      <w:r w:rsidR="00157683" w:rsidRPr="00D326F8">
        <w:t xml:space="preserve"> </w:t>
      </w:r>
      <w:r w:rsidR="00157683" w:rsidRPr="00D326F8">
        <w:fldChar w:fldCharType="begin"/>
      </w:r>
      <w:r w:rsidR="00157683" w:rsidRPr="00D326F8">
        <w:instrText xml:space="preserve"> REF _Ref3989475 \n \h </w:instrText>
      </w:r>
      <w:r w:rsidR="00A636B6" w:rsidRPr="00D326F8">
        <w:instrText xml:space="preserve"> \* MERGEFORMAT </w:instrText>
      </w:r>
      <w:r w:rsidR="00157683" w:rsidRPr="00D326F8">
        <w:fldChar w:fldCharType="separate"/>
      </w:r>
      <w:r w:rsidR="00173A27">
        <w:t>5.2</w:t>
      </w:r>
      <w:r w:rsidR="00157683" w:rsidRPr="00D326F8">
        <w:fldChar w:fldCharType="end"/>
      </w:r>
      <w:r w:rsidRPr="00D326F8">
        <w:t>).</w:t>
      </w:r>
    </w:p>
    <w:p w14:paraId="601A8105" w14:textId="77777777" w:rsidR="009E0C61" w:rsidRPr="00D326F8" w:rsidRDefault="003E23E4" w:rsidP="00A752A2">
      <w:pPr>
        <w:pStyle w:val="BodyText"/>
      </w:pPr>
      <w:r w:rsidRPr="00D326F8">
        <w:t>The participants are prohibited from using prescription or over-the-counter medications (apart from those described above) within 2 weeks or 5 terminal half-lives, whichever is longer, prior to the first administration of study intervention, during the study, and until the Safety Follow</w:t>
      </w:r>
      <w:r w:rsidR="00E02957" w:rsidRPr="00D326F8">
        <w:t xml:space="preserve"> U</w:t>
      </w:r>
      <w:r w:rsidRPr="00D326F8">
        <w:t xml:space="preserve">p Assessment (this includes herbal remedies, vitamins, minerals, </w:t>
      </w:r>
      <w:proofErr w:type="gramStart"/>
      <w:r w:rsidRPr="00D326F8">
        <w:t>antacids</w:t>
      </w:r>
      <w:proofErr w:type="gramEnd"/>
      <w:r w:rsidRPr="00D326F8">
        <w:t xml:space="preserve"> and dietary supplements such as fish oils).</w:t>
      </w:r>
    </w:p>
    <w:p w14:paraId="601A8106" w14:textId="77777777" w:rsidR="002D5216" w:rsidRPr="00D326F8" w:rsidRDefault="003E23E4" w:rsidP="00EA6244">
      <w:pPr>
        <w:pStyle w:val="Heading3"/>
      </w:pPr>
      <w:bookmarkStart w:id="133" w:name="_Toc77839756"/>
      <w:r w:rsidRPr="00D326F8">
        <w:t>Other Interventions</w:t>
      </w:r>
      <w:bookmarkEnd w:id="133"/>
    </w:p>
    <w:p w14:paraId="601A8107" w14:textId="46DEE628" w:rsidR="00A978D3" w:rsidRPr="00D326F8" w:rsidRDefault="003E23E4" w:rsidP="007643C5">
      <w:pPr>
        <w:pStyle w:val="BodyText"/>
      </w:pPr>
      <w:r w:rsidRPr="00D326F8">
        <w:t>Additional restrictions that study participants should adhere to from Day</w:t>
      </w:r>
      <w:r w:rsidR="008D37C0" w:rsidRPr="00D326F8">
        <w:t> </w:t>
      </w:r>
      <w:r w:rsidRPr="00D326F8">
        <w:t>-1 until the Safety Follow</w:t>
      </w:r>
      <w:r w:rsidR="00E02957" w:rsidRPr="00D326F8">
        <w:t xml:space="preserve"> U</w:t>
      </w:r>
      <w:r w:rsidRPr="00D326F8">
        <w:t>p Assessment are detailed in Section</w:t>
      </w:r>
      <w:r w:rsidR="00157683" w:rsidRPr="00D326F8">
        <w:t xml:space="preserve"> </w:t>
      </w:r>
      <w:r w:rsidR="00157683" w:rsidRPr="00D326F8">
        <w:fldChar w:fldCharType="begin"/>
      </w:r>
      <w:r w:rsidR="00157683" w:rsidRPr="00D326F8">
        <w:instrText xml:space="preserve"> REF _Ref3989475 \n \h </w:instrText>
      </w:r>
      <w:r w:rsidR="00A636B6" w:rsidRPr="00D326F8">
        <w:instrText xml:space="preserve"> \* MERGEFORMAT </w:instrText>
      </w:r>
      <w:r w:rsidR="00157683" w:rsidRPr="00D326F8">
        <w:fldChar w:fldCharType="separate"/>
      </w:r>
      <w:r w:rsidR="00173A27">
        <w:t>5.2</w:t>
      </w:r>
      <w:r w:rsidR="00157683" w:rsidRPr="00D326F8">
        <w:fldChar w:fldCharType="end"/>
      </w:r>
      <w:r w:rsidRPr="00D326F8">
        <w:t>.</w:t>
      </w:r>
    </w:p>
    <w:p w14:paraId="601A8108" w14:textId="77777777" w:rsidR="002D5216" w:rsidRPr="00D326F8" w:rsidRDefault="003E23E4" w:rsidP="00EF3E0E">
      <w:pPr>
        <w:pStyle w:val="Heading1"/>
      </w:pPr>
      <w:bookmarkStart w:id="134" w:name="_Toc63944398"/>
      <w:bookmarkStart w:id="135" w:name="_Toc63944399"/>
      <w:bookmarkStart w:id="136" w:name="_Toc63944400"/>
      <w:bookmarkStart w:id="137" w:name="_Toc63944401"/>
      <w:bookmarkStart w:id="138" w:name="_Toc63944402"/>
      <w:bookmarkStart w:id="139" w:name="_Toc63944403"/>
      <w:bookmarkStart w:id="140" w:name="_Toc63944404"/>
      <w:bookmarkStart w:id="141" w:name="_Toc63944405"/>
      <w:bookmarkStart w:id="142" w:name="_Toc63944406"/>
      <w:bookmarkStart w:id="143" w:name="_Toc63944407"/>
      <w:bookmarkStart w:id="144" w:name="_Toc63944408"/>
      <w:bookmarkStart w:id="145" w:name="_Toc63944409"/>
      <w:bookmarkStart w:id="146" w:name="_Toc63944410"/>
      <w:bookmarkStart w:id="147" w:name="_Toc63944411"/>
      <w:bookmarkStart w:id="148" w:name="_Toc63944412"/>
      <w:bookmarkStart w:id="149" w:name="_Toc63944413"/>
      <w:bookmarkStart w:id="150" w:name="_Toc63944414"/>
      <w:bookmarkStart w:id="151" w:name="_Toc63944415"/>
      <w:bookmarkStart w:id="152" w:name="_Toc63944416"/>
      <w:bookmarkStart w:id="153" w:name="_Toc63944417"/>
      <w:bookmarkStart w:id="154" w:name="_Toc63944418"/>
      <w:bookmarkStart w:id="155" w:name="_Toc63944419"/>
      <w:bookmarkStart w:id="156" w:name="_Toc63944420"/>
      <w:bookmarkStart w:id="157" w:name="_Toc63944421"/>
      <w:bookmarkStart w:id="158" w:name="_Toc63944422"/>
      <w:bookmarkStart w:id="159" w:name="_Toc63944423"/>
      <w:bookmarkStart w:id="160" w:name="_Toc63944424"/>
      <w:bookmarkStart w:id="161" w:name="_Toc63944425"/>
      <w:bookmarkStart w:id="162" w:name="_Toc63944426"/>
      <w:bookmarkStart w:id="163" w:name="_Toc77839757"/>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D326F8">
        <w:lastRenderedPageBreak/>
        <w:t>Discontinuation of Study Intervention and Participant Discontinuation/Withdrawal</w:t>
      </w:r>
      <w:bookmarkEnd w:id="163"/>
    </w:p>
    <w:p w14:paraId="601A8109" w14:textId="77777777" w:rsidR="002D5216" w:rsidRPr="00D326F8" w:rsidRDefault="003E23E4" w:rsidP="00EF3E0E">
      <w:pPr>
        <w:pStyle w:val="Heading2"/>
        <w:tabs>
          <w:tab w:val="clear" w:pos="4896"/>
          <w:tab w:val="num" w:pos="5040"/>
        </w:tabs>
        <w:ind w:left="1980" w:hanging="1980"/>
      </w:pPr>
      <w:bookmarkStart w:id="164" w:name="_Toc77839758"/>
      <w:r w:rsidRPr="00D326F8">
        <w:t>Discontinuation of Study Intervention</w:t>
      </w:r>
      <w:bookmarkEnd w:id="164"/>
    </w:p>
    <w:p w14:paraId="601A810A" w14:textId="77777777" w:rsidR="007643C5" w:rsidRPr="00D326F8" w:rsidRDefault="003E23E4" w:rsidP="00EF3E0E">
      <w:pPr>
        <w:pStyle w:val="BodyText"/>
        <w:keepNext/>
        <w:keepLines/>
      </w:pPr>
      <w:r w:rsidRPr="00D326F8">
        <w:t xml:space="preserve">A participant must be withdrawn from administration of study intervention if any of the following occur: </w:t>
      </w:r>
    </w:p>
    <w:p w14:paraId="601A810B" w14:textId="77777777" w:rsidR="007643C5" w:rsidRPr="00D326F8" w:rsidRDefault="003E23E4" w:rsidP="008D37C0">
      <w:pPr>
        <w:pStyle w:val="List1withbullet"/>
        <w:keepNext/>
        <w:keepLines/>
        <w:ind w:left="357" w:hanging="357"/>
      </w:pPr>
      <w:r w:rsidRPr="00D326F8">
        <w:t xml:space="preserve">Participant withdraws consent. </w:t>
      </w:r>
    </w:p>
    <w:p w14:paraId="601A810C" w14:textId="77777777" w:rsidR="007643C5" w:rsidRPr="00D326F8" w:rsidRDefault="003E23E4" w:rsidP="008D37C0">
      <w:pPr>
        <w:pStyle w:val="List1withbullet"/>
        <w:ind w:left="357" w:hanging="357"/>
      </w:pPr>
      <w:r w:rsidRPr="00D326F8">
        <w:t xml:space="preserve">A participant is enrolled but is subsequently discovered not to have met inclusion/exclusion criteria at Screening. </w:t>
      </w:r>
    </w:p>
    <w:p w14:paraId="601A810D" w14:textId="77777777" w:rsidR="007643C5" w:rsidRPr="00D326F8" w:rsidRDefault="003E23E4" w:rsidP="008D37C0">
      <w:pPr>
        <w:pStyle w:val="List1withbullet"/>
        <w:ind w:left="357" w:hanging="357"/>
      </w:pPr>
      <w:r w:rsidRPr="00D326F8">
        <w:t xml:space="preserve">AEs, if discontinuation of study intervention is considered necessary by the Investigator and/or desired by the participant. This includes </w:t>
      </w:r>
      <w:proofErr w:type="gramStart"/>
      <w:r w:rsidRPr="00D326F8">
        <w:t>in particular AEs</w:t>
      </w:r>
      <w:proofErr w:type="gramEnd"/>
      <w:r w:rsidRPr="00D326F8">
        <w:t xml:space="preserve"> of severe intensity and SAEs regardless of </w:t>
      </w:r>
      <w:r w:rsidR="00EF3E0E" w:rsidRPr="00D326F8">
        <w:t xml:space="preserve">their </w:t>
      </w:r>
      <w:r w:rsidRPr="00D326F8">
        <w:t>relationship to study intervention.</w:t>
      </w:r>
    </w:p>
    <w:p w14:paraId="601A810E" w14:textId="77777777" w:rsidR="007643C5" w:rsidRPr="00D326F8" w:rsidRDefault="003E23E4" w:rsidP="008D37C0">
      <w:pPr>
        <w:pStyle w:val="List1withbullet"/>
        <w:ind w:left="357" w:hanging="357"/>
      </w:pPr>
      <w:r w:rsidRPr="00D326F8">
        <w:t>Pregnancy</w:t>
      </w:r>
    </w:p>
    <w:p w14:paraId="601A810F" w14:textId="77777777" w:rsidR="007643C5" w:rsidRPr="00D326F8" w:rsidRDefault="003E23E4" w:rsidP="008D37C0">
      <w:pPr>
        <w:pStyle w:val="List1withbullet"/>
        <w:ind w:left="357" w:hanging="357"/>
      </w:pPr>
      <w:r w:rsidRPr="00D326F8">
        <w:t>Protocol noncompliance judged as significant by the Investigator (after discussion with the Sponsor).</w:t>
      </w:r>
    </w:p>
    <w:p w14:paraId="601A8110" w14:textId="0AB4A91F" w:rsidR="007643C5" w:rsidRPr="00D326F8" w:rsidRDefault="003E23E4" w:rsidP="008D37C0">
      <w:pPr>
        <w:pStyle w:val="List1withbullet"/>
        <w:ind w:left="357" w:hanging="357"/>
      </w:pPr>
      <w:r w:rsidRPr="00D326F8">
        <w:t>Use of a nonpermitted concomitant drug if clinically relevant as agreed by Sponsor and Investigator, as defined in Section</w:t>
      </w:r>
      <w:r w:rsidR="00157683" w:rsidRPr="00D326F8">
        <w:t xml:space="preserve"> </w:t>
      </w:r>
      <w:r w:rsidR="00157683" w:rsidRPr="00D326F8">
        <w:fldChar w:fldCharType="begin"/>
      </w:r>
      <w:r w:rsidR="00157683" w:rsidRPr="00D326F8">
        <w:instrText xml:space="preserve"> REF _Ref3989475 \n \h </w:instrText>
      </w:r>
      <w:r w:rsidR="00D326F8">
        <w:instrText xml:space="preserve"> \* MERGEFORMAT </w:instrText>
      </w:r>
      <w:r w:rsidR="00157683" w:rsidRPr="00D326F8">
        <w:fldChar w:fldCharType="separate"/>
      </w:r>
      <w:r w:rsidR="00173A27">
        <w:t>5.2</w:t>
      </w:r>
      <w:r w:rsidR="00157683" w:rsidRPr="00D326F8">
        <w:fldChar w:fldCharType="end"/>
      </w:r>
      <w:r w:rsidRPr="00D326F8">
        <w:t>, where the predefined consequence is withdrawal from study intervention.</w:t>
      </w:r>
    </w:p>
    <w:p w14:paraId="601A8111" w14:textId="77777777" w:rsidR="007643C5" w:rsidRPr="00D326F8" w:rsidRDefault="003E23E4" w:rsidP="008D37C0">
      <w:pPr>
        <w:pStyle w:val="List1withbullet"/>
        <w:ind w:left="357" w:hanging="357"/>
      </w:pPr>
      <w:r w:rsidRPr="00D326F8">
        <w:t>Any events that unacceptably endanger the safety of the participant.</w:t>
      </w:r>
    </w:p>
    <w:p w14:paraId="601A8112" w14:textId="619CDEEB" w:rsidR="00A17761" w:rsidRPr="00D326F8" w:rsidRDefault="003E23E4" w:rsidP="007643C5">
      <w:pPr>
        <w:pStyle w:val="List1withbullet"/>
        <w:numPr>
          <w:ilvl w:val="0"/>
          <w:numId w:val="0"/>
        </w:numPr>
      </w:pPr>
      <w:r w:rsidRPr="00D326F8">
        <w:rPr>
          <w:lang w:eastAsia="ja-JP"/>
        </w:rPr>
        <w:t xml:space="preserve">If study intervention is </w:t>
      </w:r>
      <w:r w:rsidR="00A95F7F" w:rsidRPr="00D326F8">
        <w:rPr>
          <w:lang w:eastAsia="ja-JP"/>
        </w:rPr>
        <w:t xml:space="preserve">permanently </w:t>
      </w:r>
      <w:r w:rsidRPr="00D326F8">
        <w:rPr>
          <w:lang w:eastAsia="ja-JP"/>
        </w:rPr>
        <w:t xml:space="preserve">discontinued, the participant </w:t>
      </w:r>
      <w:r w:rsidRPr="00D326F8">
        <w:rPr>
          <w:rStyle w:val="CPTVariable"/>
          <w:color w:val="auto"/>
        </w:rPr>
        <w:t xml:space="preserve">will </w:t>
      </w:r>
      <w:r w:rsidRPr="00D326F8">
        <w:rPr>
          <w:lang w:eastAsia="ja-JP"/>
        </w:rPr>
        <w:t xml:space="preserve">remain in the study to be evaluated for </w:t>
      </w:r>
      <w:r w:rsidR="007643C5" w:rsidRPr="00D326F8">
        <w:rPr>
          <w:rStyle w:val="CPTVariable"/>
          <w:color w:val="auto"/>
        </w:rPr>
        <w:t>safety</w:t>
      </w:r>
      <w:r w:rsidRPr="00D326F8">
        <w:rPr>
          <w:lang w:eastAsia="ja-JP"/>
        </w:rPr>
        <w:t xml:space="preserve">. The </w:t>
      </w:r>
      <w:r w:rsidR="00CF2490" w:rsidRPr="00D326F8">
        <w:rPr>
          <w:lang w:eastAsia="ja-JP"/>
        </w:rPr>
        <w:t xml:space="preserve">Schedule of Assessments </w:t>
      </w:r>
      <w:r w:rsidR="004421FE" w:rsidRPr="00D326F8">
        <w:t>(Section </w:t>
      </w:r>
      <w:r w:rsidR="004421FE" w:rsidRPr="00D326F8">
        <w:fldChar w:fldCharType="begin"/>
      </w:r>
      <w:r w:rsidR="004421FE" w:rsidRPr="00D326F8">
        <w:instrText xml:space="preserve"> REF _Ref77583760 \r \h </w:instrText>
      </w:r>
      <w:r w:rsidR="008D37C0" w:rsidRPr="00D326F8">
        <w:instrText xml:space="preserve"> \* MERGEFORMAT </w:instrText>
      </w:r>
      <w:r w:rsidR="004421FE" w:rsidRPr="00D326F8">
        <w:fldChar w:fldCharType="separate"/>
      </w:r>
      <w:r w:rsidR="00173A27">
        <w:t>1.3</w:t>
      </w:r>
      <w:r w:rsidR="004421FE" w:rsidRPr="00D326F8">
        <w:fldChar w:fldCharType="end"/>
      </w:r>
      <w:r w:rsidR="004421FE" w:rsidRPr="00D326F8">
        <w:t xml:space="preserve">) </w:t>
      </w:r>
      <w:r w:rsidRPr="00D326F8">
        <w:rPr>
          <w:lang w:eastAsia="ja-JP"/>
        </w:rPr>
        <w:t xml:space="preserve">indicates data to be collected at the time of discontinuation of study intervention </w:t>
      </w:r>
      <w:r w:rsidRPr="00D326F8">
        <w:t>and follow-up and for any further evaluations that need to be completed.</w:t>
      </w:r>
    </w:p>
    <w:p w14:paraId="601A8113" w14:textId="6915436F" w:rsidR="002D5216" w:rsidRPr="00D326F8" w:rsidRDefault="003E23E4" w:rsidP="007643C5">
      <w:pPr>
        <w:pStyle w:val="List2withoutbullet"/>
        <w:ind w:left="0"/>
      </w:pPr>
      <w:r w:rsidRPr="00D326F8">
        <w:t xml:space="preserve">If a clinically significant finding is identified (including changes from </w:t>
      </w:r>
      <w:r w:rsidR="00A86951" w:rsidRPr="00D326F8">
        <w:t>B</w:t>
      </w:r>
      <w:r w:rsidRPr="00D326F8">
        <w:t>aseline in QT interval corrected using QTcF</w:t>
      </w:r>
      <w:r w:rsidR="003A378A" w:rsidRPr="00D326F8">
        <w:t>)</w:t>
      </w:r>
      <w:r w:rsidRPr="00D326F8">
        <w:t xml:space="preserve"> after </w:t>
      </w:r>
      <w:r w:rsidR="007643C5" w:rsidRPr="00D326F8">
        <w:t>enrollment</w:t>
      </w:r>
      <w:r w:rsidRPr="00D326F8">
        <w:t xml:space="preserve">, the </w:t>
      </w:r>
      <w:r w:rsidR="0081739D" w:rsidRPr="00D326F8">
        <w:t>I</w:t>
      </w:r>
      <w:r w:rsidRPr="00D326F8">
        <w:t xml:space="preserve">nvestigator or qualified designee will determine if the participant can continue in the study and if any change in participant management is needed. This review of the ECG </w:t>
      </w:r>
      <w:r w:rsidR="007643C5" w:rsidRPr="00D326F8">
        <w:t xml:space="preserve">printed </w:t>
      </w:r>
      <w:r w:rsidRPr="00D326F8">
        <w:t xml:space="preserve">at the time of collection </w:t>
      </w:r>
      <w:r w:rsidR="00DE57D7" w:rsidRPr="00D326F8">
        <w:t>will</w:t>
      </w:r>
      <w:r w:rsidRPr="00D326F8">
        <w:t xml:space="preserve"> be documented. Any new clinically relevant finding </w:t>
      </w:r>
      <w:r w:rsidR="003F03F9" w:rsidRPr="00D326F8">
        <w:t>is</w:t>
      </w:r>
      <w:r w:rsidR="00615266" w:rsidRPr="00D326F8">
        <w:t xml:space="preserve"> </w:t>
      </w:r>
      <w:r w:rsidRPr="00D326F8">
        <w:t>reported as an AE.</w:t>
      </w:r>
    </w:p>
    <w:p w14:paraId="22CE1A2E" w14:textId="015F5C37" w:rsidR="006B3F6B" w:rsidRPr="00D326F8" w:rsidRDefault="003E23E4" w:rsidP="006B3F6B">
      <w:pPr>
        <w:pStyle w:val="List2withoutbullet"/>
        <w:ind w:left="0"/>
      </w:pPr>
      <w:r w:rsidRPr="00D326F8">
        <w:t xml:space="preserve">The </w:t>
      </w:r>
      <w:proofErr w:type="spellStart"/>
      <w:r w:rsidRPr="00D326F8">
        <w:t>SoA</w:t>
      </w:r>
      <w:proofErr w:type="spellEnd"/>
      <w:r w:rsidRPr="00D326F8">
        <w:t xml:space="preserve"> specifies the data to collect at study intervention discontinuation and follow-up, and any additional evaluations that need to be completed.</w:t>
      </w:r>
    </w:p>
    <w:p w14:paraId="601A8114" w14:textId="77777777" w:rsidR="002D5216" w:rsidRPr="00D326F8" w:rsidRDefault="003E23E4" w:rsidP="00457D9C">
      <w:pPr>
        <w:pStyle w:val="Heading2"/>
        <w:tabs>
          <w:tab w:val="clear" w:pos="4896"/>
          <w:tab w:val="num" w:pos="5040"/>
        </w:tabs>
        <w:ind w:left="1980" w:hanging="1980"/>
      </w:pPr>
      <w:bookmarkStart w:id="165" w:name="_Toc77839759"/>
      <w:r w:rsidRPr="00D326F8">
        <w:t>Participant Discontinuation/Withdrawal from the Study</w:t>
      </w:r>
      <w:bookmarkEnd w:id="165"/>
    </w:p>
    <w:p w14:paraId="601A8115" w14:textId="77777777" w:rsidR="002D5216" w:rsidRPr="00D326F8" w:rsidRDefault="003E23E4" w:rsidP="008D37C0">
      <w:pPr>
        <w:pStyle w:val="List1withbullet"/>
        <w:ind w:left="357" w:hanging="357"/>
      </w:pPr>
      <w:r w:rsidRPr="00D326F8">
        <w:t xml:space="preserve">A participant may </w:t>
      </w:r>
      <w:r w:rsidR="002C260E" w:rsidRPr="00D326F8">
        <w:t xml:space="preserve">discontinue </w:t>
      </w:r>
      <w:r w:rsidRPr="00D326F8">
        <w:t xml:space="preserve">from the study at any time, at his/her own request </w:t>
      </w:r>
      <w:r w:rsidR="00AC634A" w:rsidRPr="00D326F8">
        <w:t>or at the discretion of the Investigator for safety, behavioral, compliance, or administrative reasons.</w:t>
      </w:r>
    </w:p>
    <w:p w14:paraId="601A8116" w14:textId="77777777" w:rsidR="00D1039B" w:rsidRPr="00D326F8" w:rsidRDefault="003E23E4" w:rsidP="008D37C0">
      <w:pPr>
        <w:pStyle w:val="List1withbullet"/>
        <w:ind w:left="357" w:hanging="357"/>
      </w:pPr>
      <w:bookmarkStart w:id="166" w:name="_Hlk66894310"/>
      <w:r w:rsidRPr="00D326F8">
        <w:t>The participant may be withdrawn by the Investigator due to participation in another clinical study.</w:t>
      </w:r>
    </w:p>
    <w:p w14:paraId="601A8117" w14:textId="77777777" w:rsidR="00D1039B" w:rsidRPr="00D326F8" w:rsidRDefault="003E23E4" w:rsidP="008D37C0">
      <w:pPr>
        <w:pStyle w:val="List1withbullet"/>
        <w:keepNext/>
        <w:keepLines/>
        <w:ind w:left="357" w:hanging="357"/>
      </w:pPr>
      <w:r w:rsidRPr="00D326F8">
        <w:lastRenderedPageBreak/>
        <w:t>A participant must be withdrawn if any of the following occurs during the study:</w:t>
      </w:r>
    </w:p>
    <w:p w14:paraId="601A8118" w14:textId="77777777" w:rsidR="00D1039B" w:rsidRPr="00D326F8" w:rsidRDefault="003E23E4" w:rsidP="008D37C0">
      <w:pPr>
        <w:pStyle w:val="List1withbullet"/>
        <w:keepNext/>
        <w:keepLines/>
        <w:ind w:left="993" w:hanging="426"/>
      </w:pPr>
      <w:r w:rsidRPr="00D326F8">
        <w:t>Pregnancy.</w:t>
      </w:r>
    </w:p>
    <w:p w14:paraId="601A8119" w14:textId="77777777" w:rsidR="00D1039B" w:rsidRPr="00D326F8" w:rsidRDefault="003E23E4" w:rsidP="008D37C0">
      <w:pPr>
        <w:pStyle w:val="List1withbullet"/>
        <w:keepNext/>
        <w:keepLines/>
        <w:ind w:left="993" w:hanging="426"/>
      </w:pPr>
      <w:r w:rsidRPr="00D326F8">
        <w:t xml:space="preserve">AEs, if study discontinuation is considered necessary by the Investigator and/or desired by the participant. This includes </w:t>
      </w:r>
      <w:proofErr w:type="gramStart"/>
      <w:r w:rsidRPr="00D326F8">
        <w:t>in particular AEs</w:t>
      </w:r>
      <w:proofErr w:type="gramEnd"/>
      <w:r w:rsidRPr="00D326F8">
        <w:t xml:space="preserve"> of severe intensity and SAEs regardless of its relationship to study intervention.</w:t>
      </w:r>
    </w:p>
    <w:p w14:paraId="601A811A" w14:textId="3790FCB7" w:rsidR="00D1039B" w:rsidRPr="00D326F8" w:rsidRDefault="003E23E4" w:rsidP="008D37C0">
      <w:pPr>
        <w:pStyle w:val="List1withbullet"/>
        <w:ind w:left="993" w:hanging="426"/>
      </w:pPr>
      <w:r w:rsidRPr="00D326F8">
        <w:t>Use of nonpermitted concomitant medications, as defined in Section</w:t>
      </w:r>
      <w:r w:rsidR="00157683" w:rsidRPr="00D326F8">
        <w:t xml:space="preserve"> </w:t>
      </w:r>
      <w:r w:rsidR="00157683" w:rsidRPr="00D326F8">
        <w:fldChar w:fldCharType="begin"/>
      </w:r>
      <w:r w:rsidR="00157683" w:rsidRPr="00D326F8">
        <w:instrText xml:space="preserve"> REF _Ref74915937 \n \h </w:instrText>
      </w:r>
      <w:r w:rsidR="00D05442" w:rsidRPr="00D326F8">
        <w:instrText xml:space="preserve"> \* MERGEFORMAT </w:instrText>
      </w:r>
      <w:r w:rsidR="00157683" w:rsidRPr="00D326F8">
        <w:fldChar w:fldCharType="separate"/>
      </w:r>
      <w:r w:rsidR="00173A27">
        <w:t>6.8</w:t>
      </w:r>
      <w:r w:rsidR="00157683" w:rsidRPr="00D326F8">
        <w:fldChar w:fldCharType="end"/>
      </w:r>
      <w:r w:rsidRPr="00D326F8">
        <w:t>. However, any medications that are considered necessary for the participant’s wellbeing (e.g.,</w:t>
      </w:r>
      <w:r w:rsidR="00C8138A" w:rsidRPr="00D326F8">
        <w:t xml:space="preserve"> e.g., ibuprofen up to 1.2 g per day</w:t>
      </w:r>
      <w:r w:rsidRPr="00D326F8">
        <w:t>) may be given at the discretion of the Investigator.</w:t>
      </w:r>
    </w:p>
    <w:p w14:paraId="601A811B" w14:textId="476C4385" w:rsidR="00D1039B" w:rsidRPr="00D326F8" w:rsidRDefault="003E23E4" w:rsidP="008D37C0">
      <w:pPr>
        <w:pStyle w:val="List1withbullet"/>
        <w:ind w:left="993" w:hanging="426"/>
        <w:rPr>
          <w:color w:val="000000"/>
        </w:rPr>
      </w:pPr>
      <w:r w:rsidRPr="00D326F8">
        <w:t>Protocol noncompliance judged as significant by the Investigator, including non</w:t>
      </w:r>
      <w:r w:rsidRPr="00D326F8">
        <w:rPr>
          <w:color w:val="000000"/>
        </w:rPr>
        <w:t>compliance to the required study considerations (e.g., food/diet requirements), as defined in e.g.</w:t>
      </w:r>
      <w:r w:rsidR="00B617D3" w:rsidRPr="00D326F8">
        <w:rPr>
          <w:color w:val="000000"/>
        </w:rPr>
        <w:t>,</w:t>
      </w:r>
      <w:r w:rsidRPr="00D326F8">
        <w:rPr>
          <w:color w:val="000000"/>
        </w:rPr>
        <w:t xml:space="preserve"> Sections</w:t>
      </w:r>
      <w:r w:rsidR="00157683" w:rsidRPr="00D326F8">
        <w:rPr>
          <w:color w:val="000000"/>
        </w:rPr>
        <w:t xml:space="preserve"> </w:t>
      </w:r>
      <w:r w:rsidR="00157683" w:rsidRPr="00D326F8">
        <w:rPr>
          <w:color w:val="000000"/>
        </w:rPr>
        <w:fldChar w:fldCharType="begin"/>
      </w:r>
      <w:r w:rsidR="00157683" w:rsidRPr="00D326F8">
        <w:rPr>
          <w:color w:val="000000"/>
        </w:rPr>
        <w:instrText xml:space="preserve"> REF _Ref3989452 \n \h </w:instrText>
      </w:r>
      <w:r w:rsidR="00D05442" w:rsidRPr="00D326F8">
        <w:rPr>
          <w:color w:val="000000"/>
        </w:rPr>
        <w:instrText xml:space="preserve"> \* MERGEFORMAT </w:instrText>
      </w:r>
      <w:r w:rsidR="00157683" w:rsidRPr="00D326F8">
        <w:rPr>
          <w:color w:val="000000"/>
        </w:rPr>
      </w:r>
      <w:r w:rsidR="00157683" w:rsidRPr="00D326F8">
        <w:rPr>
          <w:color w:val="000000"/>
        </w:rPr>
        <w:fldChar w:fldCharType="separate"/>
      </w:r>
      <w:r w:rsidR="00173A27">
        <w:rPr>
          <w:color w:val="000000"/>
        </w:rPr>
        <w:t>5.1</w:t>
      </w:r>
      <w:r w:rsidR="00157683" w:rsidRPr="00D326F8">
        <w:rPr>
          <w:color w:val="000000"/>
        </w:rPr>
        <w:fldChar w:fldCharType="end"/>
      </w:r>
      <w:r w:rsidR="00157683" w:rsidRPr="00D326F8">
        <w:rPr>
          <w:color w:val="000000"/>
        </w:rPr>
        <w:t xml:space="preserve">, </w:t>
      </w:r>
      <w:r w:rsidR="00157683" w:rsidRPr="00D326F8">
        <w:rPr>
          <w:color w:val="000000"/>
        </w:rPr>
        <w:fldChar w:fldCharType="begin"/>
      </w:r>
      <w:r w:rsidR="00157683" w:rsidRPr="00D326F8">
        <w:rPr>
          <w:color w:val="000000"/>
        </w:rPr>
        <w:instrText xml:space="preserve"> REF _Ref3989475 \n \h </w:instrText>
      </w:r>
      <w:r w:rsidR="00D05442" w:rsidRPr="00D326F8">
        <w:rPr>
          <w:color w:val="000000"/>
        </w:rPr>
        <w:instrText xml:space="preserve"> \* MERGEFORMAT </w:instrText>
      </w:r>
      <w:r w:rsidR="00157683" w:rsidRPr="00D326F8">
        <w:rPr>
          <w:color w:val="000000"/>
        </w:rPr>
      </w:r>
      <w:r w:rsidR="00157683" w:rsidRPr="00D326F8">
        <w:rPr>
          <w:color w:val="000000"/>
        </w:rPr>
        <w:fldChar w:fldCharType="separate"/>
      </w:r>
      <w:r w:rsidR="00173A27">
        <w:rPr>
          <w:color w:val="000000"/>
        </w:rPr>
        <w:t>5.2</w:t>
      </w:r>
      <w:r w:rsidR="00157683" w:rsidRPr="00D326F8">
        <w:rPr>
          <w:color w:val="000000"/>
        </w:rPr>
        <w:fldChar w:fldCharType="end"/>
      </w:r>
      <w:r w:rsidR="00157683" w:rsidRPr="00D326F8">
        <w:rPr>
          <w:color w:val="000000"/>
        </w:rPr>
        <w:t xml:space="preserve">, </w:t>
      </w:r>
      <w:r w:rsidR="00157683" w:rsidRPr="00D326F8">
        <w:rPr>
          <w:color w:val="000000"/>
        </w:rPr>
        <w:fldChar w:fldCharType="begin"/>
      </w:r>
      <w:r w:rsidR="00157683" w:rsidRPr="00D326F8">
        <w:rPr>
          <w:color w:val="000000"/>
        </w:rPr>
        <w:instrText xml:space="preserve"> REF _Ref74915968 \n \h </w:instrText>
      </w:r>
      <w:r w:rsidR="00D05442" w:rsidRPr="00D326F8">
        <w:rPr>
          <w:color w:val="000000"/>
        </w:rPr>
        <w:instrText xml:space="preserve"> \* MERGEFORMAT </w:instrText>
      </w:r>
      <w:r w:rsidR="00157683" w:rsidRPr="00D326F8">
        <w:rPr>
          <w:color w:val="000000"/>
        </w:rPr>
      </w:r>
      <w:r w:rsidR="00157683" w:rsidRPr="00D326F8">
        <w:rPr>
          <w:color w:val="000000"/>
        </w:rPr>
        <w:fldChar w:fldCharType="separate"/>
      </w:r>
      <w:r w:rsidR="00173A27">
        <w:rPr>
          <w:color w:val="000000"/>
        </w:rPr>
        <w:t>5.3.1</w:t>
      </w:r>
      <w:r w:rsidR="00157683" w:rsidRPr="00D326F8">
        <w:rPr>
          <w:color w:val="000000"/>
        </w:rPr>
        <w:fldChar w:fldCharType="end"/>
      </w:r>
      <w:r w:rsidR="00157683" w:rsidRPr="00D326F8">
        <w:rPr>
          <w:color w:val="000000"/>
        </w:rPr>
        <w:t xml:space="preserve">, and </w:t>
      </w:r>
      <w:r w:rsidR="00157683" w:rsidRPr="00D326F8">
        <w:rPr>
          <w:color w:val="000000"/>
        </w:rPr>
        <w:fldChar w:fldCharType="begin"/>
      </w:r>
      <w:r w:rsidR="00157683" w:rsidRPr="00D326F8">
        <w:rPr>
          <w:color w:val="000000"/>
        </w:rPr>
        <w:instrText xml:space="preserve"> REF _Ref74915976 \n \h </w:instrText>
      </w:r>
      <w:r w:rsidR="00D05442" w:rsidRPr="00D326F8">
        <w:rPr>
          <w:color w:val="000000"/>
        </w:rPr>
        <w:instrText xml:space="preserve"> \* MERGEFORMAT </w:instrText>
      </w:r>
      <w:r w:rsidR="00157683" w:rsidRPr="00D326F8">
        <w:rPr>
          <w:color w:val="000000"/>
        </w:rPr>
      </w:r>
      <w:r w:rsidR="00157683" w:rsidRPr="00D326F8">
        <w:rPr>
          <w:color w:val="000000"/>
        </w:rPr>
        <w:fldChar w:fldCharType="separate"/>
      </w:r>
      <w:r w:rsidR="00173A27">
        <w:rPr>
          <w:color w:val="000000"/>
        </w:rPr>
        <w:t>8</w:t>
      </w:r>
      <w:r w:rsidR="00157683" w:rsidRPr="00D326F8">
        <w:rPr>
          <w:color w:val="000000"/>
        </w:rPr>
        <w:fldChar w:fldCharType="end"/>
      </w:r>
      <w:r w:rsidRPr="00D326F8">
        <w:rPr>
          <w:color w:val="000000"/>
        </w:rPr>
        <w:t>.</w:t>
      </w:r>
    </w:p>
    <w:p w14:paraId="601A811C" w14:textId="77777777" w:rsidR="002B3590" w:rsidRPr="00D326F8" w:rsidRDefault="003E23E4" w:rsidP="008D37C0">
      <w:pPr>
        <w:pStyle w:val="List1withbullet"/>
        <w:ind w:left="993" w:hanging="426"/>
      </w:pPr>
      <w:r w:rsidRPr="00D326F8">
        <w:t xml:space="preserve">Positive for SARS-CoV-2 on admission on Day 25. </w:t>
      </w:r>
    </w:p>
    <w:p w14:paraId="601A811D" w14:textId="77777777" w:rsidR="00D1039B" w:rsidRPr="00D326F8" w:rsidRDefault="003E23E4" w:rsidP="008D37C0">
      <w:pPr>
        <w:pStyle w:val="List1withbullet"/>
        <w:ind w:left="357" w:hanging="357"/>
      </w:pPr>
      <w:r w:rsidRPr="00D326F8">
        <w:t>If a participant has failed to attend scheduled study assessments, the Investigator must determine the reasons and the circumstances as completely and accurately as possible.</w:t>
      </w:r>
    </w:p>
    <w:p w14:paraId="601A811E" w14:textId="77777777" w:rsidR="00D1039B" w:rsidRPr="00D326F8" w:rsidRDefault="003E23E4" w:rsidP="008D37C0">
      <w:pPr>
        <w:pStyle w:val="List1withbullet"/>
        <w:ind w:left="357" w:hanging="357"/>
      </w:pPr>
      <w:r w:rsidRPr="00D326F8">
        <w:t>If a participant must be withdrawn from the study, the Medical Monitor and clinical study leader for the Sponsor will be informed immediately.</w:t>
      </w:r>
    </w:p>
    <w:bookmarkEnd w:id="166"/>
    <w:p w14:paraId="601A811F" w14:textId="77777777" w:rsidR="00D1039B" w:rsidRPr="00D326F8" w:rsidRDefault="003E23E4" w:rsidP="008D37C0">
      <w:pPr>
        <w:pStyle w:val="List1withbullet"/>
        <w:ind w:left="357" w:hanging="357"/>
      </w:pPr>
      <w:r w:rsidRPr="00D326F8">
        <w:t>If there is a medical reason for the withdrawal, appropriate medical care will be provided.</w:t>
      </w:r>
    </w:p>
    <w:p w14:paraId="601A8120" w14:textId="50BEA33D" w:rsidR="002D5216" w:rsidRPr="00D326F8" w:rsidRDefault="003E23E4" w:rsidP="008D37C0">
      <w:pPr>
        <w:pStyle w:val="List1withbullet"/>
        <w:ind w:left="357" w:hanging="357"/>
      </w:pPr>
      <w:r w:rsidRPr="00D326F8">
        <w:t xml:space="preserve">At the time of </w:t>
      </w:r>
      <w:r w:rsidR="002C260E" w:rsidRPr="00D326F8">
        <w:t xml:space="preserve">study </w:t>
      </w:r>
      <w:r w:rsidRPr="00D326F8">
        <w:t>discontinu</w:t>
      </w:r>
      <w:r w:rsidR="002C260E" w:rsidRPr="00D326F8">
        <w:t>ation</w:t>
      </w:r>
      <w:r w:rsidRPr="00D326F8">
        <w:t xml:space="preserve">, if possible, a discontinuation visit will be conducted, as listed in the </w:t>
      </w:r>
      <w:r w:rsidR="00CF2490" w:rsidRPr="00D326F8">
        <w:t>Schedule of Assessments</w:t>
      </w:r>
      <w:r w:rsidR="004421FE" w:rsidRPr="00D326F8">
        <w:t xml:space="preserve"> (Section </w:t>
      </w:r>
      <w:r w:rsidR="004421FE" w:rsidRPr="00D326F8">
        <w:fldChar w:fldCharType="begin"/>
      </w:r>
      <w:r w:rsidR="004421FE" w:rsidRPr="00D326F8">
        <w:instrText xml:space="preserve"> REF _Ref77583760 \r \h </w:instrText>
      </w:r>
      <w:r w:rsidR="008D37C0" w:rsidRPr="00D326F8">
        <w:instrText xml:space="preserve"> \* MERGEFORMAT </w:instrText>
      </w:r>
      <w:r w:rsidR="004421FE" w:rsidRPr="00D326F8">
        <w:fldChar w:fldCharType="separate"/>
      </w:r>
      <w:r w:rsidR="00173A27">
        <w:t>1.3</w:t>
      </w:r>
      <w:r w:rsidR="004421FE" w:rsidRPr="00D326F8">
        <w:fldChar w:fldCharType="end"/>
      </w:r>
      <w:r w:rsidR="004421FE" w:rsidRPr="00D326F8">
        <w:t>)</w:t>
      </w:r>
      <w:r w:rsidRPr="00D326F8">
        <w:t xml:space="preserve">. The </w:t>
      </w:r>
      <w:r w:rsidR="00CF2490" w:rsidRPr="00D326F8">
        <w:t>Schedule of Assessments</w:t>
      </w:r>
      <w:r w:rsidRPr="00D326F8">
        <w:t xml:space="preserve"> specifies the data to collect at study discontinuation and follow-up, and any additional evaluations that need to be completed.</w:t>
      </w:r>
    </w:p>
    <w:p w14:paraId="601A8121" w14:textId="77777777" w:rsidR="00AC634A" w:rsidRPr="00D326F8" w:rsidRDefault="003E23E4" w:rsidP="008D37C0">
      <w:pPr>
        <w:pStyle w:val="List1withbullet"/>
        <w:ind w:left="357" w:hanging="357"/>
      </w:pPr>
      <w:r w:rsidRPr="00D326F8">
        <w:t xml:space="preserve">If the participant </w:t>
      </w:r>
      <w:r w:rsidR="009475FF" w:rsidRPr="00D326F8">
        <w:t>revokes consent for</w:t>
      </w:r>
      <w:r w:rsidRPr="00D326F8">
        <w:t xml:space="preserve"> the study, any data collected up to that point may still be used, but no future data can be generated, and any biological samples collected will be destroyed.</w:t>
      </w:r>
    </w:p>
    <w:p w14:paraId="601A8122" w14:textId="1727C42C" w:rsidR="002D5216" w:rsidRPr="00D326F8" w:rsidRDefault="003E23E4" w:rsidP="008D37C0">
      <w:pPr>
        <w:pStyle w:val="List1withbullet"/>
        <w:ind w:left="357" w:hanging="357"/>
      </w:pPr>
      <w:r w:rsidRPr="00D326F8">
        <w:t xml:space="preserve">A participant has the right at any time to request destruction of any biological samples taken. The </w:t>
      </w:r>
      <w:r w:rsidR="00A2564D" w:rsidRPr="00D326F8">
        <w:t>I</w:t>
      </w:r>
      <w:r w:rsidRPr="00D326F8">
        <w:t xml:space="preserve">nvestigator </w:t>
      </w:r>
      <w:r w:rsidR="00DE57D7" w:rsidRPr="00D326F8">
        <w:t>will</w:t>
      </w:r>
      <w:r w:rsidRPr="00D326F8">
        <w:t xml:space="preserve"> document this in the site study records</w:t>
      </w:r>
      <w:r w:rsidR="002C260E" w:rsidRPr="00D326F8">
        <w:t xml:space="preserve"> and </w:t>
      </w:r>
      <w:r w:rsidR="009475FF" w:rsidRPr="00D326F8">
        <w:t xml:space="preserve">the CRF and inform the Sponsor. The </w:t>
      </w:r>
      <w:r w:rsidR="002C260E" w:rsidRPr="00D326F8">
        <w:t>samples will be destroyed</w:t>
      </w:r>
      <w:r w:rsidRPr="00D326F8">
        <w:t>.</w:t>
      </w:r>
    </w:p>
    <w:p w14:paraId="601A8123" w14:textId="77777777" w:rsidR="002D5216" w:rsidRPr="00D326F8" w:rsidRDefault="003E23E4" w:rsidP="00457D9C">
      <w:pPr>
        <w:pStyle w:val="Heading2"/>
        <w:tabs>
          <w:tab w:val="clear" w:pos="4896"/>
          <w:tab w:val="num" w:pos="5220"/>
        </w:tabs>
        <w:ind w:left="2070" w:hanging="2070"/>
      </w:pPr>
      <w:bookmarkStart w:id="167" w:name="_Toc63944432"/>
      <w:bookmarkStart w:id="168" w:name="_Ref31961575"/>
      <w:bookmarkStart w:id="169" w:name="_Toc77839760"/>
      <w:bookmarkEnd w:id="167"/>
      <w:r w:rsidRPr="00D326F8">
        <w:t>Lost to Follow</w:t>
      </w:r>
      <w:r w:rsidR="00DC538F" w:rsidRPr="00D326F8">
        <w:t>-</w:t>
      </w:r>
      <w:r w:rsidRPr="00D326F8">
        <w:t>Up</w:t>
      </w:r>
      <w:bookmarkEnd w:id="168"/>
      <w:bookmarkEnd w:id="169"/>
    </w:p>
    <w:p w14:paraId="601A8124" w14:textId="77777777" w:rsidR="002D5216" w:rsidRPr="00D326F8" w:rsidRDefault="003E23E4" w:rsidP="005D6927">
      <w:pPr>
        <w:pStyle w:val="List1withoutbullet"/>
        <w:ind w:left="0"/>
      </w:pPr>
      <w:r w:rsidRPr="00D326F8">
        <w:t>A participant will be considered lost to follow-up if he or she repeatedly fails to return for scheduled visits and is unable to be contacted by the study site.</w:t>
      </w:r>
    </w:p>
    <w:p w14:paraId="601A8125" w14:textId="77777777" w:rsidR="002D5216" w:rsidRPr="00D326F8" w:rsidRDefault="003E23E4" w:rsidP="005D6927">
      <w:pPr>
        <w:pStyle w:val="List1withoutbullet"/>
        <w:ind w:left="0"/>
      </w:pPr>
      <w:r w:rsidRPr="00D326F8">
        <w:t xml:space="preserve">The following actions </w:t>
      </w:r>
      <w:r w:rsidR="003F03F9" w:rsidRPr="00D326F8">
        <w:t>will</w:t>
      </w:r>
      <w:r w:rsidRPr="00D326F8">
        <w:t xml:space="preserve"> be taken if a participant fails to return to the clinic for a required study visit:</w:t>
      </w:r>
    </w:p>
    <w:p w14:paraId="601A8126" w14:textId="77777777" w:rsidR="002D5216" w:rsidRPr="00D326F8" w:rsidRDefault="003E23E4" w:rsidP="008D37C0">
      <w:pPr>
        <w:pStyle w:val="List1withbullet"/>
        <w:ind w:left="357" w:hanging="357"/>
      </w:pPr>
      <w:r w:rsidRPr="00D326F8">
        <w:t xml:space="preserve">The site </w:t>
      </w:r>
      <w:r w:rsidR="00DE57D7" w:rsidRPr="00D326F8">
        <w:t>will</w:t>
      </w:r>
      <w:r w:rsidRPr="00D326F8">
        <w:t xml:space="preserve"> attempt to contact the participant and reschedule the missed visit as soon as possible, counsel the participant on the importance of maintaining the assigned visit schedule and ascertain if the participant wants to or should continue in the study.</w:t>
      </w:r>
    </w:p>
    <w:p w14:paraId="601A8127" w14:textId="77777777" w:rsidR="002D5216" w:rsidRPr="00D326F8" w:rsidRDefault="003E23E4" w:rsidP="008D37C0">
      <w:pPr>
        <w:pStyle w:val="List1withbullet"/>
        <w:keepNext/>
        <w:keepLines/>
        <w:ind w:left="357" w:hanging="357"/>
      </w:pPr>
      <w:r w:rsidRPr="00D326F8">
        <w:lastRenderedPageBreak/>
        <w:t xml:space="preserve">Before a participant is deemed </w:t>
      </w:r>
      <w:r w:rsidR="00561E2B" w:rsidRPr="00D326F8">
        <w:t>“</w:t>
      </w:r>
      <w:r w:rsidRPr="00D326F8">
        <w:t>lost to follow</w:t>
      </w:r>
      <w:r w:rsidR="00DC538F" w:rsidRPr="00D326F8">
        <w:t>-</w:t>
      </w:r>
      <w:r w:rsidRPr="00D326F8">
        <w:t>up</w:t>
      </w:r>
      <w:r w:rsidR="00561E2B" w:rsidRPr="00D326F8">
        <w:t>”</w:t>
      </w:r>
      <w:r w:rsidRPr="00D326F8">
        <w:t xml:space="preserve">, the </w:t>
      </w:r>
      <w:r w:rsidR="00BB585C" w:rsidRPr="00D326F8">
        <w:t>I</w:t>
      </w:r>
      <w:r w:rsidRPr="00D326F8">
        <w:t xml:space="preserve">nvestigator or designee </w:t>
      </w:r>
      <w:r w:rsidR="00DE57D7" w:rsidRPr="00D326F8">
        <w:t>will</w:t>
      </w:r>
      <w:r w:rsidRPr="00D326F8">
        <w:t xml:space="preserve"> make every effort to regain contact with the participant: </w:t>
      </w:r>
      <w:r w:rsidR="0094708A" w:rsidRPr="00D326F8">
        <w:t>1)</w:t>
      </w:r>
      <w:r w:rsidR="00EF3E0E" w:rsidRPr="00D326F8">
        <w:t> </w:t>
      </w:r>
      <w:r w:rsidRPr="00D326F8">
        <w:t>where possible, make 3</w:t>
      </w:r>
      <w:r w:rsidR="00EF3E0E" w:rsidRPr="00D326F8">
        <w:t> </w:t>
      </w:r>
      <w:r w:rsidRPr="00D326F8">
        <w:t>telephone calls</w:t>
      </w:r>
      <w:r w:rsidR="0094708A" w:rsidRPr="00D326F8">
        <w:t>; 2)</w:t>
      </w:r>
      <w:r w:rsidR="00176A88" w:rsidRPr="00D326F8">
        <w:t xml:space="preserve"> </w:t>
      </w:r>
      <w:r w:rsidRPr="00D326F8">
        <w:t xml:space="preserve">if necessary, send a certified letter </w:t>
      </w:r>
      <w:r w:rsidR="00B30508" w:rsidRPr="00D326F8">
        <w:t xml:space="preserve">(or an equivalent local method) </w:t>
      </w:r>
      <w:r w:rsidRPr="00D326F8">
        <w:t>to the participant’s last known mailing address</w:t>
      </w:r>
      <w:r w:rsidR="0094708A" w:rsidRPr="00D326F8">
        <w:t>, and 3)</w:t>
      </w:r>
      <w:r w:rsidR="00EF3E0E" w:rsidRPr="00D326F8">
        <w:t> </w:t>
      </w:r>
      <w:r w:rsidR="0094708A" w:rsidRPr="00D326F8">
        <w:t xml:space="preserve">if a participant has given the appropriate consent, contact the participant’s general practitioner </w:t>
      </w:r>
      <w:r w:rsidR="00570C26" w:rsidRPr="00D326F8">
        <w:t xml:space="preserve">or caretaker (where allowed by local regulations) </w:t>
      </w:r>
      <w:r w:rsidR="0094708A" w:rsidRPr="00D326F8">
        <w:t>for information.</w:t>
      </w:r>
      <w:r w:rsidRPr="00D326F8">
        <w:t xml:space="preserve"> These contact attempts </w:t>
      </w:r>
      <w:r w:rsidR="00615266" w:rsidRPr="00D326F8">
        <w:t>will</w:t>
      </w:r>
      <w:r w:rsidRPr="00D326F8">
        <w:t xml:space="preserve"> be documented in the participant’s medical record.</w:t>
      </w:r>
    </w:p>
    <w:p w14:paraId="601A8128" w14:textId="77777777" w:rsidR="002C134B" w:rsidRPr="00D326F8" w:rsidRDefault="003E23E4" w:rsidP="008D37C0">
      <w:pPr>
        <w:pStyle w:val="List1withbullet"/>
        <w:ind w:left="357" w:hanging="357"/>
      </w:pPr>
      <w:r w:rsidRPr="00D326F8">
        <w:t>If</w:t>
      </w:r>
      <w:r w:rsidR="004039AE" w:rsidRPr="00D326F8">
        <w:t xml:space="preserve"> the participant continue</w:t>
      </w:r>
      <w:r w:rsidRPr="00D326F8">
        <w:t>s</w:t>
      </w:r>
      <w:r w:rsidR="004039AE" w:rsidRPr="00D326F8">
        <w:t xml:space="preserve"> to be unreachable, he/she will be </w:t>
      </w:r>
      <w:r w:rsidR="00F94443" w:rsidRPr="00D326F8">
        <w:t>deemed as “lost to follow-up”</w:t>
      </w:r>
      <w:r w:rsidR="004039AE" w:rsidRPr="00D326F8">
        <w:t>.</w:t>
      </w:r>
    </w:p>
    <w:p w14:paraId="601A8129" w14:textId="77777777" w:rsidR="002D5216" w:rsidRPr="00D326F8" w:rsidRDefault="003E23E4" w:rsidP="002C134B">
      <w:pPr>
        <w:pStyle w:val="Heading1"/>
      </w:pPr>
      <w:bookmarkStart w:id="170" w:name="_Ref74473894"/>
      <w:bookmarkStart w:id="171" w:name="_Ref74915976"/>
      <w:bookmarkStart w:id="172" w:name="_Toc77839761"/>
      <w:r w:rsidRPr="00D326F8">
        <w:t>Study Assessments and Procedures</w:t>
      </w:r>
      <w:bookmarkEnd w:id="170"/>
      <w:bookmarkEnd w:id="171"/>
      <w:bookmarkEnd w:id="172"/>
    </w:p>
    <w:p w14:paraId="601A812A" w14:textId="78893E3C" w:rsidR="002D5216" w:rsidRPr="00D326F8" w:rsidRDefault="003E23E4" w:rsidP="008D37C0">
      <w:pPr>
        <w:pStyle w:val="List1withbullet"/>
        <w:ind w:left="357" w:hanging="357"/>
      </w:pPr>
      <w:r w:rsidRPr="00D326F8">
        <w:t xml:space="preserve">Study assessments and procedures and their timing are summarized in the </w:t>
      </w:r>
      <w:r w:rsidR="00CF2490" w:rsidRPr="00D326F8">
        <w:t>Schedule of Assessments</w:t>
      </w:r>
      <w:r w:rsidR="004421FE" w:rsidRPr="00D326F8">
        <w:t xml:space="preserve"> (Section </w:t>
      </w:r>
      <w:r w:rsidR="004421FE" w:rsidRPr="00D326F8">
        <w:fldChar w:fldCharType="begin"/>
      </w:r>
      <w:r w:rsidR="004421FE" w:rsidRPr="00D326F8">
        <w:instrText xml:space="preserve"> REF _Ref77583760 \r \h </w:instrText>
      </w:r>
      <w:r w:rsidR="008D37C0" w:rsidRPr="00D326F8">
        <w:instrText xml:space="preserve"> \* MERGEFORMAT </w:instrText>
      </w:r>
      <w:r w:rsidR="004421FE" w:rsidRPr="00D326F8">
        <w:fldChar w:fldCharType="separate"/>
      </w:r>
      <w:r w:rsidR="00173A27">
        <w:t>1.3</w:t>
      </w:r>
      <w:r w:rsidR="004421FE" w:rsidRPr="00D326F8">
        <w:fldChar w:fldCharType="end"/>
      </w:r>
      <w:r w:rsidR="004421FE" w:rsidRPr="00D326F8">
        <w:t>)</w:t>
      </w:r>
      <w:r w:rsidRPr="00D326F8">
        <w:t>.</w:t>
      </w:r>
    </w:p>
    <w:p w14:paraId="601A812B" w14:textId="77777777" w:rsidR="002D5216" w:rsidRPr="00D326F8" w:rsidRDefault="003E23E4" w:rsidP="008D37C0">
      <w:pPr>
        <w:pStyle w:val="List1withbullet"/>
        <w:ind w:left="357" w:hanging="357"/>
      </w:pPr>
      <w:r w:rsidRPr="00D326F8">
        <w:t>No protocol waivers or exemptions are allowed.</w:t>
      </w:r>
    </w:p>
    <w:p w14:paraId="601A812C" w14:textId="77777777" w:rsidR="002D5216" w:rsidRPr="00D326F8" w:rsidRDefault="003E23E4" w:rsidP="008D37C0">
      <w:pPr>
        <w:pStyle w:val="List1withbullet"/>
        <w:ind w:left="357" w:hanging="357"/>
      </w:pPr>
      <w:r w:rsidRPr="00D326F8">
        <w:t xml:space="preserve">Immediate safety concerns </w:t>
      </w:r>
      <w:r w:rsidR="00615266" w:rsidRPr="00D326F8">
        <w:t xml:space="preserve">are </w:t>
      </w:r>
      <w:r w:rsidRPr="00D326F8">
        <w:t xml:space="preserve">discussed with the </w:t>
      </w:r>
      <w:r w:rsidR="00F4527C" w:rsidRPr="00D326F8">
        <w:t>S</w:t>
      </w:r>
      <w:r w:rsidRPr="00D326F8">
        <w:t>ponsor immediately upon occurrence or awareness to determine if the participant should continue or discontinue study intervention.</w:t>
      </w:r>
    </w:p>
    <w:p w14:paraId="601A812D" w14:textId="3B86F1E3" w:rsidR="002D5216" w:rsidRPr="00D326F8" w:rsidRDefault="003E23E4" w:rsidP="008D37C0">
      <w:pPr>
        <w:pStyle w:val="List1withbullet"/>
        <w:ind w:left="357" w:hanging="357"/>
      </w:pPr>
      <w:r w:rsidRPr="00D326F8">
        <w:t xml:space="preserve">Adherence to the study design requirements, including those specified in the </w:t>
      </w:r>
      <w:r w:rsidR="00CF2490" w:rsidRPr="00D326F8">
        <w:t>Schedule of Assessments</w:t>
      </w:r>
      <w:r w:rsidRPr="00D326F8">
        <w:t>, is essential and required for study conduct.</w:t>
      </w:r>
    </w:p>
    <w:p w14:paraId="601A812E" w14:textId="77777777" w:rsidR="002D5216" w:rsidRPr="00D326F8" w:rsidRDefault="003E23E4" w:rsidP="008D37C0">
      <w:pPr>
        <w:pStyle w:val="List1withbullet"/>
        <w:ind w:left="357" w:hanging="357"/>
      </w:pPr>
      <w:r w:rsidRPr="00D326F8">
        <w:t xml:space="preserve">All screening evaluations </w:t>
      </w:r>
      <w:r w:rsidR="00DE57D7" w:rsidRPr="00D326F8">
        <w:t>will</w:t>
      </w:r>
      <w:r w:rsidRPr="00D326F8">
        <w:t xml:space="preserve"> be completed and reviewed to confirm that potential participants meet all eligibility criteria. The </w:t>
      </w:r>
      <w:r w:rsidR="00BB585C" w:rsidRPr="00D326F8">
        <w:t>I</w:t>
      </w:r>
      <w:r w:rsidRPr="00D326F8">
        <w:t>nvestigator will maintain a screening log to record details of all participants screened, to confirm eligibility, and if applicable, record reasons for screening failure.</w:t>
      </w:r>
    </w:p>
    <w:p w14:paraId="601A812F" w14:textId="44258499" w:rsidR="002D5216" w:rsidRPr="00D326F8" w:rsidRDefault="003E23E4" w:rsidP="008D37C0">
      <w:pPr>
        <w:pStyle w:val="List1withbullet"/>
        <w:ind w:left="357" w:hanging="357"/>
      </w:pPr>
      <w:r w:rsidRPr="00D326F8">
        <w:t>Prior to performing any study assessments that are not part of the participant’s routine medical care, the Investigator will obtain written informed consent as specified in</w:t>
      </w:r>
      <w:r w:rsidR="003A5C57" w:rsidRPr="00D326F8">
        <w:t xml:space="preserve"> </w:t>
      </w:r>
      <w:hyperlink w:anchor="_Appendix_2_Study" w:history="1">
        <w:r w:rsidR="003A5C57" w:rsidRPr="00D326F8">
          <w:t>Appendix</w:t>
        </w:r>
        <w:r w:rsidR="00473026" w:rsidRPr="00D326F8">
          <w:t> </w:t>
        </w:r>
        <w:r w:rsidR="003A5C57" w:rsidRPr="00D326F8">
          <w:t>2</w:t>
        </w:r>
      </w:hyperlink>
      <w:r w:rsidRPr="00D326F8">
        <w:t>.</w:t>
      </w:r>
    </w:p>
    <w:p w14:paraId="601A8130" w14:textId="551BBF37" w:rsidR="008723E5" w:rsidRPr="00D326F8" w:rsidRDefault="003E23E4" w:rsidP="008D37C0">
      <w:pPr>
        <w:pStyle w:val="List1withbullet"/>
        <w:ind w:left="357" w:hanging="357"/>
      </w:pPr>
      <w:r w:rsidRPr="00D326F8">
        <w:t xml:space="preserve">Procedures conducted as part of the participant’s routine medical care (e.g., blood count) and obtained before signing of the ICF may be used for screening or baseline purposes provided the procedures met the protocol-specified criteria and were performed within the time frame defined in the </w:t>
      </w:r>
      <w:r w:rsidR="00CF2490" w:rsidRPr="00D326F8">
        <w:t>Schedule of Assessments</w:t>
      </w:r>
      <w:r w:rsidRPr="00D326F8">
        <w:t>.</w:t>
      </w:r>
      <w:r w:rsidR="008E2C4C" w:rsidRPr="00D326F8">
        <w:t xml:space="preserve"> </w:t>
      </w:r>
    </w:p>
    <w:p w14:paraId="7C9EE081" w14:textId="77777777" w:rsidR="00473026" w:rsidRPr="00D326F8" w:rsidRDefault="00473026" w:rsidP="00473026">
      <w:pPr>
        <w:pStyle w:val="List1withbullet"/>
        <w:ind w:left="357" w:hanging="357"/>
      </w:pPr>
      <w:r w:rsidRPr="00D326F8">
        <w:t xml:space="preserve">Demographic data collected at Screening will include, at minimum, age, sex, race (collected only </w:t>
      </w:r>
      <w:proofErr w:type="gramStart"/>
      <w:r w:rsidRPr="00D326F8">
        <w:t>where</w:t>
      </w:r>
      <w:proofErr w:type="gramEnd"/>
      <w:r w:rsidRPr="00D326F8">
        <w:t xml:space="preserve"> allowed by local law/regulations), and ethnicity.</w:t>
      </w:r>
    </w:p>
    <w:p w14:paraId="601A8131" w14:textId="18A64708" w:rsidR="00552455" w:rsidRPr="00D326F8" w:rsidRDefault="003E23E4" w:rsidP="008D37C0">
      <w:pPr>
        <w:pStyle w:val="List1withbullet"/>
        <w:ind w:left="357" w:hanging="357"/>
      </w:pPr>
      <w:r w:rsidRPr="00D326F8">
        <w:t xml:space="preserve">No more than </w:t>
      </w:r>
      <w:r w:rsidR="00E409DA" w:rsidRPr="00D326F8">
        <w:t>50</w:t>
      </w:r>
      <w:r w:rsidRPr="00D326F8">
        <w:t xml:space="preserve"> mL of blood may be drawn in a 24-hour period, and no more than </w:t>
      </w:r>
      <w:r w:rsidR="00E52EC8" w:rsidRPr="00D326F8">
        <w:t>200</w:t>
      </w:r>
      <w:r w:rsidR="004421FE" w:rsidRPr="00D326F8">
        <w:t> </w:t>
      </w:r>
      <w:r w:rsidRPr="00D326F8">
        <w:t>mL</w:t>
      </w:r>
      <w:r w:rsidR="006753F5" w:rsidRPr="00D326F8">
        <w:t xml:space="preserve"> </w:t>
      </w:r>
      <w:r w:rsidRPr="00D326F8">
        <w:t>of blood in a 4-week period.</w:t>
      </w:r>
    </w:p>
    <w:p w14:paraId="601A8132" w14:textId="77777777" w:rsidR="000D0735" w:rsidRPr="00D326F8" w:rsidRDefault="003E23E4" w:rsidP="008D37C0">
      <w:pPr>
        <w:pStyle w:val="List1withbullet"/>
        <w:ind w:left="357" w:hanging="357"/>
      </w:pPr>
      <w:r w:rsidRPr="00D326F8">
        <w:t>Where allowed by local law/regulations, samples collected during this clinical study may be transferred to a biobank and used for future research outside the clinical protocol when additional consent for this purpose is given. Transfer to the biobank will be documented and any testing of coded biobank samples will not be reported in the CSR.</w:t>
      </w:r>
    </w:p>
    <w:p w14:paraId="601A8133" w14:textId="77777777" w:rsidR="000D0735" w:rsidRPr="00D326F8" w:rsidRDefault="003E23E4" w:rsidP="008D37C0">
      <w:pPr>
        <w:pStyle w:val="List1withbullet"/>
        <w:ind w:left="357" w:hanging="357"/>
      </w:pPr>
      <w:r w:rsidRPr="00D326F8">
        <w:t>The long-term storage of samples after study completion for future research may be performed wi</w:t>
      </w:r>
      <w:r w:rsidR="006834ED" w:rsidRPr="00D326F8">
        <w:t>th</w:t>
      </w:r>
      <w:r w:rsidRPr="00D326F8">
        <w:t xml:space="preserve"> all sample types collected in the study (e.g., PK, pharmacogen</w:t>
      </w:r>
      <w:r w:rsidR="006753F5" w:rsidRPr="00D326F8">
        <w:t>et</w:t>
      </w:r>
      <w:r w:rsidRPr="00D326F8">
        <w:t>ics, biomarkers, or immunogenetic) if the participant consents to optional future medical research.</w:t>
      </w:r>
    </w:p>
    <w:p w14:paraId="601A8135" w14:textId="77777777" w:rsidR="002D5216" w:rsidRPr="00D326F8" w:rsidRDefault="003E23E4" w:rsidP="005D6927">
      <w:pPr>
        <w:pStyle w:val="Heading2"/>
      </w:pPr>
      <w:bookmarkStart w:id="173" w:name="_Toc77839762"/>
      <w:r w:rsidRPr="00D326F8">
        <w:lastRenderedPageBreak/>
        <w:t>Efficacy Assessments and Procedures</w:t>
      </w:r>
      <w:bookmarkEnd w:id="173"/>
    </w:p>
    <w:p w14:paraId="601A8136" w14:textId="77777777" w:rsidR="005D6927" w:rsidRPr="00D326F8" w:rsidRDefault="003E23E4" w:rsidP="005D6927">
      <w:pPr>
        <w:pStyle w:val="BodyText"/>
      </w:pPr>
      <w:r w:rsidRPr="00D326F8">
        <w:t>Not applicable.</w:t>
      </w:r>
    </w:p>
    <w:p w14:paraId="601A8137" w14:textId="77777777" w:rsidR="002D5216" w:rsidRPr="00D326F8" w:rsidRDefault="003E23E4" w:rsidP="005B6170">
      <w:pPr>
        <w:pStyle w:val="Heading2"/>
        <w:tabs>
          <w:tab w:val="clear" w:pos="4896"/>
          <w:tab w:val="num" w:pos="5310"/>
        </w:tabs>
        <w:ind w:left="1800" w:hanging="1800"/>
      </w:pPr>
      <w:bookmarkStart w:id="174" w:name="_Toc77839763"/>
      <w:r w:rsidRPr="00D326F8">
        <w:t>Safety Assessments and Procedures</w:t>
      </w:r>
      <w:bookmarkEnd w:id="174"/>
    </w:p>
    <w:p w14:paraId="601A8138" w14:textId="77777777" w:rsidR="002D5216" w:rsidRPr="00D326F8" w:rsidRDefault="003E23E4" w:rsidP="006753F5">
      <w:pPr>
        <w:pStyle w:val="List1withoutbullet"/>
        <w:ind w:left="0"/>
      </w:pPr>
      <w:r w:rsidRPr="00D326F8">
        <w:t>The safety profile of the study intervention will be assessed through the recording, reporting and analysis of baseline medical conditions, AEs, physical examination findings, vital signs, electrocardiograms, and laboratory tests.</w:t>
      </w:r>
    </w:p>
    <w:p w14:paraId="601A8139" w14:textId="77F35FDE" w:rsidR="00A27118" w:rsidRPr="00D326F8" w:rsidRDefault="003E23E4" w:rsidP="006753F5">
      <w:pPr>
        <w:pStyle w:val="List1withoutbullet"/>
        <w:ind w:left="0"/>
      </w:pPr>
      <w:r w:rsidRPr="00D326F8">
        <w:t xml:space="preserve">Comprehensive assessment of any potential toxicity experienced by each participant will be conducted starting when the participants give informed consent and throughout the study. The </w:t>
      </w:r>
      <w:r w:rsidR="00BB585C" w:rsidRPr="00D326F8">
        <w:t>I</w:t>
      </w:r>
      <w:r w:rsidRPr="00D326F8">
        <w:t>nvestigator will report any AEs, whether observed by the Investigator or reported by the participant; the reporting period is specified in Section</w:t>
      </w:r>
      <w:r w:rsidR="00C029EB" w:rsidRPr="00D326F8">
        <w:t> </w:t>
      </w:r>
      <w:r w:rsidR="00C029EB" w:rsidRPr="00D326F8">
        <w:fldChar w:fldCharType="begin"/>
      </w:r>
      <w:r w:rsidR="00C029EB" w:rsidRPr="00D326F8">
        <w:instrText xml:space="preserve"> REF _Ref74470041 \r \h </w:instrText>
      </w:r>
      <w:r w:rsidR="008D37C0" w:rsidRPr="00D326F8">
        <w:instrText xml:space="preserve"> \* MERGEFORMAT </w:instrText>
      </w:r>
      <w:r w:rsidR="00C029EB" w:rsidRPr="00D326F8">
        <w:fldChar w:fldCharType="separate"/>
      </w:r>
      <w:r w:rsidR="00173A27">
        <w:t>8.3</w:t>
      </w:r>
      <w:r w:rsidR="00C029EB" w:rsidRPr="00D326F8">
        <w:fldChar w:fldCharType="end"/>
      </w:r>
      <w:r w:rsidRPr="00D326F8">
        <w:t>.</w:t>
      </w:r>
    </w:p>
    <w:p w14:paraId="601A813A" w14:textId="77777777" w:rsidR="002D5216" w:rsidRPr="00D326F8" w:rsidRDefault="003E23E4" w:rsidP="00A27118">
      <w:pPr>
        <w:pStyle w:val="Heading3"/>
      </w:pPr>
      <w:bookmarkStart w:id="175" w:name="_Ref74914812"/>
      <w:bookmarkStart w:id="176" w:name="_Toc77839764"/>
      <w:r w:rsidRPr="00D326F8">
        <w:t>Physical Examinations</w:t>
      </w:r>
      <w:bookmarkEnd w:id="175"/>
      <w:bookmarkEnd w:id="176"/>
    </w:p>
    <w:p w14:paraId="601A813B" w14:textId="77777777" w:rsidR="002D5216" w:rsidRPr="00D326F8" w:rsidRDefault="003E23E4" w:rsidP="00473026">
      <w:pPr>
        <w:pStyle w:val="List1withbullet"/>
        <w:ind w:left="357" w:hanging="357"/>
      </w:pPr>
      <w:r w:rsidRPr="00D326F8">
        <w:t xml:space="preserve">A complete physical examination will include, at a minimum, assessments of the </w:t>
      </w:r>
      <w:r w:rsidR="006753F5" w:rsidRPr="00D326F8">
        <w:t>c</w:t>
      </w:r>
      <w:r w:rsidRPr="00D326F8">
        <w:t xml:space="preserve">ardiovascular, </w:t>
      </w:r>
      <w:r w:rsidR="006753F5" w:rsidRPr="00D326F8">
        <w:t>r</w:t>
      </w:r>
      <w:r w:rsidRPr="00D326F8">
        <w:t xml:space="preserve">espiratory, </w:t>
      </w:r>
      <w:proofErr w:type="gramStart"/>
      <w:r w:rsidR="006753F5" w:rsidRPr="00D326F8">
        <w:t>g</w:t>
      </w:r>
      <w:r w:rsidRPr="00D326F8">
        <w:t>astrointestinal</w:t>
      </w:r>
      <w:proofErr w:type="gramEnd"/>
      <w:r w:rsidRPr="00D326F8">
        <w:t xml:space="preserve"> and </w:t>
      </w:r>
      <w:r w:rsidR="006753F5" w:rsidRPr="00D326F8">
        <w:t>n</w:t>
      </w:r>
      <w:r w:rsidRPr="00D326F8">
        <w:t>eurological systems.</w:t>
      </w:r>
    </w:p>
    <w:p w14:paraId="601A813C" w14:textId="77777777" w:rsidR="002D5216" w:rsidRPr="00D326F8" w:rsidRDefault="003E23E4" w:rsidP="00473026">
      <w:pPr>
        <w:pStyle w:val="List1withbullet"/>
        <w:ind w:left="357" w:hanging="357"/>
      </w:pPr>
      <w:r w:rsidRPr="00D326F8">
        <w:t>A brief physical examination will include, at a minimum, assessments of the skin, lungs, cardiovascular system, and abdomen (liver and spleen).</w:t>
      </w:r>
    </w:p>
    <w:p w14:paraId="601A813D" w14:textId="77777777" w:rsidR="002D5216" w:rsidRPr="00D326F8" w:rsidRDefault="003E23E4" w:rsidP="00473026">
      <w:pPr>
        <w:pStyle w:val="List1withbullet"/>
        <w:ind w:left="357" w:hanging="357"/>
      </w:pPr>
      <w:r w:rsidRPr="00D326F8">
        <w:t xml:space="preserve">Investigators </w:t>
      </w:r>
      <w:r w:rsidR="00615266" w:rsidRPr="00D326F8">
        <w:t>will</w:t>
      </w:r>
      <w:r w:rsidRPr="00D326F8">
        <w:t xml:space="preserve"> pay special attention to clinical signs related to previous serious illnesses.</w:t>
      </w:r>
    </w:p>
    <w:p w14:paraId="601A813E" w14:textId="77777777" w:rsidR="002D5216" w:rsidRPr="00D326F8" w:rsidRDefault="003E23E4" w:rsidP="00EA6244">
      <w:pPr>
        <w:pStyle w:val="Heading3"/>
      </w:pPr>
      <w:bookmarkStart w:id="177" w:name="_Ref74470022"/>
      <w:bookmarkStart w:id="178" w:name="_Ref74914943"/>
      <w:bookmarkStart w:id="179" w:name="_Ref74915692"/>
      <w:bookmarkStart w:id="180" w:name="_Toc77839765"/>
      <w:r w:rsidRPr="00D326F8">
        <w:t>Vital Signs</w:t>
      </w:r>
      <w:bookmarkEnd w:id="177"/>
      <w:bookmarkEnd w:id="178"/>
      <w:bookmarkEnd w:id="179"/>
      <w:bookmarkEnd w:id="180"/>
    </w:p>
    <w:p w14:paraId="601A813F" w14:textId="77777777" w:rsidR="00061DEA" w:rsidRPr="00D326F8" w:rsidRDefault="003E23E4" w:rsidP="00473026">
      <w:pPr>
        <w:pStyle w:val="List1withbullet"/>
        <w:ind w:left="357" w:hanging="357"/>
      </w:pPr>
      <w:r w:rsidRPr="00D326F8">
        <w:t>Blood pressure and participant’s position; pulse</w:t>
      </w:r>
      <w:r w:rsidR="00665379" w:rsidRPr="00D326F8">
        <w:t>;</w:t>
      </w:r>
      <w:r w:rsidRPr="00D326F8">
        <w:t xml:space="preserve"> respiratory rate</w:t>
      </w:r>
      <w:r w:rsidR="00665379" w:rsidRPr="00D326F8">
        <w:t>;</w:t>
      </w:r>
      <w:r w:rsidRPr="00D326F8">
        <w:t xml:space="preserve"> temperature</w:t>
      </w:r>
      <w:r w:rsidR="00965F55" w:rsidRPr="00D326F8">
        <w:t xml:space="preserve"> and location of measurement</w:t>
      </w:r>
      <w:r w:rsidR="00665379" w:rsidRPr="00D326F8">
        <w:t>, weight, and height (at Baseline only)</w:t>
      </w:r>
      <w:r w:rsidRPr="00D326F8">
        <w:t xml:space="preserve"> </w:t>
      </w:r>
      <w:r w:rsidR="00A55EAE" w:rsidRPr="00D326F8">
        <w:t>will be measured and recorded.</w:t>
      </w:r>
    </w:p>
    <w:p w14:paraId="601A8140" w14:textId="77777777" w:rsidR="002D5216" w:rsidRPr="00D326F8" w:rsidRDefault="003E23E4" w:rsidP="00473026">
      <w:pPr>
        <w:pStyle w:val="List1withbullet"/>
        <w:ind w:left="357" w:hanging="357"/>
      </w:pPr>
      <w:r w:rsidRPr="00D326F8">
        <w:t xml:space="preserve">Blood pressure and pulse measurements </w:t>
      </w:r>
      <w:r w:rsidR="00615266" w:rsidRPr="00D326F8">
        <w:t>will</w:t>
      </w:r>
      <w:r w:rsidRPr="00D326F8">
        <w:t xml:space="preserve"> be preceded by at least 5 minutes of rest for the participant in a quiet setting without distractions (e.g., television, cell phones)</w:t>
      </w:r>
      <w:r w:rsidR="00665379" w:rsidRPr="00D326F8">
        <w:t xml:space="preserve"> and measured with an automated device. Manual techniques will be used only if an automated device is not available.</w:t>
      </w:r>
    </w:p>
    <w:p w14:paraId="601A8141" w14:textId="4B6E4A30" w:rsidR="00661561" w:rsidRPr="00D326F8" w:rsidRDefault="003E23E4" w:rsidP="00473026">
      <w:pPr>
        <w:pStyle w:val="List1withbullet"/>
        <w:ind w:left="357" w:hanging="357"/>
      </w:pPr>
      <w:r w:rsidRPr="00D326F8">
        <w:t xml:space="preserve">Vital signs will </w:t>
      </w:r>
      <w:r w:rsidR="000E761F" w:rsidRPr="00D326F8">
        <w:t>b</w:t>
      </w:r>
      <w:r w:rsidRPr="00D326F8">
        <w:t>e measured in supine position.</w:t>
      </w:r>
    </w:p>
    <w:p w14:paraId="601A8142" w14:textId="77777777" w:rsidR="002D5216" w:rsidRPr="00D326F8" w:rsidRDefault="003E23E4" w:rsidP="00EA6244">
      <w:pPr>
        <w:pStyle w:val="Heading3"/>
      </w:pPr>
      <w:bookmarkStart w:id="181" w:name="_Toc63944439"/>
      <w:bookmarkStart w:id="182" w:name="_Toc63944440"/>
      <w:bookmarkStart w:id="183" w:name="_Toc63944441"/>
      <w:bookmarkStart w:id="184" w:name="_Ref74470028"/>
      <w:bookmarkStart w:id="185" w:name="_Ref74914952"/>
      <w:bookmarkStart w:id="186" w:name="_Ref74915576"/>
      <w:bookmarkStart w:id="187" w:name="_Ref74915706"/>
      <w:bookmarkStart w:id="188" w:name="_Toc77839766"/>
      <w:bookmarkEnd w:id="181"/>
      <w:bookmarkEnd w:id="182"/>
      <w:bookmarkEnd w:id="183"/>
      <w:r w:rsidRPr="00D326F8">
        <w:t>Electrocardiograms</w:t>
      </w:r>
      <w:bookmarkEnd w:id="184"/>
      <w:bookmarkEnd w:id="185"/>
      <w:bookmarkEnd w:id="186"/>
      <w:bookmarkEnd w:id="187"/>
      <w:bookmarkEnd w:id="188"/>
    </w:p>
    <w:p w14:paraId="601A8143" w14:textId="1369DDAC" w:rsidR="002D5216" w:rsidRPr="00D326F8" w:rsidRDefault="003E23E4" w:rsidP="00473026">
      <w:pPr>
        <w:pStyle w:val="List1withbullet"/>
        <w:ind w:left="357" w:hanging="357"/>
      </w:pPr>
      <w:r w:rsidRPr="00D326F8">
        <w:t xml:space="preserve">Single 12-lead ECG will be obtained as outlined in the </w:t>
      </w:r>
      <w:r w:rsidR="00CF2490" w:rsidRPr="00D326F8">
        <w:t>Schedule of Assessments</w:t>
      </w:r>
      <w:r w:rsidR="004421FE" w:rsidRPr="00D326F8">
        <w:t xml:space="preserve"> (Section </w:t>
      </w:r>
      <w:r w:rsidR="004421FE" w:rsidRPr="00D326F8">
        <w:fldChar w:fldCharType="begin"/>
      </w:r>
      <w:r w:rsidR="004421FE" w:rsidRPr="00D326F8">
        <w:instrText xml:space="preserve"> REF _Ref77583760 \r \h </w:instrText>
      </w:r>
      <w:r w:rsidR="008D37C0" w:rsidRPr="00D326F8">
        <w:instrText xml:space="preserve"> \* MERGEFORMAT </w:instrText>
      </w:r>
      <w:r w:rsidR="004421FE" w:rsidRPr="00D326F8">
        <w:fldChar w:fldCharType="separate"/>
      </w:r>
      <w:r w:rsidR="00173A27">
        <w:t>1.3</w:t>
      </w:r>
      <w:r w:rsidR="004421FE" w:rsidRPr="00D326F8">
        <w:fldChar w:fldCharType="end"/>
      </w:r>
      <w:r w:rsidR="004421FE" w:rsidRPr="00D326F8">
        <w:t>)</w:t>
      </w:r>
      <w:r w:rsidRPr="00D326F8">
        <w:t xml:space="preserve"> using an ECG machine that automatically measures </w:t>
      </w:r>
      <w:r w:rsidR="00E865C0" w:rsidRPr="00D326F8">
        <w:t xml:space="preserve">heart rate, </w:t>
      </w:r>
      <w:r w:rsidRPr="00D326F8">
        <w:t xml:space="preserve">PR, </w:t>
      </w:r>
      <w:r w:rsidR="00E865C0" w:rsidRPr="00D326F8">
        <w:t xml:space="preserve">RR, </w:t>
      </w:r>
      <w:r w:rsidR="00DE472B" w:rsidRPr="00D326F8">
        <w:t>Q</w:t>
      </w:r>
      <w:r w:rsidR="00E865C0" w:rsidRPr="00D326F8">
        <w:t xml:space="preserve">RS, </w:t>
      </w:r>
      <w:r w:rsidRPr="00D326F8">
        <w:t>QT</w:t>
      </w:r>
      <w:r w:rsidR="00DE472B" w:rsidRPr="00D326F8">
        <w:t xml:space="preserve">, and QTcB or </w:t>
      </w:r>
      <w:r w:rsidR="00E865C0" w:rsidRPr="00D326F8">
        <w:t xml:space="preserve">QTcF. </w:t>
      </w:r>
      <w:r w:rsidR="006753F5" w:rsidRPr="00D326F8">
        <w:t>Documentation of the QTcF is mandatory.</w:t>
      </w:r>
    </w:p>
    <w:p w14:paraId="601A8144" w14:textId="77777777" w:rsidR="002D5216" w:rsidRPr="00D326F8" w:rsidRDefault="003E23E4" w:rsidP="00473026">
      <w:pPr>
        <w:pStyle w:val="List1withbullet"/>
        <w:ind w:left="357" w:hanging="357"/>
      </w:pPr>
      <w:r w:rsidRPr="00D326F8">
        <w:t>12-Lead ECGs will be recorded in a supine position following 5 minutes of rest.</w:t>
      </w:r>
    </w:p>
    <w:p w14:paraId="601A8145" w14:textId="77777777" w:rsidR="002D5216" w:rsidRPr="00D326F8" w:rsidRDefault="003E23E4" w:rsidP="00EA6244">
      <w:pPr>
        <w:pStyle w:val="Heading3"/>
      </w:pPr>
      <w:bookmarkStart w:id="189" w:name="_Ref74469980"/>
      <w:bookmarkStart w:id="190" w:name="_Ref74915525"/>
      <w:bookmarkStart w:id="191" w:name="_Ref74915673"/>
      <w:bookmarkStart w:id="192" w:name="_Toc77839767"/>
      <w:r w:rsidRPr="00D326F8">
        <w:t>Clinical Safety Laboratory Assessments</w:t>
      </w:r>
      <w:bookmarkEnd w:id="189"/>
      <w:bookmarkEnd w:id="190"/>
      <w:bookmarkEnd w:id="191"/>
      <w:bookmarkEnd w:id="192"/>
    </w:p>
    <w:p w14:paraId="601A8146" w14:textId="68E027E2" w:rsidR="002D5216" w:rsidRPr="00D326F8" w:rsidRDefault="003E23E4" w:rsidP="00473026">
      <w:pPr>
        <w:pStyle w:val="List1withbullet"/>
        <w:ind w:left="357" w:hanging="357"/>
      </w:pPr>
      <w:r w:rsidRPr="00D326F8">
        <w:t>Blood and urine samples will be collected for the clinical laboratory tests listed in</w:t>
      </w:r>
      <w:r w:rsidR="003A5C57" w:rsidRPr="00D326F8">
        <w:t xml:space="preserve"> </w:t>
      </w:r>
      <w:hyperlink w:anchor="_Appendix_5_Clinical" w:history="1">
        <w:r w:rsidR="003A5C57" w:rsidRPr="00D326F8">
          <w:rPr>
            <w:rStyle w:val="Hyperlink"/>
            <w:color w:val="auto"/>
          </w:rPr>
          <w:t>Appendix</w:t>
        </w:r>
        <w:r w:rsidR="00473026" w:rsidRPr="00D326F8">
          <w:rPr>
            <w:rStyle w:val="Hyperlink"/>
            <w:color w:val="auto"/>
          </w:rPr>
          <w:t> </w:t>
        </w:r>
        <w:r w:rsidR="003A5C57" w:rsidRPr="00D326F8">
          <w:rPr>
            <w:rStyle w:val="Hyperlink"/>
            <w:color w:val="auto"/>
          </w:rPr>
          <w:t>5</w:t>
        </w:r>
      </w:hyperlink>
      <w:r w:rsidRPr="00D326F8">
        <w:t xml:space="preserve"> at the time points listed in the </w:t>
      </w:r>
      <w:r w:rsidR="00CF2490" w:rsidRPr="00D326F8">
        <w:t>Schedule of Assessments</w:t>
      </w:r>
      <w:r w:rsidR="004421FE" w:rsidRPr="00D326F8">
        <w:t xml:space="preserve"> (Section </w:t>
      </w:r>
      <w:r w:rsidR="004421FE" w:rsidRPr="00D326F8">
        <w:fldChar w:fldCharType="begin"/>
      </w:r>
      <w:r w:rsidR="004421FE" w:rsidRPr="00D326F8">
        <w:instrText xml:space="preserve"> REF _Ref77583760 \r \h </w:instrText>
      </w:r>
      <w:r w:rsidR="008D37C0" w:rsidRPr="00D326F8">
        <w:instrText xml:space="preserve"> \* MERGEFORMAT </w:instrText>
      </w:r>
      <w:r w:rsidR="004421FE" w:rsidRPr="00D326F8">
        <w:fldChar w:fldCharType="separate"/>
      </w:r>
      <w:r w:rsidR="00173A27">
        <w:t>1.3</w:t>
      </w:r>
      <w:r w:rsidR="004421FE" w:rsidRPr="00D326F8">
        <w:fldChar w:fldCharType="end"/>
      </w:r>
      <w:r w:rsidR="004421FE" w:rsidRPr="00D326F8">
        <w:t>)</w:t>
      </w:r>
      <w:r w:rsidRPr="00D326F8">
        <w:t>.</w:t>
      </w:r>
      <w:r w:rsidR="00665EE6" w:rsidRPr="00D326F8">
        <w:t xml:space="preserve"> </w:t>
      </w:r>
      <w:r w:rsidRPr="00D326F8">
        <w:t xml:space="preserve">All samples </w:t>
      </w:r>
      <w:r w:rsidR="00615266" w:rsidRPr="00D326F8">
        <w:t>will</w:t>
      </w:r>
      <w:r w:rsidRPr="00D326F8">
        <w:t xml:space="preserve"> be clearly identified. </w:t>
      </w:r>
    </w:p>
    <w:p w14:paraId="601A8147" w14:textId="77777777" w:rsidR="002D5216" w:rsidRPr="00D326F8" w:rsidRDefault="003E23E4" w:rsidP="00473026">
      <w:pPr>
        <w:pStyle w:val="List1withbullet"/>
        <w:ind w:left="357" w:hanging="357"/>
      </w:pPr>
      <w:r w:rsidRPr="00D326F8">
        <w:lastRenderedPageBreak/>
        <w:t xml:space="preserve">Additional tests may be performed at any time during the study, as determined necessary by the </w:t>
      </w:r>
      <w:r w:rsidR="00BB585C" w:rsidRPr="00D326F8">
        <w:t>I</w:t>
      </w:r>
      <w:r w:rsidRPr="00D326F8">
        <w:t xml:space="preserve">nvestigator </w:t>
      </w:r>
      <w:bookmarkStart w:id="193" w:name="_Hlk63169390"/>
      <w:r w:rsidRPr="00D326F8">
        <w:t>or required by local regulations</w:t>
      </w:r>
      <w:bookmarkEnd w:id="193"/>
      <w:r w:rsidRPr="00D326F8">
        <w:t>.</w:t>
      </w:r>
    </w:p>
    <w:p w14:paraId="601A8148" w14:textId="77777777" w:rsidR="002D5216" w:rsidRPr="00D326F8" w:rsidRDefault="003E23E4" w:rsidP="00473026">
      <w:pPr>
        <w:pStyle w:val="List1withbullet"/>
        <w:ind w:left="357" w:hanging="357"/>
      </w:pPr>
      <w:r w:rsidRPr="00D326F8">
        <w:t xml:space="preserve">The tests will be performed by </w:t>
      </w:r>
      <w:r w:rsidR="00A564EC" w:rsidRPr="00D326F8">
        <w:t>Nuvisan GmbH laboratory</w:t>
      </w:r>
      <w:r w:rsidR="0043557D" w:rsidRPr="00D326F8">
        <w:t xml:space="preserve"> apart from analysis of HLA</w:t>
      </w:r>
      <w:r w:rsidR="0043557D" w:rsidRPr="00D326F8">
        <w:noBreakHyphen/>
        <w:t>B* 1502 or HLA</w:t>
      </w:r>
      <w:r w:rsidR="0043557D" w:rsidRPr="00D326F8">
        <w:noBreakHyphen/>
        <w:t xml:space="preserve">A* 3101 which will be performed by </w:t>
      </w:r>
      <w:proofErr w:type="spellStart"/>
      <w:r w:rsidR="0043557D" w:rsidRPr="00D326F8">
        <w:t>Labcorp</w:t>
      </w:r>
      <w:proofErr w:type="spellEnd"/>
      <w:r w:rsidR="0043557D" w:rsidRPr="00D326F8">
        <w:t>/Covance or another vendor with similar capabilities</w:t>
      </w:r>
      <w:r w:rsidRPr="00D326F8">
        <w:t>.</w:t>
      </w:r>
    </w:p>
    <w:p w14:paraId="601A8149" w14:textId="7A6700E9" w:rsidR="002D5216" w:rsidRPr="00D326F8" w:rsidRDefault="003E23E4" w:rsidP="00473026">
      <w:pPr>
        <w:pStyle w:val="List1withbullet"/>
        <w:ind w:left="357" w:hanging="357"/>
      </w:pPr>
      <w:r w:rsidRPr="00D326F8">
        <w:t xml:space="preserve">The </w:t>
      </w:r>
      <w:r w:rsidR="00BB585C" w:rsidRPr="00D326F8">
        <w:t>I</w:t>
      </w:r>
      <w:r w:rsidRPr="00D326F8">
        <w:t xml:space="preserve">nvestigator </w:t>
      </w:r>
      <w:r w:rsidR="00DE57D7" w:rsidRPr="00D326F8">
        <w:t>will</w:t>
      </w:r>
      <w:r w:rsidRPr="00D326F8">
        <w:t xml:space="preserve"> review each laboratory report, document </w:t>
      </w:r>
      <w:r w:rsidR="00E462CD" w:rsidRPr="00D326F8">
        <w:t xml:space="preserve">this </w:t>
      </w:r>
      <w:r w:rsidRPr="00D326F8">
        <w:t xml:space="preserve">review, and record any clinically </w:t>
      </w:r>
      <w:r w:rsidR="00D32891" w:rsidRPr="00D326F8">
        <w:t xml:space="preserve">significant </w:t>
      </w:r>
      <w:r w:rsidRPr="00D326F8">
        <w:t xml:space="preserve">changes occurring during the study </w:t>
      </w:r>
      <w:r w:rsidR="00D32891" w:rsidRPr="00D326F8">
        <w:t>as an</w:t>
      </w:r>
      <w:r w:rsidRPr="00D326F8">
        <w:t xml:space="preserve"> AE</w:t>
      </w:r>
      <w:r w:rsidR="00831A7A" w:rsidRPr="00D326F8">
        <w:t>, unless it does not meet the AE definition, as specified in</w:t>
      </w:r>
      <w:r w:rsidR="003A5C57" w:rsidRPr="00D326F8">
        <w:t xml:space="preserve"> </w:t>
      </w:r>
      <w:hyperlink w:anchor="_Appendix_4_Adverse" w:history="1">
        <w:r w:rsidR="003A5C57" w:rsidRPr="00D326F8">
          <w:t>Appendix 4</w:t>
        </w:r>
      </w:hyperlink>
      <w:r w:rsidRPr="00D326F8">
        <w:t>.</w:t>
      </w:r>
      <w:r w:rsidR="00665EE6" w:rsidRPr="00D326F8">
        <w:t xml:space="preserve"> </w:t>
      </w:r>
      <w:r w:rsidRPr="00D326F8">
        <w:t xml:space="preserve">The laboratory reports </w:t>
      </w:r>
      <w:r w:rsidR="00DE57D7" w:rsidRPr="00D326F8">
        <w:t>will</w:t>
      </w:r>
      <w:r w:rsidRPr="00D326F8">
        <w:t xml:space="preserve"> be filed with the source documents.</w:t>
      </w:r>
    </w:p>
    <w:p w14:paraId="601A814A" w14:textId="77777777" w:rsidR="002D5216" w:rsidRPr="00D326F8" w:rsidRDefault="003E23E4" w:rsidP="00603353">
      <w:pPr>
        <w:pStyle w:val="Heading2"/>
        <w:tabs>
          <w:tab w:val="clear" w:pos="4896"/>
          <w:tab w:val="num" w:pos="5040"/>
        </w:tabs>
        <w:ind w:left="1627" w:hanging="1627"/>
      </w:pPr>
      <w:bookmarkStart w:id="194" w:name="_Ref3989801"/>
      <w:bookmarkStart w:id="195" w:name="_Ref74470041"/>
      <w:bookmarkStart w:id="196" w:name="_Ref74915720"/>
      <w:bookmarkStart w:id="197" w:name="_Toc77839768"/>
      <w:r w:rsidRPr="00D326F8">
        <w:t>Adverse Events</w:t>
      </w:r>
      <w:r w:rsidR="00E86369" w:rsidRPr="00D326F8">
        <w:t>,</w:t>
      </w:r>
      <w:r w:rsidR="002B7E28" w:rsidRPr="00D326F8">
        <w:t xml:space="preserve"> </w:t>
      </w:r>
      <w:r w:rsidRPr="00D326F8">
        <w:t>Serious Adverse Events</w:t>
      </w:r>
      <w:bookmarkEnd w:id="194"/>
      <w:r w:rsidR="00E86369" w:rsidRPr="00D326F8">
        <w:t xml:space="preserve">, and </w:t>
      </w:r>
      <w:r w:rsidR="00DA60A9" w:rsidRPr="00D326F8">
        <w:t>Other Safety Reporting</w:t>
      </w:r>
      <w:bookmarkEnd w:id="195"/>
      <w:bookmarkEnd w:id="196"/>
      <w:bookmarkEnd w:id="197"/>
    </w:p>
    <w:p w14:paraId="601A814B" w14:textId="5C9AD57E" w:rsidR="002D5216" w:rsidRPr="00D326F8" w:rsidRDefault="003E23E4" w:rsidP="00473026">
      <w:pPr>
        <w:pStyle w:val="List1withbullet"/>
        <w:ind w:left="357" w:hanging="357"/>
      </w:pPr>
      <w:r w:rsidRPr="00D326F8">
        <w:t xml:space="preserve">The definitions of an AE </w:t>
      </w:r>
      <w:r w:rsidR="00251EE4" w:rsidRPr="00D326F8">
        <w:t>and</w:t>
      </w:r>
      <w:r w:rsidRPr="00D326F8">
        <w:t xml:space="preserve"> a </w:t>
      </w:r>
      <w:r w:rsidR="00BB133B" w:rsidRPr="00D326F8">
        <w:t xml:space="preserve">SAE </w:t>
      </w:r>
      <w:r w:rsidR="00251EE4" w:rsidRPr="00D326F8">
        <w:t xml:space="preserve">are </w:t>
      </w:r>
      <w:r w:rsidR="00BB133B" w:rsidRPr="00D326F8">
        <w:t>in</w:t>
      </w:r>
      <w:r w:rsidR="003A5C57" w:rsidRPr="00D326F8">
        <w:t xml:space="preserve"> </w:t>
      </w:r>
      <w:hyperlink w:anchor="_Appendix_4_Adverse" w:history="1">
        <w:r w:rsidR="003A5C57" w:rsidRPr="00D326F8">
          <w:rPr>
            <w:rStyle w:val="Hyperlink"/>
            <w:color w:val="auto"/>
          </w:rPr>
          <w:t>Appendix 4</w:t>
        </w:r>
      </w:hyperlink>
      <w:r w:rsidR="00FE53E4" w:rsidRPr="00D326F8">
        <w:t>.</w:t>
      </w:r>
    </w:p>
    <w:p w14:paraId="601A814C" w14:textId="1B620328" w:rsidR="00FE53E4" w:rsidRPr="00D326F8" w:rsidRDefault="003E23E4" w:rsidP="00473026">
      <w:pPr>
        <w:pStyle w:val="List1withbullet"/>
        <w:ind w:left="357" w:hanging="357"/>
      </w:pPr>
      <w:bookmarkStart w:id="198" w:name="_Toc477961631"/>
      <w:r w:rsidRPr="00D326F8">
        <w:t xml:space="preserve">The Investigator and any qualified designees (e.g., </w:t>
      </w:r>
      <w:r w:rsidR="002B0E20" w:rsidRPr="00D326F8">
        <w:t>S</w:t>
      </w:r>
      <w:r w:rsidRPr="00D326F8">
        <w:t>ub-</w:t>
      </w:r>
      <w:r w:rsidR="002B0E20" w:rsidRPr="00D326F8">
        <w:t>I</w:t>
      </w:r>
      <w:r w:rsidRPr="00D326F8">
        <w:t>nvestigators) are responsible for detecting, documenting, and recording events that meet the definition of an AE or SAE. The Investigator remains responsible for following up AEs that are serious</w:t>
      </w:r>
      <w:r w:rsidR="000128AF" w:rsidRPr="00D326F8">
        <w:t xml:space="preserve">, considered </w:t>
      </w:r>
      <w:r w:rsidR="00D74AE7" w:rsidRPr="00D326F8">
        <w:t xml:space="preserve">related </w:t>
      </w:r>
      <w:r w:rsidR="006F3AB4" w:rsidRPr="00D326F8">
        <w:t>to the study intervention</w:t>
      </w:r>
      <w:r w:rsidR="00862F8B" w:rsidRPr="00D326F8">
        <w:t xml:space="preserve"> or study procedures</w:t>
      </w:r>
      <w:r w:rsidR="00143E94" w:rsidRPr="00D326F8">
        <w:t>,</w:t>
      </w:r>
      <w:r w:rsidRPr="00D326F8">
        <w:t xml:space="preserve"> or that caused the participant to discontinue the </w:t>
      </w:r>
      <w:r w:rsidRPr="00D326F8">
        <w:rPr>
          <w:rStyle w:val="CPTVariable"/>
          <w:color w:val="auto"/>
        </w:rPr>
        <w:t xml:space="preserve">study intervention or study, as specified in </w:t>
      </w:r>
      <w:r w:rsidRPr="00D326F8">
        <w:t xml:space="preserve">Section </w:t>
      </w:r>
      <w:bookmarkEnd w:id="198"/>
      <w:r w:rsidR="00EA65C6" w:rsidRPr="00D326F8">
        <w:fldChar w:fldCharType="begin"/>
      </w:r>
      <w:r w:rsidR="00EA65C6" w:rsidRPr="00D326F8">
        <w:instrText xml:space="preserve"> REF _Ref3989825 \r \h </w:instrText>
      </w:r>
      <w:r w:rsidR="00A564EC" w:rsidRPr="00D326F8">
        <w:instrText xml:space="preserve"> \* MERGEFORMAT </w:instrText>
      </w:r>
      <w:r w:rsidR="00EA65C6" w:rsidRPr="00D326F8">
        <w:fldChar w:fldCharType="separate"/>
      </w:r>
      <w:r w:rsidR="00173A27">
        <w:t>8.3.2</w:t>
      </w:r>
      <w:r w:rsidR="00EA65C6" w:rsidRPr="00D326F8">
        <w:fldChar w:fldCharType="end"/>
      </w:r>
      <w:r w:rsidRPr="00D326F8">
        <w:t>.</w:t>
      </w:r>
    </w:p>
    <w:p w14:paraId="601A814D" w14:textId="77777777" w:rsidR="00FE53E4" w:rsidRPr="00D326F8" w:rsidRDefault="003E23E4" w:rsidP="00473026">
      <w:pPr>
        <w:pStyle w:val="List1withbullet"/>
        <w:ind w:left="357" w:hanging="357"/>
      </w:pPr>
      <w:r w:rsidRPr="00D326F8">
        <w:t xml:space="preserve">Requests for follow-up will usually be made via the </w:t>
      </w:r>
      <w:r w:rsidR="00B3582C" w:rsidRPr="00D326F8">
        <w:t>Sponsor or CRO-designated study team member</w:t>
      </w:r>
      <w:r w:rsidRPr="00D326F8">
        <w:t xml:space="preserve">, although in exceptional circumstances the </w:t>
      </w:r>
      <w:r w:rsidR="00383716" w:rsidRPr="00D326F8">
        <w:t>global patient</w:t>
      </w:r>
      <w:r w:rsidRPr="00D326F8">
        <w:t xml:space="preserve"> safety department may contact the Investigator directly to obtain further information or to discuss the event</w:t>
      </w:r>
      <w:r w:rsidR="00104031" w:rsidRPr="00D326F8">
        <w:t>.</w:t>
      </w:r>
    </w:p>
    <w:p w14:paraId="601A814E" w14:textId="1A1FE3D5" w:rsidR="002D5216" w:rsidRPr="00D326F8" w:rsidRDefault="003E23E4" w:rsidP="00473026">
      <w:pPr>
        <w:pStyle w:val="List1withbullet"/>
        <w:ind w:left="357" w:hanging="357"/>
      </w:pPr>
      <w:r w:rsidRPr="00D326F8">
        <w:t>The method of recording, evaluating, and assessing causality of AEs and SAEs and the procedures for completing and transmitting SAE reports are in</w:t>
      </w:r>
      <w:r w:rsidR="00A564EC" w:rsidRPr="00D326F8">
        <w:t xml:space="preserve"> </w:t>
      </w:r>
      <w:hyperlink w:anchor="_Appendix_4_Adverse" w:history="1">
        <w:r w:rsidR="003A5C57" w:rsidRPr="00D326F8">
          <w:rPr>
            <w:rStyle w:val="Hyperlink"/>
            <w:color w:val="auto"/>
          </w:rPr>
          <w:t>Appendix 4</w:t>
        </w:r>
      </w:hyperlink>
      <w:r w:rsidRPr="00D326F8">
        <w:t>.</w:t>
      </w:r>
      <w:bookmarkStart w:id="199" w:name="_Hlk511127434"/>
    </w:p>
    <w:p w14:paraId="601A814F" w14:textId="0925EE4E" w:rsidR="009B27DF" w:rsidRPr="00D326F8" w:rsidRDefault="003E23E4" w:rsidP="00473026">
      <w:pPr>
        <w:pStyle w:val="List1withbullet"/>
        <w:ind w:left="357" w:hanging="357"/>
      </w:pPr>
      <w:r w:rsidRPr="00D326F8">
        <w:t xml:space="preserve">All </w:t>
      </w:r>
      <w:r w:rsidR="00B3582C" w:rsidRPr="00D326F8">
        <w:t xml:space="preserve">AEs and </w:t>
      </w:r>
      <w:r w:rsidRPr="00D326F8">
        <w:t xml:space="preserve">SAEs will be collected from the signing of the ICF until </w:t>
      </w:r>
      <w:r w:rsidR="00A564EC" w:rsidRPr="00D326F8">
        <w:t xml:space="preserve">the Safety Follow-up Visit </w:t>
      </w:r>
      <w:r w:rsidRPr="00D326F8">
        <w:t xml:space="preserve">at the time points specified in the </w:t>
      </w:r>
      <w:r w:rsidR="00CF2490" w:rsidRPr="00D326F8">
        <w:t>Schedule of Assessments</w:t>
      </w:r>
      <w:r w:rsidRPr="00D326F8">
        <w:t xml:space="preserve"> (Section</w:t>
      </w:r>
      <w:r w:rsidR="00C029EB" w:rsidRPr="00D326F8">
        <w:t> </w:t>
      </w:r>
      <w:r w:rsidR="00C029EB" w:rsidRPr="00D326F8">
        <w:fldChar w:fldCharType="begin"/>
      </w:r>
      <w:r w:rsidR="00C029EB" w:rsidRPr="00D326F8">
        <w:instrText xml:space="preserve"> REF _Ref77583760 \r \h </w:instrText>
      </w:r>
      <w:r w:rsidR="008D37C0" w:rsidRPr="00D326F8">
        <w:instrText xml:space="preserve"> \* MERGEFORMAT </w:instrText>
      </w:r>
      <w:r w:rsidR="00C029EB" w:rsidRPr="00D326F8">
        <w:fldChar w:fldCharType="separate"/>
      </w:r>
      <w:r w:rsidR="00173A27">
        <w:t>1.3</w:t>
      </w:r>
      <w:r w:rsidR="00C029EB" w:rsidRPr="00D326F8">
        <w:fldChar w:fldCharType="end"/>
      </w:r>
      <w:r w:rsidRPr="00D326F8">
        <w:t>). Beyond this reporting period, any new unsolicited SAEs that the Investigator spontaneously reports to the Sponsor will be collected and processed.</w:t>
      </w:r>
    </w:p>
    <w:p w14:paraId="601A8150" w14:textId="0F33E13C" w:rsidR="009B27DF" w:rsidRPr="00D326F8" w:rsidRDefault="003E23E4" w:rsidP="00473026">
      <w:pPr>
        <w:pStyle w:val="List1withbullet"/>
        <w:ind w:left="357" w:hanging="357"/>
      </w:pPr>
      <w:r w:rsidRPr="00D326F8">
        <w:t xml:space="preserve">All SAEs will be recorded and reported to the Sponsor or designee immediately and under no circumstance will this exceed 24 hours, as indicated in </w:t>
      </w:r>
      <w:hyperlink w:anchor="_Appendix_4_Adverse" w:history="1">
        <w:r w:rsidR="003A5C57" w:rsidRPr="00D326F8">
          <w:rPr>
            <w:rStyle w:val="Hyperlink"/>
            <w:color w:val="auto"/>
          </w:rPr>
          <w:t>Appendix 4</w:t>
        </w:r>
      </w:hyperlink>
      <w:r w:rsidRPr="00D326F8">
        <w:t>. The Investigator will submit any updated SAE data to the Sponsor within 24 hours of it being available using the same procedure that was used for the initial report.</w:t>
      </w:r>
    </w:p>
    <w:p w14:paraId="601A8151" w14:textId="3802AB00" w:rsidR="009B27DF" w:rsidRPr="00D326F8" w:rsidRDefault="003E23E4" w:rsidP="00473026">
      <w:pPr>
        <w:pStyle w:val="List1withbullet"/>
        <w:ind w:left="357" w:hanging="357"/>
      </w:pPr>
      <w:r w:rsidRPr="00D326F8">
        <w:t xml:space="preserve">Investigators are not obligated to actively </w:t>
      </w:r>
      <w:r w:rsidR="00222005" w:rsidRPr="00D326F8">
        <w:t xml:space="preserve">solicit </w:t>
      </w:r>
      <w:r w:rsidR="008E36E3" w:rsidRPr="00D326F8">
        <w:t xml:space="preserve">information </w:t>
      </w:r>
      <w:r w:rsidR="00C46782" w:rsidRPr="00D326F8">
        <w:t xml:space="preserve">on </w:t>
      </w:r>
      <w:r w:rsidR="00222005" w:rsidRPr="00D326F8">
        <w:t>AEs or SAEs</w:t>
      </w:r>
      <w:r w:rsidRPr="00D326F8">
        <w:t xml:space="preserve"> after the end of study participation. However, if the </w:t>
      </w:r>
      <w:r w:rsidR="00A2564D" w:rsidRPr="00D326F8">
        <w:t>I</w:t>
      </w:r>
      <w:r w:rsidRPr="00D326F8">
        <w:t xml:space="preserve">nvestigator learns of any SAE, including a death, at any time after a participant has been discharged from the study, and he/she considers the event to be reasonably related to the study intervention or study participation, the Investigator </w:t>
      </w:r>
      <w:r w:rsidR="00DE57D7" w:rsidRPr="00D326F8">
        <w:t>will</w:t>
      </w:r>
      <w:r w:rsidRPr="00D326F8">
        <w:t xml:space="preserve"> promptly notify the Sponsor.</w:t>
      </w:r>
    </w:p>
    <w:p w14:paraId="601A8152" w14:textId="77777777" w:rsidR="002D5216" w:rsidRPr="00D326F8" w:rsidRDefault="003E23E4" w:rsidP="00473026">
      <w:pPr>
        <w:pStyle w:val="Heading3"/>
      </w:pPr>
      <w:bookmarkStart w:id="200" w:name="_Ref3989866"/>
      <w:bookmarkStart w:id="201" w:name="_Toc77839769"/>
      <w:r w:rsidRPr="00D326F8">
        <w:lastRenderedPageBreak/>
        <w:t>Method of Detecting Adverse Events and Serious Adverse Events</w:t>
      </w:r>
      <w:bookmarkEnd w:id="200"/>
      <w:bookmarkEnd w:id="201"/>
    </w:p>
    <w:p w14:paraId="601A8153" w14:textId="77777777" w:rsidR="00640FF3" w:rsidRPr="00D326F8" w:rsidRDefault="003E23E4" w:rsidP="00473026">
      <w:pPr>
        <w:pStyle w:val="List1withbullet"/>
        <w:keepNext/>
        <w:keepLines/>
        <w:ind w:left="357" w:hanging="357"/>
      </w:pPr>
      <w:r w:rsidRPr="00D326F8">
        <w:rPr>
          <w:rStyle w:val="BodyTextChar"/>
        </w:rPr>
        <w:t>At each study visit, the participant will be queried on changes in his or her condition</w:t>
      </w:r>
      <w:r w:rsidRPr="00D326F8">
        <w:t xml:space="preserve">. </w:t>
      </w:r>
    </w:p>
    <w:p w14:paraId="601A8154" w14:textId="77777777" w:rsidR="00640FF3" w:rsidRPr="00D326F8" w:rsidRDefault="003E23E4" w:rsidP="00473026">
      <w:pPr>
        <w:pStyle w:val="List1withbullet"/>
        <w:keepNext/>
        <w:keepLines/>
        <w:ind w:left="357" w:hanging="357"/>
      </w:pPr>
      <w:r w:rsidRPr="00D326F8">
        <w:t>Care will be taken not to introduce bias when detecting AEs and/or SAEs. Open-ended and non-leading verbal questioning of the participant is the preferred method to inquire about AE occurrences.</w:t>
      </w:r>
    </w:p>
    <w:p w14:paraId="601A8155" w14:textId="5454656E" w:rsidR="002D5216" w:rsidRPr="00D326F8" w:rsidRDefault="003E23E4" w:rsidP="00473026">
      <w:pPr>
        <w:pStyle w:val="List1withbullet"/>
        <w:ind w:left="357" w:hanging="357"/>
      </w:pPr>
      <w:r w:rsidRPr="00D326F8">
        <w:t>The method of recording, evaluating, and assessing causality of AE</w:t>
      </w:r>
      <w:r w:rsidR="00C937CE" w:rsidRPr="00D326F8">
        <w:t>s</w:t>
      </w:r>
      <w:r w:rsidRPr="00D326F8">
        <w:t xml:space="preserve"> and SAE</w:t>
      </w:r>
      <w:r w:rsidR="00C937CE" w:rsidRPr="00D326F8">
        <w:t>s</w:t>
      </w:r>
      <w:r w:rsidRPr="00D326F8">
        <w:t xml:space="preserve"> and the procedures for completing and transmitting SAE reports are in </w:t>
      </w:r>
      <w:hyperlink w:anchor="_Appendix_4_Adverse" w:history="1">
        <w:r w:rsidR="003A5C57" w:rsidRPr="00D326F8">
          <w:rPr>
            <w:rStyle w:val="Hyperlink"/>
            <w:color w:val="auto"/>
          </w:rPr>
          <w:t>Appendix 4</w:t>
        </w:r>
      </w:hyperlink>
      <w:r w:rsidRPr="00D326F8">
        <w:t>.</w:t>
      </w:r>
    </w:p>
    <w:p w14:paraId="601A8156" w14:textId="77777777" w:rsidR="00640FF3" w:rsidRPr="00D326F8" w:rsidRDefault="003E23E4" w:rsidP="00A564EC">
      <w:pPr>
        <w:pStyle w:val="Heading3"/>
      </w:pPr>
      <w:bookmarkStart w:id="202" w:name="_Ref3989825"/>
      <w:bookmarkStart w:id="203" w:name="_Toc77839770"/>
      <w:r w:rsidRPr="00D326F8">
        <w:t>Follow-up of Adverse Events and Serious Adverse Events</w:t>
      </w:r>
      <w:bookmarkEnd w:id="202"/>
      <w:bookmarkEnd w:id="203"/>
    </w:p>
    <w:p w14:paraId="601A8157" w14:textId="4AF29CD9" w:rsidR="00640FF3" w:rsidRPr="00D326F8" w:rsidRDefault="003E23E4" w:rsidP="00473026">
      <w:pPr>
        <w:pStyle w:val="List1withbullet"/>
        <w:ind w:left="357" w:hanging="357"/>
      </w:pPr>
      <w:r w:rsidRPr="00D326F8">
        <w:t xml:space="preserve">After the initial AE/SAE report, the </w:t>
      </w:r>
      <w:r w:rsidR="008C7E09" w:rsidRPr="00D326F8">
        <w:t>I</w:t>
      </w:r>
      <w:r w:rsidRPr="00D326F8">
        <w:t>nvestigator is required to proactively follow each participant at subsequent visits/contacts. All SAEs</w:t>
      </w:r>
      <w:r w:rsidR="00971FA3" w:rsidRPr="00D326F8">
        <w:t xml:space="preserve"> and AESIs (as defined in Section </w:t>
      </w:r>
      <w:r w:rsidR="00971FA3" w:rsidRPr="00D326F8">
        <w:fldChar w:fldCharType="begin"/>
      </w:r>
      <w:r w:rsidR="00971FA3" w:rsidRPr="00D326F8">
        <w:instrText xml:space="preserve"> REF _Ref76719533 \r \h  \* MERGEFORMAT </w:instrText>
      </w:r>
      <w:r w:rsidR="00971FA3" w:rsidRPr="00D326F8">
        <w:fldChar w:fldCharType="separate"/>
      </w:r>
      <w:r w:rsidR="00173A27">
        <w:t>8.3.7</w:t>
      </w:r>
      <w:r w:rsidR="00971FA3" w:rsidRPr="00D326F8">
        <w:fldChar w:fldCharType="end"/>
      </w:r>
      <w:r w:rsidR="00742A1A" w:rsidRPr="00D326F8">
        <w:t xml:space="preserve"> </w:t>
      </w:r>
      <w:r w:rsidRPr="00D326F8">
        <w:t xml:space="preserve">will be followed until resolution, stabilization, the event is otherwise explained, or the participant is lost to follow-up (as defined in Section </w:t>
      </w:r>
      <w:r w:rsidR="00845DFF" w:rsidRPr="00D326F8">
        <w:fldChar w:fldCharType="begin"/>
      </w:r>
      <w:r w:rsidR="00845DFF" w:rsidRPr="00D326F8">
        <w:instrText xml:space="preserve"> REF _Ref31961575 \r \h </w:instrText>
      </w:r>
      <w:r w:rsidR="00A564EC" w:rsidRPr="00D326F8">
        <w:instrText xml:space="preserve"> \* MERGEFORMAT </w:instrText>
      </w:r>
      <w:r w:rsidR="00845DFF" w:rsidRPr="00D326F8">
        <w:fldChar w:fldCharType="separate"/>
      </w:r>
      <w:r w:rsidR="00173A27">
        <w:t>7.3</w:t>
      </w:r>
      <w:r w:rsidR="00845DFF" w:rsidRPr="00D326F8">
        <w:fldChar w:fldCharType="end"/>
      </w:r>
      <w:r w:rsidRPr="00D326F8">
        <w:t xml:space="preserve">). Reasonable attempts to obtain this information </w:t>
      </w:r>
      <w:r w:rsidR="00DE57D7" w:rsidRPr="00D326F8">
        <w:t>will</w:t>
      </w:r>
      <w:r w:rsidRPr="00D326F8">
        <w:t xml:space="preserve"> be made and documented. It is also the Investigator’s responsibility to ensure that any necessary additional therapeutic measures and follow-up procedures are performed. Further information on follow-up procedures is in </w:t>
      </w:r>
      <w:hyperlink w:anchor="_Appendix_4_Adverse" w:history="1">
        <w:r w:rsidR="003A5C57" w:rsidRPr="00D326F8">
          <w:rPr>
            <w:rStyle w:val="Hyperlink"/>
            <w:color w:val="auto"/>
          </w:rPr>
          <w:t>Appendix 4</w:t>
        </w:r>
      </w:hyperlink>
      <w:r w:rsidRPr="00D326F8">
        <w:t>.</w:t>
      </w:r>
    </w:p>
    <w:p w14:paraId="601A8158" w14:textId="77777777" w:rsidR="002D5216" w:rsidRPr="00D326F8" w:rsidRDefault="003E23E4" w:rsidP="00EA6244">
      <w:pPr>
        <w:pStyle w:val="Heading3"/>
      </w:pPr>
      <w:bookmarkStart w:id="204" w:name="_Ref26876011"/>
      <w:bookmarkStart w:id="205" w:name="_Toc77839771"/>
      <w:bookmarkEnd w:id="199"/>
      <w:r w:rsidRPr="00D326F8">
        <w:t>Regulatory Reporting Requirements for Serious Adverse Events</w:t>
      </w:r>
      <w:bookmarkEnd w:id="204"/>
      <w:bookmarkEnd w:id="205"/>
    </w:p>
    <w:p w14:paraId="601A8159" w14:textId="77777777" w:rsidR="00130844" w:rsidRPr="00D326F8" w:rsidRDefault="003E23E4" w:rsidP="00473026">
      <w:pPr>
        <w:pStyle w:val="List1withbullet"/>
        <w:ind w:left="357" w:hanging="357"/>
        <w:rPr>
          <w:b/>
        </w:rPr>
      </w:pPr>
      <w:r w:rsidRPr="00D326F8">
        <w:t>Prompt notification by the Investigator to the Sponsor of an SAE (particularly life-threatening and deaths) is essential so that legal obligations and ethical responsibilities towards the safety of participants and the safety of a study intervention under clinical investigation are met.</w:t>
      </w:r>
    </w:p>
    <w:p w14:paraId="601A815A" w14:textId="77777777" w:rsidR="00130844" w:rsidRPr="00D326F8" w:rsidRDefault="003E23E4" w:rsidP="00473026">
      <w:pPr>
        <w:pStyle w:val="List1withbullet"/>
        <w:ind w:left="357" w:hanging="357"/>
        <w:rPr>
          <w:b/>
        </w:rPr>
      </w:pPr>
      <w:r w:rsidRPr="00D326F8">
        <w:t xml:space="preserve">The Sponsor has a legal responsibility to notify both the local regulatory authority and other regulatory agencies about the safety of a study intervention under clinical investigation. The Sponsor will comply with country-specific regulatory requirements relating to safety reporting to the regulatory authority, IRB/IEC, and </w:t>
      </w:r>
      <w:r w:rsidR="008C7E09" w:rsidRPr="00D326F8">
        <w:t>I</w:t>
      </w:r>
      <w:r w:rsidRPr="00D326F8">
        <w:t>nvestigators.</w:t>
      </w:r>
    </w:p>
    <w:p w14:paraId="601A815B" w14:textId="77777777" w:rsidR="00130844" w:rsidRPr="00D326F8" w:rsidRDefault="003E23E4" w:rsidP="00473026">
      <w:pPr>
        <w:pStyle w:val="List1withbullet"/>
        <w:ind w:left="357" w:hanging="357"/>
      </w:pPr>
      <w:r w:rsidRPr="00D326F8">
        <w:t>Individual Case Safety Reports</w:t>
      </w:r>
      <w:r w:rsidR="00A55EAE" w:rsidRPr="00D326F8">
        <w:t xml:space="preserve"> </w:t>
      </w:r>
      <w:r w:rsidR="00DE57D7" w:rsidRPr="00D326F8">
        <w:t>will</w:t>
      </w:r>
      <w:r w:rsidR="00A55EAE" w:rsidRPr="00D326F8">
        <w:t xml:space="preserve"> be prepared for SUSAR</w:t>
      </w:r>
      <w:r w:rsidR="003416B3" w:rsidRPr="00D326F8">
        <w:t>s</w:t>
      </w:r>
      <w:r w:rsidR="00A55EAE" w:rsidRPr="00D326F8">
        <w:t xml:space="preserve"> according to local regulatory requirements and </w:t>
      </w:r>
      <w:r w:rsidR="00BC1E8B" w:rsidRPr="00D326F8">
        <w:t>S</w:t>
      </w:r>
      <w:r w:rsidR="00A55EAE" w:rsidRPr="00D326F8">
        <w:t xml:space="preserve">ponsor policy and forwarded to </w:t>
      </w:r>
      <w:r w:rsidR="008C7E09" w:rsidRPr="00D326F8">
        <w:t>I</w:t>
      </w:r>
      <w:r w:rsidR="00A55EAE" w:rsidRPr="00D326F8">
        <w:t>nvestigators, as necessary.</w:t>
      </w:r>
    </w:p>
    <w:p w14:paraId="601A815C" w14:textId="77777777" w:rsidR="00130844" w:rsidRPr="00D326F8" w:rsidRDefault="003E23E4" w:rsidP="00473026">
      <w:pPr>
        <w:pStyle w:val="List1withbullet"/>
        <w:ind w:left="357" w:hanging="357"/>
      </w:pPr>
      <w:r w:rsidRPr="00D326F8">
        <w:t xml:space="preserve">An </w:t>
      </w:r>
      <w:r w:rsidR="008C7E09" w:rsidRPr="00D326F8">
        <w:t>I</w:t>
      </w:r>
      <w:r w:rsidRPr="00D326F8">
        <w:t>nvestigator who receives an Individual Case Safety Report describing a SUSAR or other specific safety information (e.g., Emerging Safety Issue Report, summary or listing of SAEs/SUSARs) from the Sponsor will review and file it in the Investigator’s Site File and will notify the IRB/IEC, if appropriate according to local requirements.</w:t>
      </w:r>
    </w:p>
    <w:p w14:paraId="601A815D" w14:textId="77777777" w:rsidR="002D5216" w:rsidRPr="00D326F8" w:rsidRDefault="003E23E4" w:rsidP="00EA6244">
      <w:pPr>
        <w:pStyle w:val="Heading3"/>
      </w:pPr>
      <w:bookmarkStart w:id="206" w:name="_Ref74914916"/>
      <w:bookmarkStart w:id="207" w:name="_Toc77839772"/>
      <w:r w:rsidRPr="00D326F8">
        <w:t>Pregnancy</w:t>
      </w:r>
      <w:bookmarkEnd w:id="206"/>
      <w:bookmarkEnd w:id="207"/>
    </w:p>
    <w:p w14:paraId="601A815E" w14:textId="77777777" w:rsidR="00E22783" w:rsidRPr="00D326F8" w:rsidRDefault="003E23E4" w:rsidP="00473026">
      <w:pPr>
        <w:pStyle w:val="List1withbullet"/>
        <w:ind w:left="357" w:hanging="357"/>
      </w:pPr>
      <w:r w:rsidRPr="00D326F8">
        <w:t xml:space="preserve">Details of all pregnancies in female partners of male participants will be collected after the start of study intervention and until </w:t>
      </w:r>
      <w:r w:rsidR="000A67FC" w:rsidRPr="00D326F8">
        <w:t>at least 3</w:t>
      </w:r>
      <w:r w:rsidR="00F515CB" w:rsidRPr="00D326F8">
        <w:t> </w:t>
      </w:r>
      <w:r w:rsidR="000A67FC" w:rsidRPr="00D326F8">
        <w:t>months after the last dose of study intervention</w:t>
      </w:r>
      <w:r w:rsidRPr="00D326F8">
        <w:t>.</w:t>
      </w:r>
    </w:p>
    <w:p w14:paraId="601A815F" w14:textId="77777777" w:rsidR="009D77E9" w:rsidRPr="00D326F8" w:rsidRDefault="003E23E4" w:rsidP="005F27BC">
      <w:pPr>
        <w:pStyle w:val="List1withbullet"/>
        <w:keepNext/>
        <w:keepLines/>
        <w:ind w:left="357" w:hanging="357"/>
      </w:pPr>
      <w:r w:rsidRPr="00D326F8">
        <w:lastRenderedPageBreak/>
        <w:t>If a pregnancy is reported, the Investigator will record the pregnancy information on the appropriate form and submit it to the Sponsor within 24</w:t>
      </w:r>
      <w:r w:rsidR="0043557D" w:rsidRPr="00D326F8">
        <w:t> </w:t>
      </w:r>
      <w:r w:rsidRPr="00D326F8">
        <w:t>hours of female partner of male participant (after obtaining the necessary signed informed consent from the female partner) pregnancy.</w:t>
      </w:r>
    </w:p>
    <w:p w14:paraId="601A8160" w14:textId="7A2963F9" w:rsidR="00E22783" w:rsidRPr="00D326F8" w:rsidRDefault="003E23E4" w:rsidP="005F27BC">
      <w:pPr>
        <w:pStyle w:val="List1withbullet"/>
        <w:ind w:left="357" w:hanging="357"/>
      </w:pPr>
      <w:bookmarkStart w:id="208" w:name="_Hlk56439580"/>
      <w:r w:rsidRPr="00D326F8">
        <w:t>While pregnancy itself is not considered to be an AE or SAE, any pregnancy complication or elective termination of a pregnancy will be reported as an AE or SAE.</w:t>
      </w:r>
      <w:r w:rsidR="00F32249" w:rsidRPr="00D326F8">
        <w:t xml:space="preserve"> </w:t>
      </w:r>
      <w:bookmarkEnd w:id="208"/>
      <w:r w:rsidR="004F5507" w:rsidRPr="00D326F8">
        <w:t>Adverse</w:t>
      </w:r>
      <w:r w:rsidR="00A55EAE" w:rsidRPr="00D326F8">
        <w:t xml:space="preserve"> pregnancy outcomes (e.g., spontaneous abortion, fetal death, stillbirth, congenital anomalies, ectopic pregnancy) are considered </w:t>
      </w:r>
      <w:r w:rsidR="00967BCC" w:rsidRPr="00D326F8">
        <w:t xml:space="preserve">and reported as </w:t>
      </w:r>
      <w:r w:rsidR="00A55EAE" w:rsidRPr="00D326F8">
        <w:t>SAEs.</w:t>
      </w:r>
      <w:r w:rsidR="004F5507" w:rsidRPr="00D326F8">
        <w:t xml:space="preserve"> A</w:t>
      </w:r>
      <w:r w:rsidR="0043557D" w:rsidRPr="00D326F8">
        <w:t> </w:t>
      </w:r>
      <w:r w:rsidR="004F5507" w:rsidRPr="00D326F8">
        <w:t>spontaneous abortion (occurring at &lt;</w:t>
      </w:r>
      <w:r w:rsidR="0043557D" w:rsidRPr="00D326F8">
        <w:t> </w:t>
      </w:r>
      <w:r w:rsidR="004F5507" w:rsidRPr="00D326F8">
        <w:t>22</w:t>
      </w:r>
      <w:r w:rsidR="004421FE" w:rsidRPr="00D326F8">
        <w:t> </w:t>
      </w:r>
      <w:r w:rsidR="004F5507" w:rsidRPr="00D326F8">
        <w:t>weeks gestational age) or stillbirth (occurring at &gt;</w:t>
      </w:r>
      <w:r w:rsidR="0043557D" w:rsidRPr="00D326F8">
        <w:t> </w:t>
      </w:r>
      <w:r w:rsidR="004F5507" w:rsidRPr="00D326F8">
        <w:t>22</w:t>
      </w:r>
      <w:r w:rsidR="004421FE" w:rsidRPr="00D326F8">
        <w:t> </w:t>
      </w:r>
      <w:r w:rsidR="004F5507" w:rsidRPr="00D326F8">
        <w:t>weeks gestational age) is always considered to be an SAE and will be reported as such.</w:t>
      </w:r>
    </w:p>
    <w:p w14:paraId="601A8161" w14:textId="77777777" w:rsidR="009D77E9" w:rsidRPr="00D326F8" w:rsidRDefault="003E23E4" w:rsidP="005F27BC">
      <w:pPr>
        <w:pStyle w:val="List1withbullet"/>
        <w:ind w:left="357" w:hanging="357"/>
      </w:pPr>
      <w:r w:rsidRPr="00D326F8">
        <w:t>The participant /pregnant female partner will be followed to determine the outcome of the pregnancy. The Investigator will collect follow-up information on the participant /pregnant female partner and the neonate, and the information will be forwarded to the Sponsor. Generally, follow-up will not be required for longer than 6 to 8</w:t>
      </w:r>
      <w:r w:rsidR="0043557D" w:rsidRPr="00D326F8">
        <w:t> </w:t>
      </w:r>
      <w:r w:rsidRPr="00D326F8">
        <w:t>weeks beyond the estimated delivery date for a healthy newborn. In case of a congenital anomaly or other illness of the newborn, follow-up will continue until the illness has resolved or there is a definite outcome of the event.</w:t>
      </w:r>
    </w:p>
    <w:p w14:paraId="601A8162" w14:textId="12AB1E3A" w:rsidR="008F497E" w:rsidRPr="00D326F8" w:rsidRDefault="003E23E4" w:rsidP="005F27BC">
      <w:pPr>
        <w:pStyle w:val="List1withbullet"/>
        <w:ind w:left="357" w:hanging="357"/>
      </w:pPr>
      <w:r w:rsidRPr="00D326F8">
        <w:t>Any poststudy pregnancy related SAE considered reasonably related to the study intervention by the Investigator will be reported to the Sponsor as specified in Section</w:t>
      </w:r>
      <w:r w:rsidR="0043557D" w:rsidRPr="00D326F8">
        <w:t> </w:t>
      </w:r>
      <w:r w:rsidRPr="00D326F8">
        <w:fldChar w:fldCharType="begin"/>
      </w:r>
      <w:r w:rsidRPr="00D326F8">
        <w:instrText xml:space="preserve"> REF _Ref26876011 \r \h  \* MERGEFORMAT </w:instrText>
      </w:r>
      <w:r w:rsidRPr="00D326F8">
        <w:fldChar w:fldCharType="separate"/>
      </w:r>
      <w:r w:rsidR="00173A27">
        <w:t>8.3.3</w:t>
      </w:r>
      <w:r w:rsidRPr="00D326F8">
        <w:fldChar w:fldCharType="end"/>
      </w:r>
      <w:r w:rsidRPr="00D326F8">
        <w:t>. While the Investigator is not obligated to actively seek this information in former study participants</w:t>
      </w:r>
      <w:r w:rsidR="00E03E87" w:rsidRPr="00D326F8">
        <w:t>/pregnant female partner</w:t>
      </w:r>
      <w:r w:rsidRPr="00D326F8">
        <w:t>, he or she may learn of an SAE through spontaneous reporting.</w:t>
      </w:r>
      <w:r w:rsidR="00A9050D" w:rsidRPr="00D326F8">
        <w:t xml:space="preserve"> </w:t>
      </w:r>
    </w:p>
    <w:p w14:paraId="601A8166" w14:textId="4883997E" w:rsidR="00F515CB" w:rsidRPr="00D326F8" w:rsidRDefault="003E23E4" w:rsidP="005F27BC">
      <w:pPr>
        <w:pStyle w:val="List1withbullet"/>
        <w:ind w:left="357" w:hanging="357"/>
      </w:pPr>
      <w:r w:rsidRPr="00D326F8">
        <w:t>Any female participant who becomes pregnant while participating in the study will discontinue study intervention or be withdrawn from the study.</w:t>
      </w:r>
      <w:r w:rsidR="005F27BC" w:rsidRPr="00D326F8">
        <w:t xml:space="preserve"> </w:t>
      </w:r>
    </w:p>
    <w:p w14:paraId="601A8167" w14:textId="77777777" w:rsidR="00D06C51" w:rsidRPr="00D326F8" w:rsidRDefault="003E23E4" w:rsidP="00973DA0">
      <w:pPr>
        <w:pStyle w:val="Heading3"/>
      </w:pPr>
      <w:bookmarkStart w:id="209" w:name="_Toc63944450"/>
      <w:bookmarkStart w:id="210" w:name="_Toc63944451"/>
      <w:bookmarkStart w:id="211" w:name="_Toc63944452"/>
      <w:bookmarkStart w:id="212" w:name="_Toc63944453"/>
      <w:bookmarkStart w:id="213" w:name="_Toc63944454"/>
      <w:bookmarkStart w:id="214" w:name="_Toc63944455"/>
      <w:bookmarkStart w:id="215" w:name="_Toc63944456"/>
      <w:bookmarkStart w:id="216" w:name="_Toc63944457"/>
      <w:bookmarkStart w:id="217" w:name="_Toc63944458"/>
      <w:bookmarkStart w:id="218" w:name="_Toc63944459"/>
      <w:bookmarkStart w:id="219" w:name="_Toc63944460"/>
      <w:bookmarkStart w:id="220" w:name="_Toc63944461"/>
      <w:bookmarkStart w:id="221" w:name="_Toc63944462"/>
      <w:bookmarkStart w:id="222" w:name="_Toc63944463"/>
      <w:bookmarkStart w:id="223" w:name="_Toc63944464"/>
      <w:bookmarkStart w:id="224" w:name="_Toc63944465"/>
      <w:bookmarkStart w:id="225" w:name="_Toc63944466"/>
      <w:bookmarkStart w:id="226" w:name="_Toc63944467"/>
      <w:bookmarkStart w:id="227" w:name="_Toc63944468"/>
      <w:bookmarkStart w:id="228" w:name="_Toc63944469"/>
      <w:bookmarkStart w:id="229" w:name="_Toc63944470"/>
      <w:bookmarkStart w:id="230" w:name="_Toc63944471"/>
      <w:bookmarkStart w:id="231" w:name="_Toc63944472"/>
      <w:bookmarkStart w:id="232" w:name="_Toc877185"/>
      <w:bookmarkStart w:id="233" w:name="_Toc77839773"/>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D326F8">
        <w:t>Cardiovascular and Death Events</w:t>
      </w:r>
      <w:bookmarkEnd w:id="232"/>
      <w:bookmarkEnd w:id="233"/>
    </w:p>
    <w:p w14:paraId="601A8168" w14:textId="77777777" w:rsidR="000273EB" w:rsidRPr="00D326F8" w:rsidRDefault="003E23E4" w:rsidP="000273EB">
      <w:pPr>
        <w:pStyle w:val="BodyText"/>
      </w:pPr>
      <w:r w:rsidRPr="00D326F8">
        <w:t>Not applicable.</w:t>
      </w:r>
    </w:p>
    <w:p w14:paraId="601A8169" w14:textId="77777777" w:rsidR="00D06C51" w:rsidRPr="00D326F8" w:rsidRDefault="003E23E4" w:rsidP="00973DA0">
      <w:pPr>
        <w:pStyle w:val="Heading3"/>
      </w:pPr>
      <w:bookmarkStart w:id="234" w:name="_Toc877186"/>
      <w:bookmarkStart w:id="235" w:name="_Toc77839774"/>
      <w:r w:rsidRPr="00D326F8">
        <w:t>Disease-Related Events and/or Disease-Related Outcomes Not Qualifying as AEs or SAEs</w:t>
      </w:r>
      <w:bookmarkEnd w:id="234"/>
      <w:bookmarkEnd w:id="235"/>
    </w:p>
    <w:p w14:paraId="601A816A" w14:textId="77777777" w:rsidR="00D06C51" w:rsidRPr="00D326F8" w:rsidRDefault="003E23E4" w:rsidP="000273EB">
      <w:pPr>
        <w:pStyle w:val="BodyText"/>
      </w:pPr>
      <w:r w:rsidRPr="00D326F8">
        <w:t>Not applicable.</w:t>
      </w:r>
    </w:p>
    <w:p w14:paraId="601A816B" w14:textId="77777777" w:rsidR="00D06C51" w:rsidRPr="00D326F8" w:rsidRDefault="003E23E4" w:rsidP="00973DA0">
      <w:pPr>
        <w:pStyle w:val="Heading3"/>
      </w:pPr>
      <w:bookmarkStart w:id="236" w:name="_Toc877187"/>
      <w:bookmarkStart w:id="237" w:name="_Ref74916032"/>
      <w:bookmarkStart w:id="238" w:name="_Ref76719533"/>
      <w:bookmarkStart w:id="239" w:name="_Toc77839775"/>
      <w:r w:rsidRPr="00D326F8">
        <w:t>Adverse Events of Special Interest</w:t>
      </w:r>
      <w:bookmarkEnd w:id="236"/>
      <w:bookmarkEnd w:id="237"/>
      <w:bookmarkEnd w:id="238"/>
      <w:bookmarkEnd w:id="239"/>
    </w:p>
    <w:p w14:paraId="601A816C" w14:textId="77777777" w:rsidR="00971FA3" w:rsidRPr="00D326F8" w:rsidRDefault="003E23E4" w:rsidP="00971FA3">
      <w:pPr>
        <w:pStyle w:val="BodyText"/>
        <w:rPr>
          <w:lang w:eastAsia="de-DE"/>
        </w:rPr>
      </w:pPr>
      <w:r w:rsidRPr="00D326F8">
        <w:rPr>
          <w:lang w:eastAsia="de-DE"/>
        </w:rPr>
        <w:t>For this study, AESIs include only the following:</w:t>
      </w:r>
    </w:p>
    <w:p w14:paraId="601A816D" w14:textId="4261BD7F" w:rsidR="00971FA3" w:rsidRPr="00D326F8" w:rsidRDefault="003E23E4" w:rsidP="0057019A">
      <w:pPr>
        <w:pStyle w:val="List1withbullet"/>
        <w:numPr>
          <w:ilvl w:val="0"/>
          <w:numId w:val="23"/>
        </w:numPr>
        <w:rPr>
          <w:lang w:eastAsia="de-DE"/>
        </w:rPr>
      </w:pPr>
      <w:r w:rsidRPr="00D326F8">
        <w:rPr>
          <w:lang w:eastAsia="de-DE"/>
        </w:rPr>
        <w:t xml:space="preserve">AEs </w:t>
      </w:r>
      <w:r w:rsidRPr="00D326F8">
        <w:t>suggestive</w:t>
      </w:r>
      <w:r w:rsidRPr="00D326F8">
        <w:rPr>
          <w:lang w:eastAsia="de-DE"/>
        </w:rPr>
        <w:t xml:space="preserve"> of drug</w:t>
      </w:r>
      <w:r w:rsidR="00394B5F" w:rsidRPr="00D326F8">
        <w:rPr>
          <w:lang w:eastAsia="de-DE"/>
        </w:rPr>
        <w:noBreakHyphen/>
      </w:r>
      <w:r w:rsidRPr="00D326F8">
        <w:rPr>
          <w:lang w:eastAsia="de-DE"/>
        </w:rPr>
        <w:t>induced liver injury including hepatic/liver failure and hepatitis (noninfectious) are considered AESIs.</w:t>
      </w:r>
    </w:p>
    <w:p w14:paraId="601A816E" w14:textId="49B3424E" w:rsidR="00D06C51" w:rsidRPr="00D326F8" w:rsidRDefault="003E23E4" w:rsidP="00971FA3">
      <w:pPr>
        <w:pStyle w:val="BodyText"/>
        <w:rPr>
          <w:lang w:eastAsia="de-DE"/>
        </w:rPr>
      </w:pPr>
      <w:r w:rsidRPr="00D326F8">
        <w:rPr>
          <w:lang w:eastAsia="de-DE"/>
        </w:rPr>
        <w:t>AESIs will be reported to the Sponsor (or delegate) in an expedited manner as described in</w:t>
      </w:r>
      <w:r w:rsidR="005F27BC" w:rsidRPr="00D326F8">
        <w:rPr>
          <w:lang w:eastAsia="de-DE"/>
        </w:rPr>
        <w:t xml:space="preserve"> </w:t>
      </w:r>
      <w:r w:rsidR="005F27BC" w:rsidRPr="00D326F8">
        <w:t xml:space="preserve"> </w:t>
      </w:r>
      <w:hyperlink w:anchor="_Appendix_4_Adverse" w:history="1">
        <w:r w:rsidR="005F27BC" w:rsidRPr="00D326F8">
          <w:rPr>
            <w:rStyle w:val="Hyperlink"/>
            <w:color w:val="auto"/>
          </w:rPr>
          <w:t>Appendix 4</w:t>
        </w:r>
      </w:hyperlink>
      <w:r w:rsidR="00912221" w:rsidRPr="00D326F8">
        <w:rPr>
          <w:lang w:eastAsia="de-DE"/>
        </w:rPr>
        <w:t>.</w:t>
      </w:r>
    </w:p>
    <w:p w14:paraId="601A816F" w14:textId="15C04194" w:rsidR="002D5216" w:rsidRPr="00D326F8" w:rsidRDefault="003E23E4" w:rsidP="005F27BC">
      <w:pPr>
        <w:pStyle w:val="Heading2"/>
        <w:tabs>
          <w:tab w:val="clear" w:pos="4896"/>
          <w:tab w:val="num" w:pos="5040"/>
        </w:tabs>
        <w:ind w:left="1980"/>
      </w:pPr>
      <w:bookmarkStart w:id="240" w:name="_Ref74915119"/>
      <w:bookmarkStart w:id="241" w:name="_Ref74915133"/>
      <w:bookmarkStart w:id="242" w:name="_Toc77839776"/>
      <w:r w:rsidRPr="00D326F8">
        <w:lastRenderedPageBreak/>
        <w:t>Pharmacokinetics</w:t>
      </w:r>
      <w:bookmarkStart w:id="243" w:name="_Hlk517345562"/>
      <w:bookmarkEnd w:id="240"/>
      <w:bookmarkEnd w:id="241"/>
      <w:bookmarkEnd w:id="242"/>
    </w:p>
    <w:p w14:paraId="601A8172" w14:textId="23DC03C1" w:rsidR="005D6927" w:rsidRPr="00D326F8" w:rsidRDefault="003E23E4" w:rsidP="005F27BC">
      <w:pPr>
        <w:keepNext/>
        <w:keepLines/>
        <w:spacing w:before="120" w:after="240"/>
      </w:pPr>
      <w:r w:rsidRPr="00D326F8">
        <w:t xml:space="preserve">For details on PK sampling, </w:t>
      </w:r>
      <w:r w:rsidR="00DD5E2A" w:rsidRPr="00D326F8">
        <w:t>see</w:t>
      </w:r>
      <w:r w:rsidRPr="00D326F8">
        <w:t xml:space="preserve"> the </w:t>
      </w:r>
      <w:r w:rsidR="00CF2490" w:rsidRPr="00D326F8">
        <w:t>Schedule of Assessments</w:t>
      </w:r>
      <w:r w:rsidRPr="00D326F8">
        <w:t xml:space="preserve"> in Section</w:t>
      </w:r>
      <w:r w:rsidR="00394B5F" w:rsidRPr="00D326F8">
        <w:t> </w:t>
      </w:r>
      <w:r w:rsidR="00912221" w:rsidRPr="00D326F8">
        <w:fldChar w:fldCharType="begin"/>
      </w:r>
      <w:r w:rsidR="00912221" w:rsidRPr="00D326F8">
        <w:instrText xml:space="preserve"> REF _Ref77583760 \r \h </w:instrText>
      </w:r>
      <w:r w:rsidR="008D37C0" w:rsidRPr="00D326F8">
        <w:instrText xml:space="preserve"> \* MERGEFORMAT </w:instrText>
      </w:r>
      <w:r w:rsidR="00912221" w:rsidRPr="00D326F8">
        <w:fldChar w:fldCharType="separate"/>
      </w:r>
      <w:r w:rsidR="00173A27">
        <w:t>1.3</w:t>
      </w:r>
      <w:r w:rsidR="00912221" w:rsidRPr="00D326F8">
        <w:fldChar w:fldCharType="end"/>
      </w:r>
      <w:r w:rsidR="00165AE5" w:rsidRPr="00D326F8">
        <w:t xml:space="preserve">, and </w:t>
      </w:r>
      <w:r w:rsidR="00912221" w:rsidRPr="00D326F8">
        <w:fldChar w:fldCharType="begin"/>
      </w:r>
      <w:r w:rsidR="00912221" w:rsidRPr="00D326F8">
        <w:instrText xml:space="preserve"> REF _Ref77583792 \h </w:instrText>
      </w:r>
      <w:r w:rsidR="008D37C0" w:rsidRPr="00D326F8">
        <w:instrText xml:space="preserve"> \* MERGEFORMAT </w:instrText>
      </w:r>
      <w:r w:rsidR="00912221" w:rsidRPr="00D326F8">
        <w:fldChar w:fldCharType="separate"/>
      </w:r>
      <w:r w:rsidR="00173A27" w:rsidRPr="00D326F8">
        <w:t xml:space="preserve">Table </w:t>
      </w:r>
      <w:r w:rsidR="00173A27">
        <w:rPr>
          <w:noProof/>
        </w:rPr>
        <w:t>1</w:t>
      </w:r>
      <w:r w:rsidR="00912221" w:rsidRPr="00D326F8">
        <w:fldChar w:fldCharType="end"/>
      </w:r>
      <w:r w:rsidR="00912221" w:rsidRPr="00D326F8">
        <w:t xml:space="preserve"> and </w:t>
      </w:r>
      <w:r w:rsidR="00912221" w:rsidRPr="00D326F8">
        <w:fldChar w:fldCharType="begin"/>
      </w:r>
      <w:r w:rsidR="00912221" w:rsidRPr="00D326F8">
        <w:instrText xml:space="preserve"> REF _Ref77583803 \h </w:instrText>
      </w:r>
      <w:r w:rsidR="008D37C0" w:rsidRPr="00D326F8">
        <w:instrText xml:space="preserve"> \* MERGEFORMAT </w:instrText>
      </w:r>
      <w:r w:rsidR="00912221" w:rsidRPr="00D326F8">
        <w:fldChar w:fldCharType="separate"/>
      </w:r>
      <w:r w:rsidR="00173A27" w:rsidRPr="00D326F8">
        <w:t xml:space="preserve">Table </w:t>
      </w:r>
      <w:r w:rsidR="00173A27">
        <w:rPr>
          <w:noProof/>
        </w:rPr>
        <w:t>2</w:t>
      </w:r>
      <w:r w:rsidR="00912221" w:rsidRPr="00D326F8">
        <w:fldChar w:fldCharType="end"/>
      </w:r>
      <w:r w:rsidR="00912221" w:rsidRPr="00D326F8">
        <w:t>.</w:t>
      </w:r>
      <w:r w:rsidRPr="00D326F8">
        <w:t xml:space="preserve"> </w:t>
      </w:r>
    </w:p>
    <w:p w14:paraId="601A8173" w14:textId="77777777" w:rsidR="00136A6E" w:rsidRPr="00D326F8" w:rsidRDefault="003E23E4" w:rsidP="0072078C">
      <w:pPr>
        <w:spacing w:before="120" w:after="240"/>
      </w:pPr>
      <w:r w:rsidRPr="00D326F8">
        <w:t xml:space="preserve">The following </w:t>
      </w:r>
      <w:bookmarkStart w:id="244" w:name="_Hlk511037203"/>
      <w:r w:rsidRPr="00D326F8">
        <w:t>PK parameters</w:t>
      </w:r>
      <w:bookmarkEnd w:id="244"/>
      <w:r w:rsidRPr="00D326F8">
        <w:t xml:space="preserve"> will be calculated</w:t>
      </w:r>
      <w:r w:rsidR="005B5B45" w:rsidRPr="00D326F8">
        <w:t>, when</w:t>
      </w:r>
      <w:r w:rsidRPr="00D326F8">
        <w:t xml:space="preserve"> appropriate</w:t>
      </w:r>
      <w:r w:rsidR="00ED7218" w:rsidRPr="00D326F8">
        <w:t>,</w:t>
      </w:r>
      <w:r w:rsidR="00A21EB0" w:rsidRPr="00D326F8">
        <w:t xml:space="preserve"> for tepotinib and its metabolites (MSC2571109A and MSC2571107A)</w:t>
      </w:r>
      <w:r w:rsidRPr="00D326F8">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13"/>
        <w:gridCol w:w="7059"/>
      </w:tblGrid>
      <w:tr w:rsidR="003B74AE" w:rsidRPr="00D326F8" w14:paraId="601A8176" w14:textId="77777777" w:rsidTr="007D5243">
        <w:trPr>
          <w:tblHeader/>
        </w:trPr>
        <w:tc>
          <w:tcPr>
            <w:tcW w:w="1152" w:type="pct"/>
            <w:tcBorders>
              <w:top w:val="single" w:sz="4" w:space="0" w:color="auto"/>
              <w:left w:val="single" w:sz="4" w:space="0" w:color="auto"/>
              <w:bottom w:val="single" w:sz="4" w:space="0" w:color="auto"/>
              <w:right w:val="single" w:sz="4" w:space="0" w:color="auto"/>
            </w:tcBorders>
            <w:vAlign w:val="center"/>
            <w:hideMark/>
          </w:tcPr>
          <w:p w14:paraId="601A8174" w14:textId="77777777" w:rsidR="002E07E7" w:rsidRPr="00D326F8" w:rsidRDefault="003E23E4" w:rsidP="007D5243">
            <w:pPr>
              <w:spacing w:before="80" w:after="80"/>
              <w:jc w:val="center"/>
              <w:rPr>
                <w:rFonts w:ascii="Arial" w:eastAsia="MS Mincho" w:hAnsi="Arial"/>
                <w:b/>
                <w:sz w:val="18"/>
              </w:rPr>
            </w:pPr>
            <w:bookmarkStart w:id="245" w:name="_Hlk43724225"/>
            <w:r w:rsidRPr="00D326F8">
              <w:rPr>
                <w:rFonts w:ascii="Arial" w:eastAsia="MS Mincho" w:hAnsi="Arial"/>
                <w:b/>
                <w:sz w:val="18"/>
              </w:rPr>
              <w:t>Symbol</w:t>
            </w:r>
          </w:p>
        </w:tc>
        <w:tc>
          <w:tcPr>
            <w:tcW w:w="3848" w:type="pct"/>
            <w:tcBorders>
              <w:top w:val="single" w:sz="4" w:space="0" w:color="auto"/>
              <w:left w:val="single" w:sz="4" w:space="0" w:color="auto"/>
              <w:bottom w:val="single" w:sz="4" w:space="0" w:color="auto"/>
              <w:right w:val="single" w:sz="4" w:space="0" w:color="auto"/>
            </w:tcBorders>
            <w:hideMark/>
          </w:tcPr>
          <w:p w14:paraId="601A8175" w14:textId="77777777" w:rsidR="002E07E7" w:rsidRPr="00D326F8" w:rsidRDefault="003E23E4" w:rsidP="007D5243">
            <w:pPr>
              <w:spacing w:before="80" w:after="80"/>
              <w:jc w:val="center"/>
              <w:rPr>
                <w:rFonts w:ascii="Arial" w:eastAsia="MS Mincho" w:hAnsi="Arial"/>
                <w:b/>
                <w:sz w:val="18"/>
              </w:rPr>
            </w:pPr>
            <w:r w:rsidRPr="00D326F8">
              <w:rPr>
                <w:rFonts w:ascii="Arial" w:eastAsia="MS Mincho" w:hAnsi="Arial"/>
                <w:b/>
                <w:sz w:val="18"/>
              </w:rPr>
              <w:t>Definition</w:t>
            </w:r>
          </w:p>
        </w:tc>
      </w:tr>
      <w:tr w:rsidR="003B74AE" w:rsidRPr="00D326F8" w14:paraId="601A817A"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77" w14:textId="77777777" w:rsidR="002E07E7" w:rsidRPr="00D326F8" w:rsidRDefault="003E23E4" w:rsidP="007D5243">
            <w:pPr>
              <w:spacing w:before="40" w:after="40"/>
              <w:jc w:val="left"/>
              <w:rPr>
                <w:rFonts w:ascii="Arial" w:eastAsia="MS Mincho" w:hAnsi="Arial"/>
                <w:sz w:val="18"/>
                <w:vertAlign w:val="subscript"/>
                <w:lang w:val="en-GB"/>
              </w:rPr>
            </w:pPr>
            <w:r w:rsidRPr="00D326F8">
              <w:rPr>
                <w:rFonts w:ascii="Arial" w:eastAsia="MS Mincho" w:hAnsi="Arial"/>
                <w:sz w:val="18"/>
                <w:lang w:val="en-GB"/>
              </w:rPr>
              <w:t>AUC</w:t>
            </w:r>
            <w:r w:rsidRPr="00D326F8">
              <w:rPr>
                <w:rFonts w:ascii="Arial" w:eastAsia="MS Mincho" w:hAnsi="Arial"/>
                <w:sz w:val="18"/>
                <w:szCs w:val="24"/>
                <w:vertAlign w:val="subscript"/>
              </w:rPr>
              <w:t>0</w:t>
            </w:r>
            <w:r w:rsidRPr="00D326F8">
              <w:rPr>
                <w:rFonts w:ascii="Arial" w:eastAsia="MS Mincho" w:hAnsi="Arial"/>
                <w:sz w:val="18"/>
                <w:szCs w:val="24"/>
                <w:vertAlign w:val="subscript"/>
              </w:rPr>
              <w:noBreakHyphen/>
              <w:t>∞</w:t>
            </w:r>
          </w:p>
        </w:tc>
        <w:tc>
          <w:tcPr>
            <w:tcW w:w="3848" w:type="pct"/>
            <w:tcBorders>
              <w:top w:val="single" w:sz="4" w:space="0" w:color="auto"/>
              <w:left w:val="single" w:sz="4" w:space="0" w:color="auto"/>
              <w:bottom w:val="single" w:sz="4" w:space="0" w:color="auto"/>
              <w:right w:val="single" w:sz="4" w:space="0" w:color="auto"/>
            </w:tcBorders>
            <w:hideMark/>
          </w:tcPr>
          <w:p w14:paraId="601A8178"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 xml:space="preserve">The AUC from time zero (= dosing time) extrapolated to infinity, based on the predicted value for the concentration at </w:t>
            </w:r>
            <w:proofErr w:type="spellStart"/>
            <w:r w:rsidRPr="00D326F8">
              <w:rPr>
                <w:rFonts w:ascii="Arial" w:eastAsia="MS Mincho" w:hAnsi="Arial"/>
                <w:sz w:val="18"/>
                <w:lang w:val="en-GB"/>
              </w:rPr>
              <w:t>t</w:t>
            </w:r>
            <w:r w:rsidRPr="00D326F8">
              <w:rPr>
                <w:rFonts w:ascii="Arial" w:eastAsia="MS Mincho" w:hAnsi="Arial"/>
                <w:sz w:val="18"/>
                <w:vertAlign w:val="subscript"/>
                <w:lang w:val="en-GB"/>
              </w:rPr>
              <w:t>last</w:t>
            </w:r>
            <w:proofErr w:type="spellEnd"/>
            <w:r w:rsidRPr="00D326F8">
              <w:rPr>
                <w:rFonts w:ascii="Arial" w:eastAsia="MS Mincho" w:hAnsi="Arial"/>
                <w:sz w:val="18"/>
                <w:vertAlign w:val="subscript"/>
                <w:lang w:val="en-GB"/>
              </w:rPr>
              <w:t>,</w:t>
            </w:r>
            <w:r w:rsidRPr="00D326F8">
              <w:rPr>
                <w:rFonts w:ascii="Arial" w:eastAsia="MS Mincho" w:hAnsi="Arial"/>
                <w:sz w:val="18"/>
                <w:lang w:val="en-GB"/>
              </w:rPr>
              <w:t xml:space="preserve"> as estimated using the linear regression from </w:t>
            </w:r>
            <w:proofErr w:type="spellStart"/>
            <w:r w:rsidRPr="00D326F8">
              <w:rPr>
                <w:rFonts w:ascii="Arial" w:eastAsia="MS Mincho" w:hAnsi="Arial"/>
                <w:sz w:val="18"/>
                <w:lang w:val="en-GB"/>
              </w:rPr>
              <w:t>λ</w:t>
            </w:r>
            <w:r w:rsidRPr="00D326F8">
              <w:rPr>
                <w:rFonts w:ascii="Arial" w:eastAsia="MS Mincho" w:hAnsi="Arial"/>
                <w:sz w:val="18"/>
                <w:vertAlign w:val="subscript"/>
                <w:lang w:val="en-GB"/>
              </w:rPr>
              <w:t>z</w:t>
            </w:r>
            <w:proofErr w:type="spellEnd"/>
            <w:r w:rsidRPr="00D326F8">
              <w:rPr>
                <w:rFonts w:ascii="Arial" w:eastAsia="MS Mincho" w:hAnsi="Arial"/>
                <w:sz w:val="18"/>
                <w:lang w:val="en-GB"/>
              </w:rPr>
              <w:t xml:space="preserve"> determination. </w:t>
            </w:r>
          </w:p>
          <w:p w14:paraId="601A8179"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AUC</w:t>
            </w:r>
            <w:r w:rsidRPr="00D326F8">
              <w:rPr>
                <w:rFonts w:ascii="Arial" w:eastAsia="MS Mincho" w:hAnsi="Arial"/>
                <w:sz w:val="18"/>
                <w:vertAlign w:val="subscript"/>
                <w:lang w:val="en-GB"/>
              </w:rPr>
              <w:t>0-∞</w:t>
            </w:r>
            <w:r w:rsidRPr="00D326F8">
              <w:rPr>
                <w:rFonts w:ascii="Arial" w:eastAsia="MS Mincho" w:hAnsi="Arial"/>
                <w:sz w:val="18"/>
                <w:lang w:val="en-GB"/>
              </w:rPr>
              <w:t>= AUC</w:t>
            </w:r>
            <w:r w:rsidRPr="00D326F8">
              <w:rPr>
                <w:rFonts w:ascii="Arial" w:eastAsia="MS Mincho" w:hAnsi="Arial"/>
                <w:sz w:val="18"/>
                <w:vertAlign w:val="subscript"/>
                <w:lang w:val="en-GB"/>
              </w:rPr>
              <w:t>0-tlast</w:t>
            </w:r>
            <w:r w:rsidRPr="00D326F8">
              <w:rPr>
                <w:rFonts w:ascii="Arial" w:eastAsia="MS Mincho" w:hAnsi="Arial"/>
                <w:sz w:val="18"/>
                <w:lang w:val="en-GB"/>
              </w:rPr>
              <w:t xml:space="preserve"> +C</w:t>
            </w:r>
            <w:r w:rsidRPr="00D326F8">
              <w:rPr>
                <w:rFonts w:ascii="Arial" w:eastAsia="MS Mincho" w:hAnsi="Arial"/>
                <w:sz w:val="18"/>
                <w:vertAlign w:val="subscript"/>
                <w:lang w:val="en-GB"/>
              </w:rPr>
              <w:t xml:space="preserve">last </w:t>
            </w:r>
            <w:proofErr w:type="spellStart"/>
            <w:r w:rsidRPr="00D326F8">
              <w:rPr>
                <w:rFonts w:ascii="Arial" w:eastAsia="MS Mincho" w:hAnsi="Arial"/>
                <w:sz w:val="18"/>
                <w:vertAlign w:val="subscript"/>
                <w:lang w:val="en-GB"/>
              </w:rPr>
              <w:t>pred</w:t>
            </w:r>
            <w:proofErr w:type="spellEnd"/>
            <w:r w:rsidRPr="00D326F8">
              <w:rPr>
                <w:rFonts w:ascii="Arial" w:eastAsia="MS Mincho" w:hAnsi="Arial"/>
                <w:sz w:val="18"/>
                <w:lang w:val="en-GB"/>
              </w:rPr>
              <w:t xml:space="preserve">/ </w:t>
            </w:r>
            <w:proofErr w:type="spellStart"/>
            <w:r w:rsidRPr="00D326F8">
              <w:rPr>
                <w:rFonts w:ascii="Arial" w:eastAsia="MS Mincho" w:hAnsi="Arial"/>
                <w:sz w:val="18"/>
                <w:lang w:val="en-GB"/>
              </w:rPr>
              <w:t>λ</w:t>
            </w:r>
            <w:r w:rsidRPr="00D326F8">
              <w:rPr>
                <w:rFonts w:ascii="Arial" w:eastAsia="MS Mincho" w:hAnsi="Arial"/>
                <w:sz w:val="18"/>
                <w:vertAlign w:val="subscript"/>
                <w:lang w:val="en-GB"/>
              </w:rPr>
              <w:t>z</w:t>
            </w:r>
            <w:proofErr w:type="spellEnd"/>
          </w:p>
        </w:tc>
      </w:tr>
      <w:tr w:rsidR="003B74AE" w:rsidRPr="00D326F8" w14:paraId="601A817D" w14:textId="77777777" w:rsidTr="007D5243">
        <w:tc>
          <w:tcPr>
            <w:tcW w:w="1152" w:type="pct"/>
            <w:tcBorders>
              <w:top w:val="single" w:sz="4" w:space="0" w:color="auto"/>
              <w:left w:val="single" w:sz="4" w:space="0" w:color="auto"/>
              <w:bottom w:val="single" w:sz="4" w:space="0" w:color="auto"/>
              <w:right w:val="single" w:sz="4" w:space="0" w:color="auto"/>
            </w:tcBorders>
            <w:hideMark/>
          </w:tcPr>
          <w:p w14:paraId="601A817B"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cs="Arial"/>
                <w:sz w:val="18"/>
                <w:szCs w:val="18"/>
              </w:rPr>
              <w:t>AUC</w:t>
            </w:r>
            <w:r w:rsidRPr="00D326F8">
              <w:rPr>
                <w:rFonts w:ascii="Arial" w:eastAsia="MS Mincho" w:hAnsi="Arial" w:cs="Arial"/>
                <w:sz w:val="18"/>
                <w:szCs w:val="18"/>
                <w:vertAlign w:val="subscript"/>
              </w:rPr>
              <w:t>0-tlast</w:t>
            </w:r>
          </w:p>
        </w:tc>
        <w:tc>
          <w:tcPr>
            <w:tcW w:w="3848" w:type="pct"/>
            <w:tcBorders>
              <w:top w:val="single" w:sz="4" w:space="0" w:color="auto"/>
              <w:left w:val="single" w:sz="4" w:space="0" w:color="auto"/>
              <w:bottom w:val="single" w:sz="4" w:space="0" w:color="auto"/>
              <w:right w:val="single" w:sz="4" w:space="0" w:color="auto"/>
            </w:tcBorders>
            <w:hideMark/>
          </w:tcPr>
          <w:p w14:paraId="601A817C"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cs="Arial"/>
                <w:sz w:val="18"/>
                <w:szCs w:val="18"/>
                <w:lang w:val="en-GB"/>
              </w:rPr>
              <w:t>The AUC from time zero (= dosing time) to the last sampling time (</w:t>
            </w:r>
            <w:proofErr w:type="spellStart"/>
            <w:r w:rsidRPr="00D326F8">
              <w:rPr>
                <w:rFonts w:ascii="Arial" w:eastAsia="MS Mincho" w:hAnsi="Arial" w:cs="Arial"/>
                <w:sz w:val="18"/>
                <w:szCs w:val="18"/>
                <w:lang w:val="en-GB"/>
              </w:rPr>
              <w:t>t</w:t>
            </w:r>
            <w:r w:rsidRPr="00D326F8">
              <w:rPr>
                <w:rFonts w:ascii="Arial" w:eastAsia="MS Mincho" w:hAnsi="Arial" w:cs="Arial"/>
                <w:sz w:val="18"/>
                <w:szCs w:val="18"/>
                <w:vertAlign w:val="subscript"/>
                <w:lang w:val="en-GB"/>
              </w:rPr>
              <w:t>last</w:t>
            </w:r>
            <w:proofErr w:type="spellEnd"/>
            <w:r w:rsidRPr="00D326F8">
              <w:rPr>
                <w:rFonts w:ascii="Arial" w:eastAsia="MS Mincho" w:hAnsi="Arial" w:cs="Arial"/>
                <w:sz w:val="18"/>
                <w:szCs w:val="18"/>
                <w:lang w:val="en-GB"/>
              </w:rPr>
              <w:t>) at which the concentration is at or above the lower limit of quantification. Calculated using the mixed log-linear trapezoidal rule (linear up, log down).</w:t>
            </w:r>
          </w:p>
        </w:tc>
      </w:tr>
      <w:tr w:rsidR="003B74AE" w:rsidRPr="00D326F8" w14:paraId="601A8180"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7E"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C</w:t>
            </w:r>
            <w:r w:rsidRPr="00D326F8">
              <w:rPr>
                <w:rFonts w:ascii="Arial" w:eastAsia="MS Mincho" w:hAnsi="Arial"/>
                <w:sz w:val="18"/>
                <w:vertAlign w:val="subscript"/>
                <w:lang w:val="en-GB"/>
              </w:rPr>
              <w:t>max</w:t>
            </w:r>
          </w:p>
        </w:tc>
        <w:tc>
          <w:tcPr>
            <w:tcW w:w="3848" w:type="pct"/>
            <w:tcBorders>
              <w:top w:val="single" w:sz="4" w:space="0" w:color="auto"/>
              <w:left w:val="single" w:sz="4" w:space="0" w:color="auto"/>
              <w:bottom w:val="single" w:sz="4" w:space="0" w:color="auto"/>
              <w:right w:val="single" w:sz="4" w:space="0" w:color="auto"/>
            </w:tcBorders>
            <w:hideMark/>
          </w:tcPr>
          <w:p w14:paraId="601A817F"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rPr>
              <w:t xml:space="preserve">Maximum observed concentration. </w:t>
            </w:r>
          </w:p>
        </w:tc>
      </w:tr>
      <w:tr w:rsidR="003B74AE" w:rsidRPr="00D326F8" w14:paraId="601A8183"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81"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t</w:t>
            </w:r>
            <w:r w:rsidRPr="00D326F8">
              <w:rPr>
                <w:rFonts w:ascii="Arial" w:eastAsia="MS Mincho" w:hAnsi="Arial"/>
                <w:sz w:val="18"/>
                <w:vertAlign w:val="subscript"/>
                <w:lang w:val="en-GB"/>
              </w:rPr>
              <w:t>max</w:t>
            </w:r>
          </w:p>
        </w:tc>
        <w:tc>
          <w:tcPr>
            <w:tcW w:w="3848" w:type="pct"/>
            <w:tcBorders>
              <w:top w:val="single" w:sz="4" w:space="0" w:color="auto"/>
              <w:left w:val="single" w:sz="4" w:space="0" w:color="auto"/>
              <w:bottom w:val="single" w:sz="4" w:space="0" w:color="auto"/>
              <w:right w:val="single" w:sz="4" w:space="0" w:color="auto"/>
            </w:tcBorders>
            <w:hideMark/>
          </w:tcPr>
          <w:p w14:paraId="601A8182"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The time to reach the maximum observed concentration collected during a dosing interval (the 1</w:t>
            </w:r>
            <w:r w:rsidRPr="00D326F8">
              <w:rPr>
                <w:rFonts w:ascii="Arial" w:eastAsia="MS Mincho" w:hAnsi="Arial"/>
                <w:sz w:val="18"/>
                <w:vertAlign w:val="superscript"/>
                <w:lang w:val="en-GB"/>
              </w:rPr>
              <w:t>st</w:t>
            </w:r>
            <w:r w:rsidRPr="00D326F8">
              <w:rPr>
                <w:rFonts w:ascii="Arial" w:eastAsia="MS Mincho" w:hAnsi="Arial"/>
                <w:sz w:val="18"/>
                <w:lang w:val="en-GB"/>
              </w:rPr>
              <w:t xml:space="preserve"> occurrence in the case of multiple/identical C</w:t>
            </w:r>
            <w:r w:rsidRPr="00D326F8">
              <w:rPr>
                <w:rFonts w:ascii="Arial" w:eastAsia="MS Mincho" w:hAnsi="Arial"/>
                <w:sz w:val="18"/>
                <w:vertAlign w:val="subscript"/>
                <w:lang w:val="en-GB"/>
              </w:rPr>
              <w:t>max</w:t>
            </w:r>
            <w:r w:rsidRPr="00D326F8">
              <w:rPr>
                <w:rFonts w:ascii="Arial" w:eastAsia="MS Mincho" w:hAnsi="Arial"/>
                <w:sz w:val="18"/>
                <w:lang w:val="en-GB"/>
              </w:rPr>
              <w:t xml:space="preserve"> values).</w:t>
            </w:r>
          </w:p>
        </w:tc>
      </w:tr>
      <w:tr w:rsidR="003B74AE" w:rsidRPr="00D326F8" w14:paraId="601A8186"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84"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t</w:t>
            </w:r>
            <w:r w:rsidRPr="00D326F8">
              <w:rPr>
                <w:rFonts w:ascii="Arial" w:eastAsia="MS Mincho" w:hAnsi="Arial"/>
                <w:sz w:val="18"/>
                <w:vertAlign w:val="subscript"/>
                <w:lang w:val="en-GB"/>
              </w:rPr>
              <w:t>1/2</w:t>
            </w:r>
          </w:p>
        </w:tc>
        <w:tc>
          <w:tcPr>
            <w:tcW w:w="3848" w:type="pct"/>
            <w:tcBorders>
              <w:top w:val="single" w:sz="4" w:space="0" w:color="auto"/>
              <w:left w:val="single" w:sz="4" w:space="0" w:color="auto"/>
              <w:bottom w:val="single" w:sz="4" w:space="0" w:color="auto"/>
              <w:right w:val="single" w:sz="4" w:space="0" w:color="auto"/>
            </w:tcBorders>
            <w:hideMark/>
          </w:tcPr>
          <w:p w14:paraId="601A8185"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rPr>
              <w:t>Apparent terminal half-life. t</w:t>
            </w:r>
            <w:r w:rsidRPr="00D326F8">
              <w:rPr>
                <w:rFonts w:ascii="Arial" w:eastAsia="MS Mincho" w:hAnsi="Arial"/>
                <w:sz w:val="18"/>
                <w:vertAlign w:val="subscript"/>
              </w:rPr>
              <w:t xml:space="preserve">1/2 </w:t>
            </w:r>
            <w:r w:rsidRPr="00D326F8">
              <w:rPr>
                <w:rFonts w:ascii="Arial" w:eastAsia="MS Mincho" w:hAnsi="Arial"/>
                <w:sz w:val="18"/>
                <w:lang w:val="en-GB"/>
              </w:rPr>
              <w:t>= ln (2)/</w:t>
            </w:r>
            <w:proofErr w:type="spellStart"/>
            <w:r w:rsidRPr="00D326F8">
              <w:rPr>
                <w:rFonts w:ascii="Arial" w:eastAsia="MS Mincho" w:hAnsi="Arial"/>
                <w:sz w:val="18"/>
              </w:rPr>
              <w:t>λ</w:t>
            </w:r>
            <w:r w:rsidRPr="00D326F8">
              <w:rPr>
                <w:rFonts w:ascii="Arial" w:eastAsia="MS Mincho" w:hAnsi="Arial" w:cs="Arial"/>
                <w:sz w:val="18"/>
                <w:vertAlign w:val="subscript"/>
              </w:rPr>
              <w:t>z</w:t>
            </w:r>
            <w:proofErr w:type="spellEnd"/>
          </w:p>
        </w:tc>
      </w:tr>
      <w:tr w:rsidR="003B74AE" w:rsidRPr="00D326F8" w14:paraId="601A8189"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87" w14:textId="77777777" w:rsidR="002E07E7" w:rsidRPr="00D326F8" w:rsidRDefault="003E23E4" w:rsidP="007D5243">
            <w:pPr>
              <w:spacing w:before="40" w:after="40"/>
              <w:jc w:val="left"/>
              <w:rPr>
                <w:rFonts w:ascii="Arial" w:eastAsia="MS Mincho" w:hAnsi="Arial"/>
                <w:sz w:val="18"/>
                <w:lang w:val="en-GB"/>
              </w:rPr>
            </w:pPr>
            <w:proofErr w:type="spellStart"/>
            <w:r w:rsidRPr="00D326F8">
              <w:rPr>
                <w:rFonts w:eastAsia="MS Mincho"/>
              </w:rPr>
              <w:t>λ</w:t>
            </w:r>
            <w:r w:rsidRPr="00D326F8">
              <w:rPr>
                <w:rFonts w:eastAsia="MS Mincho"/>
                <w:vertAlign w:val="subscript"/>
              </w:rPr>
              <w:t>z</w:t>
            </w:r>
            <w:proofErr w:type="spellEnd"/>
          </w:p>
        </w:tc>
        <w:tc>
          <w:tcPr>
            <w:tcW w:w="3848" w:type="pct"/>
            <w:tcBorders>
              <w:top w:val="single" w:sz="4" w:space="0" w:color="auto"/>
              <w:left w:val="single" w:sz="4" w:space="0" w:color="auto"/>
              <w:bottom w:val="single" w:sz="4" w:space="0" w:color="auto"/>
              <w:right w:val="single" w:sz="4" w:space="0" w:color="auto"/>
            </w:tcBorders>
            <w:hideMark/>
          </w:tcPr>
          <w:p w14:paraId="601A8188" w14:textId="77777777" w:rsidR="002E07E7" w:rsidRPr="00D326F8" w:rsidRDefault="003E23E4" w:rsidP="007D5243">
            <w:pPr>
              <w:spacing w:before="40" w:after="40"/>
              <w:jc w:val="left"/>
              <w:rPr>
                <w:rFonts w:ascii="Arial" w:eastAsia="MS Mincho" w:hAnsi="Arial"/>
                <w:sz w:val="18"/>
              </w:rPr>
            </w:pPr>
            <w:r w:rsidRPr="00D326F8">
              <w:rPr>
                <w:rFonts w:ascii="Arial" w:eastAsia="MS Mincho" w:hAnsi="Arial" w:cs="Arial"/>
                <w:sz w:val="18"/>
                <w:szCs w:val="18"/>
                <w:lang w:val="en-GB"/>
              </w:rPr>
              <w:t>Terminal first order (elimination) rate constant. Determined from the terminal slope of the log-transformed concentration curve using linear regression on terminal data points of the curve.</w:t>
            </w:r>
          </w:p>
        </w:tc>
      </w:tr>
      <w:tr w:rsidR="003B74AE" w:rsidRPr="00D326F8" w14:paraId="601A818C"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8A" w14:textId="77777777" w:rsidR="002E07E7" w:rsidRPr="00D326F8" w:rsidRDefault="003E23E4" w:rsidP="007D5243">
            <w:pPr>
              <w:spacing w:before="40" w:after="40"/>
              <w:jc w:val="left"/>
              <w:rPr>
                <w:rFonts w:ascii="Arial" w:eastAsia="MS Mincho" w:hAnsi="Arial" w:cs="Arial"/>
                <w:sz w:val="18"/>
                <w:szCs w:val="18"/>
              </w:rPr>
            </w:pPr>
            <w:r w:rsidRPr="00D326F8">
              <w:rPr>
                <w:rFonts w:ascii="Arial" w:eastAsia="MS Mincho" w:hAnsi="Arial" w:cs="Arial"/>
                <w:sz w:val="18"/>
                <w:szCs w:val="18"/>
              </w:rPr>
              <w:t>CL/F (parent drug only)</w:t>
            </w:r>
          </w:p>
        </w:tc>
        <w:tc>
          <w:tcPr>
            <w:tcW w:w="3848" w:type="pct"/>
            <w:tcBorders>
              <w:top w:val="single" w:sz="4" w:space="0" w:color="auto"/>
              <w:left w:val="single" w:sz="4" w:space="0" w:color="auto"/>
              <w:bottom w:val="single" w:sz="4" w:space="0" w:color="auto"/>
              <w:right w:val="single" w:sz="4" w:space="0" w:color="auto"/>
            </w:tcBorders>
            <w:hideMark/>
          </w:tcPr>
          <w:p w14:paraId="601A818B" w14:textId="77777777" w:rsidR="002E07E7" w:rsidRPr="00D326F8" w:rsidRDefault="003E23E4" w:rsidP="007D5243">
            <w:pPr>
              <w:spacing w:before="40" w:after="40"/>
              <w:jc w:val="left"/>
              <w:rPr>
                <w:rFonts w:ascii="Arial" w:eastAsia="MS Mincho" w:hAnsi="Arial"/>
                <w:sz w:val="18"/>
              </w:rPr>
            </w:pPr>
            <w:r w:rsidRPr="00D326F8">
              <w:rPr>
                <w:rFonts w:ascii="Arial" w:eastAsia="MS Mincho" w:hAnsi="Arial"/>
                <w:sz w:val="18"/>
                <w:lang w:val="en-GB"/>
              </w:rPr>
              <w:t xml:space="preserve">The apparent total body clearance of study intervention following extravascular administration. </w:t>
            </w:r>
            <w:r w:rsidRPr="00D326F8">
              <w:rPr>
                <w:rFonts w:ascii="Arial" w:eastAsia="MS Mincho" w:hAnsi="Arial"/>
                <w:sz w:val="18"/>
                <w:lang w:val="en-GB"/>
              </w:rPr>
              <w:br/>
            </w:r>
            <w:r w:rsidRPr="00D326F8">
              <w:rPr>
                <w:rFonts w:ascii="Arial" w:eastAsia="MS Mincho" w:hAnsi="Arial"/>
                <w:sz w:val="18"/>
              </w:rPr>
              <w:t xml:space="preserve">CL/F = </w:t>
            </w:r>
            <w:r w:rsidRPr="00D326F8">
              <w:rPr>
                <w:rFonts w:ascii="Arial" w:eastAsia="MS Mincho" w:hAnsi="Arial"/>
                <w:sz w:val="18"/>
                <w:lang w:val="en-GB"/>
              </w:rPr>
              <w:t xml:space="preserve">Dose </w:t>
            </w:r>
            <w:r w:rsidRPr="00D326F8">
              <w:rPr>
                <w:rFonts w:ascii="(Asiatische Schriftart verwende" w:eastAsia="MS Mincho" w:hAnsi="(Asiatische Schriftart verwende"/>
                <w:sz w:val="18"/>
                <w:vertAlign w:val="subscript"/>
                <w:lang w:val="en-GB"/>
              </w:rPr>
              <w:t xml:space="preserve">p.o. </w:t>
            </w:r>
            <w:r w:rsidRPr="00D326F8">
              <w:rPr>
                <w:rFonts w:ascii="Arial" w:eastAsia="MS Mincho" w:hAnsi="Arial"/>
                <w:sz w:val="18"/>
                <w:lang w:val="fr-FR"/>
              </w:rPr>
              <w:t>/ AUC</w:t>
            </w:r>
            <w:r w:rsidRPr="00D326F8">
              <w:rPr>
                <w:rFonts w:ascii="Arial" w:eastAsia="MS Mincho" w:hAnsi="Arial"/>
                <w:sz w:val="18"/>
                <w:vertAlign w:val="subscript"/>
                <w:lang w:val="fr-FR"/>
              </w:rPr>
              <w:t>0-∞</w:t>
            </w:r>
            <w:r w:rsidRPr="00D326F8">
              <w:rPr>
                <w:rFonts w:ascii="Arial" w:eastAsia="MS Mincho" w:hAnsi="Arial" w:cs="Arial"/>
                <w:sz w:val="18"/>
              </w:rPr>
              <w:t>.</w:t>
            </w:r>
          </w:p>
        </w:tc>
      </w:tr>
      <w:tr w:rsidR="003B74AE" w:rsidRPr="00D326F8" w14:paraId="601A8190"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8D" w14:textId="77777777" w:rsidR="002E07E7" w:rsidRPr="00D326F8" w:rsidRDefault="003E23E4" w:rsidP="007D5243">
            <w:pPr>
              <w:spacing w:before="40" w:after="40"/>
              <w:jc w:val="left"/>
              <w:rPr>
                <w:rFonts w:ascii="Arial" w:eastAsia="MS Mincho" w:hAnsi="Arial" w:cs="Arial"/>
                <w:sz w:val="18"/>
                <w:szCs w:val="18"/>
              </w:rPr>
            </w:pPr>
            <w:r w:rsidRPr="00D326F8">
              <w:rPr>
                <w:rFonts w:ascii="Arial" w:eastAsia="MS Mincho" w:hAnsi="Arial" w:cs="Arial"/>
                <w:sz w:val="18"/>
                <w:szCs w:val="18"/>
              </w:rPr>
              <w:t>V</w:t>
            </w:r>
            <w:r w:rsidRPr="00D326F8">
              <w:rPr>
                <w:rFonts w:ascii="Arial" w:eastAsia="MS Mincho" w:hAnsi="Arial" w:cs="Arial"/>
                <w:sz w:val="18"/>
                <w:szCs w:val="18"/>
                <w:vertAlign w:val="subscript"/>
              </w:rPr>
              <w:t>Z</w:t>
            </w:r>
            <w:r w:rsidRPr="00D326F8">
              <w:rPr>
                <w:rFonts w:ascii="Arial" w:eastAsia="MS Mincho" w:hAnsi="Arial" w:cs="Arial"/>
                <w:sz w:val="18"/>
                <w:szCs w:val="18"/>
              </w:rPr>
              <w:t>/F (parent drug only)</w:t>
            </w:r>
          </w:p>
        </w:tc>
        <w:tc>
          <w:tcPr>
            <w:tcW w:w="3848" w:type="pct"/>
            <w:tcBorders>
              <w:top w:val="single" w:sz="4" w:space="0" w:color="auto"/>
              <w:left w:val="single" w:sz="4" w:space="0" w:color="auto"/>
              <w:bottom w:val="single" w:sz="4" w:space="0" w:color="auto"/>
              <w:right w:val="single" w:sz="4" w:space="0" w:color="auto"/>
            </w:tcBorders>
            <w:hideMark/>
          </w:tcPr>
          <w:p w14:paraId="601A818E"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 xml:space="preserve">The apparent volume of distribution during the terminal phase following extravascular administration. </w:t>
            </w:r>
          </w:p>
          <w:p w14:paraId="601A818F" w14:textId="77777777" w:rsidR="002E07E7" w:rsidRPr="00D326F8" w:rsidRDefault="003E23E4" w:rsidP="007D5243">
            <w:pPr>
              <w:spacing w:before="40" w:after="40"/>
              <w:jc w:val="left"/>
              <w:rPr>
                <w:rFonts w:ascii="Arial" w:eastAsia="MS Mincho" w:hAnsi="Arial"/>
                <w:sz w:val="18"/>
              </w:rPr>
            </w:pPr>
            <w:proofErr w:type="spellStart"/>
            <w:r w:rsidRPr="00D326F8">
              <w:rPr>
                <w:rFonts w:ascii="Arial" w:eastAsia="MS Mincho" w:hAnsi="Arial"/>
                <w:sz w:val="18"/>
                <w:lang w:val="en-GB"/>
              </w:rPr>
              <w:t>V</w:t>
            </w:r>
            <w:r w:rsidRPr="00D326F8">
              <w:rPr>
                <w:rFonts w:ascii="Arial" w:eastAsia="MS Mincho" w:hAnsi="Arial"/>
                <w:sz w:val="18"/>
                <w:vertAlign w:val="subscript"/>
                <w:lang w:val="en-GB"/>
              </w:rPr>
              <w:t>z</w:t>
            </w:r>
            <w:proofErr w:type="spellEnd"/>
            <w:r w:rsidRPr="00D326F8">
              <w:rPr>
                <w:rFonts w:ascii="Arial" w:eastAsia="MS Mincho" w:hAnsi="Arial"/>
                <w:sz w:val="18"/>
                <w:lang w:val="en-GB"/>
              </w:rPr>
              <w:t>/F = Dose / (</w:t>
            </w:r>
            <w:r w:rsidRPr="00D326F8">
              <w:rPr>
                <w:rFonts w:ascii="Arial" w:eastAsia="MS Mincho" w:hAnsi="Arial" w:cs="Arial"/>
                <w:sz w:val="18"/>
              </w:rPr>
              <w:t>AUC</w:t>
            </w:r>
            <w:r w:rsidRPr="00D326F8">
              <w:rPr>
                <w:rFonts w:ascii="Arial" w:eastAsia="MS Mincho" w:hAnsi="Arial" w:cs="Arial"/>
                <w:sz w:val="18"/>
                <w:vertAlign w:val="subscript"/>
              </w:rPr>
              <w:t>0-</w:t>
            </w:r>
            <w:r w:rsidRPr="00D326F8">
              <w:rPr>
                <w:rFonts w:ascii="Arial" w:eastAsia="MS Mincho" w:hAnsi="Arial"/>
                <w:sz w:val="18"/>
                <w:vertAlign w:val="subscript"/>
              </w:rPr>
              <w:t>∞ </w:t>
            </w:r>
            <w:r w:rsidRPr="00D326F8">
              <w:rPr>
                <w:rFonts w:ascii="Arial" w:eastAsia="MS Mincho" w:hAnsi="Arial" w:cs="Arial"/>
                <w:sz w:val="18"/>
                <w:lang w:val="en-GB"/>
              </w:rPr>
              <w:t>× </w:t>
            </w:r>
            <w:proofErr w:type="spellStart"/>
            <w:r w:rsidRPr="00D326F8">
              <w:rPr>
                <w:rFonts w:ascii="Arial" w:eastAsia="MS Mincho" w:hAnsi="Arial"/>
                <w:sz w:val="18"/>
                <w:lang w:val="en-GB"/>
              </w:rPr>
              <w:t>λ</w:t>
            </w:r>
            <w:r w:rsidRPr="00D326F8">
              <w:rPr>
                <w:rFonts w:ascii="Arial" w:eastAsia="MS Mincho" w:hAnsi="Arial"/>
                <w:sz w:val="18"/>
                <w:vertAlign w:val="subscript"/>
                <w:lang w:val="en-GB"/>
              </w:rPr>
              <w:t>z</w:t>
            </w:r>
            <w:proofErr w:type="spellEnd"/>
            <w:r w:rsidRPr="00D326F8">
              <w:rPr>
                <w:rFonts w:ascii="Arial" w:eastAsia="MS Mincho" w:hAnsi="Arial"/>
                <w:sz w:val="18"/>
                <w:lang w:val="en-GB"/>
              </w:rPr>
              <w:t>) following single dose.</w:t>
            </w:r>
          </w:p>
        </w:tc>
      </w:tr>
      <w:tr w:rsidR="003B74AE" w:rsidRPr="00D326F8" w14:paraId="601A8193"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91" w14:textId="77777777" w:rsidR="002E07E7" w:rsidRPr="00D326F8" w:rsidRDefault="003E23E4" w:rsidP="007D5243">
            <w:pPr>
              <w:spacing w:before="40" w:after="40"/>
              <w:jc w:val="left"/>
              <w:rPr>
                <w:rFonts w:ascii="Arial" w:eastAsia="MS Mincho" w:hAnsi="Arial" w:cs="Arial"/>
                <w:sz w:val="18"/>
                <w:szCs w:val="18"/>
                <w:lang w:val="de-DE"/>
              </w:rPr>
            </w:pPr>
            <w:proofErr w:type="spellStart"/>
            <w:r w:rsidRPr="00D326F8">
              <w:rPr>
                <w:rFonts w:ascii="Arial" w:eastAsia="MS Mincho" w:hAnsi="Arial" w:cs="Arial"/>
                <w:sz w:val="18"/>
                <w:szCs w:val="18"/>
              </w:rPr>
              <w:t>AUC</w:t>
            </w:r>
            <w:r w:rsidRPr="00D326F8">
              <w:rPr>
                <w:rFonts w:eastAsia="MS Mincho"/>
                <w:vertAlign w:val="subscript"/>
              </w:rPr>
              <w:t>extra</w:t>
            </w:r>
            <w:proofErr w:type="spellEnd"/>
            <w:r w:rsidRPr="00D326F8">
              <w:rPr>
                <w:rFonts w:eastAsia="MS Mincho"/>
                <w:vertAlign w:val="subscript"/>
              </w:rPr>
              <w:t>%</w:t>
            </w:r>
          </w:p>
        </w:tc>
        <w:tc>
          <w:tcPr>
            <w:tcW w:w="3848" w:type="pct"/>
            <w:tcBorders>
              <w:top w:val="single" w:sz="4" w:space="0" w:color="auto"/>
              <w:left w:val="single" w:sz="4" w:space="0" w:color="auto"/>
              <w:bottom w:val="single" w:sz="4" w:space="0" w:color="auto"/>
              <w:right w:val="single" w:sz="4" w:space="0" w:color="auto"/>
            </w:tcBorders>
            <w:hideMark/>
          </w:tcPr>
          <w:p w14:paraId="601A8192" w14:textId="77777777" w:rsidR="002E07E7"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 xml:space="preserve">The AUC from time </w:t>
            </w:r>
            <w:proofErr w:type="spellStart"/>
            <w:r w:rsidRPr="00D326F8">
              <w:rPr>
                <w:rFonts w:ascii="Arial" w:eastAsia="MS Mincho" w:hAnsi="Arial"/>
                <w:sz w:val="18"/>
                <w:lang w:val="en-GB"/>
              </w:rPr>
              <w:t>t</w:t>
            </w:r>
            <w:r w:rsidRPr="00D326F8">
              <w:rPr>
                <w:rFonts w:ascii="Arial" w:eastAsia="MS Mincho" w:hAnsi="Arial"/>
                <w:sz w:val="18"/>
                <w:vertAlign w:val="subscript"/>
                <w:lang w:val="en-GB"/>
              </w:rPr>
              <w:t>last</w:t>
            </w:r>
            <w:proofErr w:type="spellEnd"/>
            <w:r w:rsidRPr="00D326F8">
              <w:rPr>
                <w:rFonts w:ascii="Arial" w:eastAsia="MS Mincho" w:hAnsi="Arial"/>
                <w:sz w:val="18"/>
                <w:lang w:val="en-GB"/>
              </w:rPr>
              <w:t xml:space="preserve"> extrapolated to infinity given as percentage of AUC</w:t>
            </w:r>
            <w:r w:rsidRPr="00D326F8">
              <w:rPr>
                <w:rFonts w:ascii="Arial" w:eastAsia="MS Mincho" w:hAnsi="Arial"/>
                <w:sz w:val="18"/>
                <w:vertAlign w:val="subscript"/>
                <w:lang w:val="en-GB"/>
              </w:rPr>
              <w:t>0-∞</w:t>
            </w:r>
            <w:r w:rsidRPr="00D326F8">
              <w:rPr>
                <w:rFonts w:ascii="Arial" w:eastAsia="MS Mincho" w:hAnsi="Arial"/>
                <w:sz w:val="18"/>
                <w:lang w:val="en-GB"/>
              </w:rPr>
              <w:t xml:space="preserve">. </w:t>
            </w:r>
            <w:r w:rsidRPr="00D326F8">
              <w:rPr>
                <w:rFonts w:ascii="Arial" w:eastAsia="MS Mincho" w:hAnsi="Arial"/>
                <w:sz w:val="18"/>
                <w:lang w:val="en-GB"/>
              </w:rPr>
              <w:br/>
            </w:r>
            <w:proofErr w:type="spellStart"/>
            <w:r w:rsidRPr="00D326F8">
              <w:rPr>
                <w:rFonts w:ascii="Arial" w:eastAsia="MS Mincho" w:hAnsi="Arial"/>
                <w:sz w:val="18"/>
                <w:lang w:val="en-GB"/>
              </w:rPr>
              <w:t>AUC</w:t>
            </w:r>
            <w:r w:rsidRPr="00D326F8">
              <w:rPr>
                <w:rFonts w:ascii="Arial" w:eastAsia="MS Mincho" w:hAnsi="Arial"/>
                <w:sz w:val="18"/>
                <w:vertAlign w:val="subscript"/>
                <w:lang w:val="en-GB"/>
              </w:rPr>
              <w:t>extra</w:t>
            </w:r>
            <w:proofErr w:type="spellEnd"/>
            <w:r w:rsidRPr="00D326F8">
              <w:rPr>
                <w:rFonts w:ascii="Arial" w:eastAsia="MS Mincho" w:hAnsi="Arial"/>
                <w:sz w:val="18"/>
                <w:vertAlign w:val="subscript"/>
                <w:lang w:val="en-GB"/>
              </w:rPr>
              <w:t>%</w:t>
            </w:r>
            <w:r w:rsidRPr="00D326F8">
              <w:rPr>
                <w:rFonts w:ascii="Arial" w:eastAsia="MS Mincho" w:hAnsi="Arial"/>
                <w:sz w:val="18"/>
                <w:lang w:val="en-GB"/>
              </w:rPr>
              <w:t xml:space="preserve"> = (extrapolated area/AUC</w:t>
            </w:r>
            <w:r w:rsidRPr="00D326F8">
              <w:rPr>
                <w:rFonts w:ascii="Arial" w:eastAsia="MS Mincho" w:hAnsi="Arial"/>
                <w:sz w:val="18"/>
                <w:vertAlign w:val="subscript"/>
                <w:lang w:val="en-GB"/>
              </w:rPr>
              <w:t>0-∞</w:t>
            </w:r>
            <w:r w:rsidRPr="00D326F8">
              <w:rPr>
                <w:rFonts w:ascii="Arial" w:eastAsia="MS Mincho" w:hAnsi="Arial"/>
                <w:sz w:val="18"/>
                <w:lang w:val="en-GB"/>
              </w:rPr>
              <w:t xml:space="preserve">) </w:t>
            </w:r>
            <w:r w:rsidRPr="00D326F8">
              <w:rPr>
                <w:rFonts w:ascii="Arial" w:eastAsia="MS Mincho" w:hAnsi="Arial" w:cs="Arial"/>
                <w:sz w:val="18"/>
                <w:lang w:val="en-GB"/>
              </w:rPr>
              <w:t>× </w:t>
            </w:r>
            <w:r w:rsidRPr="00D326F8">
              <w:rPr>
                <w:rFonts w:ascii="Arial" w:eastAsia="MS Mincho" w:hAnsi="Arial"/>
                <w:sz w:val="18"/>
                <w:lang w:val="en-GB"/>
              </w:rPr>
              <w:t>100.</w:t>
            </w:r>
          </w:p>
        </w:tc>
      </w:tr>
      <w:tr w:rsidR="003B74AE" w:rsidRPr="00D326F8" w14:paraId="601A8198"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94" w14:textId="77777777" w:rsidR="002E07E7" w:rsidRPr="00D326F8" w:rsidRDefault="003E23E4" w:rsidP="007D5243">
            <w:pPr>
              <w:keepNext/>
              <w:keepLines/>
              <w:spacing w:before="40" w:after="40"/>
              <w:jc w:val="left"/>
              <w:rPr>
                <w:rFonts w:ascii="Arial" w:eastAsia="MS Mincho" w:hAnsi="Arial" w:cs="Arial"/>
                <w:sz w:val="18"/>
                <w:szCs w:val="18"/>
              </w:rPr>
            </w:pPr>
            <w:r w:rsidRPr="00D326F8">
              <w:rPr>
                <w:rFonts w:ascii="Arial" w:eastAsia="MS Mincho" w:hAnsi="Arial" w:cs="Arial"/>
                <w:sz w:val="18"/>
                <w:szCs w:val="18"/>
              </w:rPr>
              <w:t>MR(AUC</w:t>
            </w:r>
            <w:r w:rsidRPr="00D326F8">
              <w:rPr>
                <w:rFonts w:eastAsia="MS Mincho"/>
                <w:sz w:val="18"/>
                <w:szCs w:val="18"/>
                <w:vertAlign w:val="subscript"/>
                <w:lang w:val="de-DE" w:eastAsia="ja-JP"/>
              </w:rPr>
              <w:t>0-</w:t>
            </w:r>
            <w:r w:rsidRPr="00D326F8">
              <w:rPr>
                <w:rFonts w:ascii="TimesNewRomanPSMT" w:eastAsia="TimesNewRomanPSMT" w:cs="TimesNewRomanPSMT"/>
                <w:sz w:val="18"/>
                <w:szCs w:val="18"/>
                <w:vertAlign w:val="subscript"/>
                <w:lang w:val="de-DE" w:eastAsia="ja-JP"/>
              </w:rPr>
              <w:t>∞</w:t>
            </w:r>
            <w:r w:rsidRPr="00D326F8">
              <w:rPr>
                <w:rFonts w:ascii="TimesNewRomanPSMT" w:eastAsia="TimesNewRomanPSMT" w:cs="TimesNewRomanPSMT"/>
                <w:sz w:val="18"/>
                <w:szCs w:val="18"/>
                <w:lang w:val="de-DE" w:eastAsia="ja-JP"/>
              </w:rPr>
              <w:t>)</w:t>
            </w:r>
          </w:p>
        </w:tc>
        <w:tc>
          <w:tcPr>
            <w:tcW w:w="3848" w:type="pct"/>
            <w:tcBorders>
              <w:top w:val="single" w:sz="4" w:space="0" w:color="auto"/>
              <w:left w:val="single" w:sz="4" w:space="0" w:color="auto"/>
              <w:bottom w:val="single" w:sz="4" w:space="0" w:color="auto"/>
              <w:right w:val="single" w:sz="4" w:space="0" w:color="auto"/>
            </w:tcBorders>
            <w:hideMark/>
          </w:tcPr>
          <w:p w14:paraId="601A8196" w14:textId="46AEDA6E" w:rsidR="002E07E7" w:rsidRPr="00D326F8" w:rsidRDefault="003E23E4" w:rsidP="00087608">
            <w:pPr>
              <w:keepNext/>
              <w:keepLines/>
              <w:spacing w:before="120"/>
              <w:rPr>
                <w:rFonts w:ascii="Arial" w:eastAsia="MS Mincho" w:hAnsi="Arial"/>
                <w:sz w:val="18"/>
                <w:lang w:val="en-GB"/>
              </w:rPr>
            </w:pPr>
            <w:r w:rsidRPr="00D326F8">
              <w:rPr>
                <w:rFonts w:ascii="Arial" w:eastAsia="MS Mincho" w:hAnsi="Arial"/>
                <w:sz w:val="18"/>
                <w:lang w:val="en-GB"/>
              </w:rPr>
              <w:t>Metabolic ratio of AUC</w:t>
            </w:r>
            <w:r w:rsidRPr="00D326F8">
              <w:rPr>
                <w:rFonts w:ascii="Arial" w:eastAsia="MS Mincho" w:hAnsi="Arial"/>
                <w:sz w:val="18"/>
                <w:vertAlign w:val="subscript"/>
                <w:lang w:val="en-GB"/>
              </w:rPr>
              <w:t>0-∞</w:t>
            </w:r>
            <w:r w:rsidRPr="00D326F8">
              <w:rPr>
                <w:rFonts w:ascii="Arial" w:eastAsia="MS Mincho" w:hAnsi="Arial"/>
                <w:sz w:val="18"/>
                <w:lang w:val="en-GB"/>
              </w:rPr>
              <w:t>. AUC</w:t>
            </w:r>
            <w:r w:rsidRPr="00D326F8">
              <w:rPr>
                <w:rFonts w:ascii="Arial" w:eastAsia="MS Mincho" w:hAnsi="Arial"/>
                <w:sz w:val="18"/>
                <w:vertAlign w:val="subscript"/>
                <w:lang w:val="en-GB"/>
              </w:rPr>
              <w:t>0-</w:t>
            </w:r>
            <w:r w:rsidRPr="00D326F8">
              <w:rPr>
                <w:rFonts w:ascii="Arial" w:eastAsia="MS Mincho" w:hAnsi="Arial" w:hint="eastAsia"/>
                <w:sz w:val="18"/>
                <w:vertAlign w:val="subscript"/>
                <w:lang w:val="en-GB"/>
              </w:rPr>
              <w:t>∞</w:t>
            </w:r>
            <w:r w:rsidRPr="00D326F8">
              <w:rPr>
                <w:rFonts w:ascii="Arial" w:eastAsia="MS Mincho" w:hAnsi="Arial"/>
                <w:sz w:val="18"/>
                <w:lang w:val="en-GB"/>
              </w:rPr>
              <w:t xml:space="preserve"> for metabolite divided by the AUC</w:t>
            </w:r>
            <w:r w:rsidRPr="00D326F8">
              <w:rPr>
                <w:rFonts w:ascii="Arial" w:eastAsia="MS Mincho" w:hAnsi="Arial"/>
                <w:sz w:val="18"/>
                <w:vertAlign w:val="subscript"/>
                <w:lang w:val="en-GB"/>
              </w:rPr>
              <w:t>0-</w:t>
            </w:r>
            <w:r w:rsidRPr="00D326F8">
              <w:rPr>
                <w:rFonts w:ascii="Arial" w:eastAsia="MS Mincho" w:hAnsi="Arial" w:hint="eastAsia"/>
                <w:sz w:val="18"/>
                <w:vertAlign w:val="subscript"/>
                <w:lang w:val="en-GB"/>
              </w:rPr>
              <w:t>∞</w:t>
            </w:r>
            <w:r w:rsidRPr="00D326F8">
              <w:rPr>
                <w:rFonts w:ascii="Arial" w:eastAsia="MS Mincho" w:hAnsi="Arial"/>
                <w:sz w:val="18"/>
                <w:lang w:val="en-GB"/>
              </w:rPr>
              <w:t xml:space="preserve"> of parent corrected for MW. Note: Dose dependent parameters (e.g.</w:t>
            </w:r>
            <w:r w:rsidR="00B617D3" w:rsidRPr="00D326F8">
              <w:rPr>
                <w:rFonts w:ascii="Arial" w:eastAsia="MS Mincho" w:hAnsi="Arial"/>
                <w:sz w:val="18"/>
                <w:lang w:val="en-GB"/>
              </w:rPr>
              <w:t>,</w:t>
            </w:r>
            <w:r w:rsidRPr="00D326F8">
              <w:rPr>
                <w:rFonts w:ascii="Arial" w:eastAsia="MS Mincho" w:hAnsi="Arial"/>
                <w:sz w:val="18"/>
                <w:lang w:val="en-GB"/>
              </w:rPr>
              <w:t xml:space="preserve"> CL/f, </w:t>
            </w:r>
            <w:proofErr w:type="spellStart"/>
            <w:r w:rsidRPr="00D326F8">
              <w:rPr>
                <w:rFonts w:ascii="Arial" w:eastAsia="MS Mincho" w:hAnsi="Arial"/>
                <w:sz w:val="18"/>
                <w:lang w:val="en-GB"/>
              </w:rPr>
              <w:t>Vz</w:t>
            </w:r>
            <w:proofErr w:type="spellEnd"/>
            <w:r w:rsidRPr="00D326F8">
              <w:rPr>
                <w:rFonts w:ascii="Arial" w:eastAsia="MS Mincho" w:hAnsi="Arial"/>
                <w:sz w:val="18"/>
                <w:lang w:val="en-GB"/>
              </w:rPr>
              <w:t>/f) will not be calculated for metabolites.</w:t>
            </w:r>
          </w:p>
          <w:p w14:paraId="601A8197" w14:textId="77777777" w:rsidR="002E07E7" w:rsidRPr="00D326F8" w:rsidRDefault="003E23E4" w:rsidP="007D5243">
            <w:pPr>
              <w:keepNext/>
              <w:keepLines/>
              <w:spacing w:before="40" w:after="40"/>
              <w:jc w:val="left"/>
              <w:rPr>
                <w:rFonts w:ascii="Arial" w:eastAsia="MS Mincho" w:hAnsi="Arial"/>
                <w:sz w:val="18"/>
                <w:lang w:val="de-DE"/>
              </w:rPr>
            </w:pPr>
            <w:r w:rsidRPr="00D326F8">
              <w:rPr>
                <w:rFonts w:ascii="Arial" w:eastAsia="MS Mincho" w:hAnsi="Arial"/>
                <w:sz w:val="18"/>
                <w:lang w:val="de-DE"/>
              </w:rPr>
              <w:t>MR(AUC</w:t>
            </w:r>
            <w:r w:rsidRPr="00D326F8">
              <w:rPr>
                <w:rFonts w:ascii="Arial" w:eastAsia="MS Mincho" w:hAnsi="Arial"/>
                <w:sz w:val="18"/>
                <w:vertAlign w:val="subscript"/>
                <w:lang w:val="de-DE"/>
              </w:rPr>
              <w:t>0-</w:t>
            </w:r>
            <w:r w:rsidRPr="00D326F8">
              <w:rPr>
                <w:rFonts w:ascii="Arial" w:eastAsia="MS Mincho" w:hAnsi="Arial" w:hint="eastAsia"/>
                <w:sz w:val="18"/>
                <w:vertAlign w:val="subscript"/>
                <w:lang w:val="de-DE"/>
              </w:rPr>
              <w:t>∞</w:t>
            </w:r>
            <w:r w:rsidRPr="00D326F8">
              <w:rPr>
                <w:rFonts w:ascii="Arial" w:eastAsia="MS Mincho" w:hAnsi="Arial"/>
                <w:sz w:val="18"/>
                <w:lang w:val="de-DE"/>
              </w:rPr>
              <w:t>) = AUC</w:t>
            </w:r>
            <w:r w:rsidRPr="00D326F8">
              <w:rPr>
                <w:rFonts w:ascii="Arial" w:eastAsia="MS Mincho" w:hAnsi="Arial"/>
                <w:sz w:val="18"/>
                <w:vertAlign w:val="subscript"/>
                <w:lang w:val="de-DE"/>
              </w:rPr>
              <w:t>0-</w:t>
            </w:r>
            <w:r w:rsidRPr="00D326F8">
              <w:rPr>
                <w:rFonts w:ascii="Arial" w:eastAsia="MS Mincho" w:hAnsi="Arial" w:hint="eastAsia"/>
                <w:sz w:val="18"/>
                <w:vertAlign w:val="subscript"/>
                <w:lang w:val="de-DE"/>
              </w:rPr>
              <w:t>∞</w:t>
            </w:r>
            <w:r w:rsidRPr="00D326F8">
              <w:rPr>
                <w:rFonts w:ascii="Arial" w:eastAsia="MS Mincho" w:hAnsi="Arial"/>
                <w:sz w:val="18"/>
                <w:vertAlign w:val="subscript"/>
                <w:lang w:val="de-DE"/>
              </w:rPr>
              <w:t> </w:t>
            </w:r>
            <w:proofErr w:type="spellStart"/>
            <w:r w:rsidRPr="00D326F8">
              <w:rPr>
                <w:rFonts w:ascii="Arial" w:eastAsia="MS Mincho" w:hAnsi="Arial"/>
                <w:sz w:val="18"/>
                <w:lang w:val="de-DE"/>
              </w:rPr>
              <w:t>metabolite</w:t>
            </w:r>
            <w:proofErr w:type="spellEnd"/>
            <w:r w:rsidRPr="00D326F8">
              <w:rPr>
                <w:rFonts w:ascii="Arial" w:eastAsia="MS Mincho" w:hAnsi="Arial"/>
                <w:sz w:val="18"/>
                <w:lang w:val="de-DE"/>
              </w:rPr>
              <w:t> </w:t>
            </w:r>
            <w:r w:rsidRPr="00D326F8">
              <w:rPr>
                <w:rFonts w:ascii="Arial" w:eastAsia="MS Mincho" w:hAnsi="Arial" w:cs="Arial"/>
                <w:sz w:val="18"/>
                <w:lang w:val="de-DE"/>
              </w:rPr>
              <w:t>× </w:t>
            </w:r>
            <w:r w:rsidRPr="00D326F8">
              <w:rPr>
                <w:rFonts w:ascii="Arial" w:eastAsia="MS Mincho" w:hAnsi="Arial"/>
                <w:sz w:val="18"/>
                <w:lang w:val="de-DE"/>
              </w:rPr>
              <w:t xml:space="preserve">MW </w:t>
            </w:r>
            <w:proofErr w:type="spellStart"/>
            <w:r w:rsidRPr="00D326F8">
              <w:rPr>
                <w:rFonts w:ascii="Arial" w:eastAsia="MS Mincho" w:hAnsi="Arial"/>
                <w:sz w:val="18"/>
                <w:lang w:val="de-DE"/>
              </w:rPr>
              <w:t>parent</w:t>
            </w:r>
            <w:proofErr w:type="spellEnd"/>
            <w:r w:rsidRPr="00D326F8">
              <w:rPr>
                <w:rFonts w:ascii="Arial" w:eastAsia="MS Mincho" w:hAnsi="Arial"/>
                <w:sz w:val="18"/>
                <w:lang w:val="de-DE"/>
              </w:rPr>
              <w:t> / AUC</w:t>
            </w:r>
            <w:r w:rsidRPr="00D326F8">
              <w:rPr>
                <w:rFonts w:ascii="Arial" w:eastAsia="MS Mincho" w:hAnsi="Arial"/>
                <w:sz w:val="18"/>
                <w:vertAlign w:val="subscript"/>
                <w:lang w:val="de-DE"/>
              </w:rPr>
              <w:t>0-</w:t>
            </w:r>
            <w:r w:rsidRPr="00D326F8">
              <w:rPr>
                <w:rFonts w:ascii="Arial" w:eastAsia="MS Mincho" w:hAnsi="Arial" w:hint="eastAsia"/>
                <w:sz w:val="18"/>
                <w:vertAlign w:val="subscript"/>
                <w:lang w:val="de-DE"/>
              </w:rPr>
              <w:t>∞</w:t>
            </w:r>
            <w:proofErr w:type="spellStart"/>
            <w:r w:rsidRPr="00D326F8">
              <w:rPr>
                <w:rFonts w:ascii="Arial" w:eastAsia="MS Mincho" w:hAnsi="Arial"/>
                <w:sz w:val="18"/>
                <w:lang w:val="de-DE"/>
              </w:rPr>
              <w:t>parent</w:t>
            </w:r>
            <w:proofErr w:type="spellEnd"/>
            <w:r w:rsidRPr="00D326F8">
              <w:rPr>
                <w:rFonts w:ascii="Arial" w:eastAsia="MS Mincho" w:hAnsi="Arial"/>
                <w:sz w:val="18"/>
                <w:lang w:val="de-DE"/>
              </w:rPr>
              <w:t> </w:t>
            </w:r>
            <w:r w:rsidRPr="00D326F8">
              <w:rPr>
                <w:rFonts w:ascii="Arial" w:eastAsia="MS Mincho" w:hAnsi="Arial" w:cs="Arial"/>
                <w:sz w:val="18"/>
                <w:lang w:val="de-DE"/>
              </w:rPr>
              <w:t>× </w:t>
            </w:r>
            <w:proofErr w:type="spellStart"/>
            <w:r w:rsidRPr="00D326F8">
              <w:rPr>
                <w:rFonts w:ascii="Arial" w:eastAsia="MS Mincho" w:hAnsi="Arial"/>
                <w:sz w:val="18"/>
                <w:lang w:val="de-DE"/>
              </w:rPr>
              <w:t>MWmetabolite</w:t>
            </w:r>
            <w:proofErr w:type="spellEnd"/>
            <w:r w:rsidRPr="00D326F8">
              <w:rPr>
                <w:rFonts w:ascii="Arial" w:eastAsia="MS Mincho" w:hAnsi="Arial"/>
                <w:sz w:val="18"/>
                <w:lang w:val="de-DE"/>
              </w:rPr>
              <w:t xml:space="preserve"> </w:t>
            </w:r>
          </w:p>
        </w:tc>
      </w:tr>
      <w:tr w:rsidR="003B74AE" w:rsidRPr="00D326F8" w14:paraId="601A819C" w14:textId="77777777" w:rsidTr="007D5243">
        <w:tc>
          <w:tcPr>
            <w:tcW w:w="1152" w:type="pct"/>
            <w:tcBorders>
              <w:top w:val="single" w:sz="4" w:space="0" w:color="auto"/>
              <w:left w:val="single" w:sz="4" w:space="0" w:color="auto"/>
              <w:bottom w:val="single" w:sz="4" w:space="0" w:color="auto"/>
              <w:right w:val="single" w:sz="4" w:space="0" w:color="auto"/>
            </w:tcBorders>
            <w:vAlign w:val="center"/>
            <w:hideMark/>
          </w:tcPr>
          <w:p w14:paraId="601A8199" w14:textId="77777777" w:rsidR="002E07E7" w:rsidRPr="00D326F8" w:rsidRDefault="003E23E4" w:rsidP="007D5243">
            <w:pPr>
              <w:spacing w:before="40" w:after="40"/>
              <w:jc w:val="left"/>
              <w:rPr>
                <w:rFonts w:ascii="Arial" w:eastAsia="MS Mincho" w:hAnsi="Arial" w:cs="Arial"/>
                <w:sz w:val="18"/>
                <w:szCs w:val="18"/>
              </w:rPr>
            </w:pPr>
            <w:r w:rsidRPr="00D326F8">
              <w:rPr>
                <w:rFonts w:ascii="Arial" w:eastAsia="MS Mincho" w:hAnsi="Arial" w:cs="Arial"/>
                <w:sz w:val="18"/>
                <w:szCs w:val="18"/>
              </w:rPr>
              <w:t>MR(C</w:t>
            </w:r>
            <w:proofErr w:type="spellStart"/>
            <w:r w:rsidRPr="00D326F8">
              <w:rPr>
                <w:rFonts w:eastAsia="MS Mincho"/>
                <w:sz w:val="18"/>
                <w:szCs w:val="18"/>
                <w:vertAlign w:val="subscript"/>
                <w:lang w:val="de-DE" w:eastAsia="ja-JP"/>
              </w:rPr>
              <w:t>max</w:t>
            </w:r>
            <w:proofErr w:type="spellEnd"/>
            <w:r w:rsidRPr="00D326F8">
              <w:rPr>
                <w:rFonts w:eastAsia="MS Mincho"/>
                <w:sz w:val="18"/>
                <w:szCs w:val="18"/>
                <w:lang w:val="de-DE" w:eastAsia="ja-JP"/>
              </w:rPr>
              <w:t>)</w:t>
            </w:r>
          </w:p>
        </w:tc>
        <w:tc>
          <w:tcPr>
            <w:tcW w:w="3848" w:type="pct"/>
            <w:tcBorders>
              <w:top w:val="single" w:sz="4" w:space="0" w:color="auto"/>
              <w:left w:val="single" w:sz="4" w:space="0" w:color="auto"/>
              <w:bottom w:val="single" w:sz="4" w:space="0" w:color="auto"/>
              <w:right w:val="single" w:sz="4" w:space="0" w:color="auto"/>
            </w:tcBorders>
            <w:hideMark/>
          </w:tcPr>
          <w:p w14:paraId="601A819A" w14:textId="77777777" w:rsidR="009E6FBF"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Metabolic ratio of C</w:t>
            </w:r>
            <w:r w:rsidRPr="00D326F8">
              <w:rPr>
                <w:rFonts w:ascii="Arial" w:eastAsia="MS Mincho" w:hAnsi="Arial"/>
                <w:sz w:val="18"/>
                <w:vertAlign w:val="subscript"/>
                <w:lang w:val="en-GB"/>
              </w:rPr>
              <w:t>max</w:t>
            </w:r>
            <w:r w:rsidRPr="00D326F8">
              <w:rPr>
                <w:rFonts w:ascii="Arial" w:eastAsia="MS Mincho" w:hAnsi="Arial"/>
                <w:sz w:val="18"/>
                <w:lang w:val="en-GB"/>
              </w:rPr>
              <w:t>. C</w:t>
            </w:r>
            <w:r w:rsidRPr="00D326F8">
              <w:rPr>
                <w:rFonts w:ascii="Arial" w:eastAsia="MS Mincho" w:hAnsi="Arial"/>
                <w:sz w:val="18"/>
                <w:vertAlign w:val="subscript"/>
                <w:lang w:val="en-GB"/>
              </w:rPr>
              <w:t>max</w:t>
            </w:r>
            <w:r w:rsidRPr="00D326F8">
              <w:rPr>
                <w:rFonts w:ascii="Arial" w:eastAsia="MS Mincho" w:hAnsi="Arial"/>
                <w:sz w:val="18"/>
                <w:lang w:val="en-GB"/>
              </w:rPr>
              <w:t xml:space="preserve"> for metabolite divided by the C</w:t>
            </w:r>
            <w:r w:rsidRPr="00D326F8">
              <w:rPr>
                <w:rFonts w:ascii="Arial" w:eastAsia="MS Mincho" w:hAnsi="Arial"/>
                <w:sz w:val="18"/>
                <w:vertAlign w:val="subscript"/>
                <w:lang w:val="en-GB"/>
              </w:rPr>
              <w:t>max</w:t>
            </w:r>
            <w:r w:rsidRPr="00D326F8">
              <w:rPr>
                <w:rFonts w:ascii="Arial" w:eastAsia="MS Mincho" w:hAnsi="Arial"/>
                <w:sz w:val="18"/>
                <w:lang w:val="en-GB"/>
              </w:rPr>
              <w:t xml:space="preserve"> of parent corrected for MW. </w:t>
            </w:r>
          </w:p>
          <w:p w14:paraId="601A819B" w14:textId="35C3C42B" w:rsidR="002E07E7" w:rsidRPr="00D326F8" w:rsidRDefault="003E23E4" w:rsidP="007D5243">
            <w:pPr>
              <w:spacing w:before="40" w:after="40"/>
              <w:jc w:val="left"/>
              <w:rPr>
                <w:rFonts w:ascii="Arial" w:eastAsia="MS Mincho" w:hAnsi="Arial"/>
                <w:sz w:val="18"/>
              </w:rPr>
            </w:pPr>
            <w:r w:rsidRPr="00D326F8">
              <w:rPr>
                <w:rFonts w:ascii="Arial" w:eastAsia="MS Mincho" w:hAnsi="Arial"/>
                <w:sz w:val="18"/>
                <w:lang w:val="en-GB"/>
              </w:rPr>
              <w:t>MR(C</w:t>
            </w:r>
            <w:r w:rsidRPr="00D326F8">
              <w:rPr>
                <w:rFonts w:ascii="Arial" w:eastAsia="MS Mincho" w:hAnsi="Arial"/>
                <w:sz w:val="18"/>
                <w:vertAlign w:val="subscript"/>
                <w:lang w:val="en-GB"/>
              </w:rPr>
              <w:t>max</w:t>
            </w:r>
            <w:r w:rsidRPr="00D326F8">
              <w:rPr>
                <w:rFonts w:ascii="Arial" w:eastAsia="MS Mincho" w:hAnsi="Arial"/>
                <w:sz w:val="18"/>
                <w:lang w:val="en-GB"/>
              </w:rPr>
              <w:t>)= C</w:t>
            </w:r>
            <w:r w:rsidRPr="00D326F8">
              <w:rPr>
                <w:rFonts w:ascii="Arial" w:eastAsia="MS Mincho" w:hAnsi="Arial"/>
                <w:sz w:val="18"/>
                <w:vertAlign w:val="subscript"/>
                <w:lang w:val="en-GB"/>
              </w:rPr>
              <w:t>max</w:t>
            </w:r>
            <w:r w:rsidR="0035422C" w:rsidRPr="00D326F8">
              <w:rPr>
                <w:rFonts w:ascii="Arial" w:eastAsia="MS Mincho" w:hAnsi="Arial"/>
                <w:sz w:val="18"/>
                <w:vertAlign w:val="subscript"/>
                <w:lang w:val="en-GB"/>
              </w:rPr>
              <w:t> </w:t>
            </w:r>
            <w:r w:rsidRPr="00D326F8">
              <w:rPr>
                <w:rFonts w:ascii="Arial" w:eastAsia="MS Mincho" w:hAnsi="Arial"/>
                <w:sz w:val="18"/>
                <w:lang w:val="en-GB"/>
              </w:rPr>
              <w:t>metabolite</w:t>
            </w:r>
            <w:r w:rsidR="0035422C" w:rsidRPr="00D326F8">
              <w:rPr>
                <w:rFonts w:ascii="Arial" w:eastAsia="MS Mincho" w:hAnsi="Arial"/>
                <w:sz w:val="18"/>
              </w:rPr>
              <w:t> </w:t>
            </w:r>
            <w:r w:rsidR="0035422C" w:rsidRPr="00D326F8">
              <w:rPr>
                <w:rFonts w:ascii="Arial" w:eastAsia="MS Mincho" w:hAnsi="Arial" w:cs="Arial"/>
                <w:sz w:val="18"/>
              </w:rPr>
              <w:t>× </w:t>
            </w:r>
            <w:r w:rsidRPr="00D326F8">
              <w:rPr>
                <w:rFonts w:ascii="Arial" w:eastAsia="MS Mincho" w:hAnsi="Arial"/>
                <w:sz w:val="18"/>
                <w:lang w:val="en-GB"/>
              </w:rPr>
              <w:t>MW parent</w:t>
            </w:r>
            <w:r w:rsidR="0035422C" w:rsidRPr="00D326F8">
              <w:rPr>
                <w:rFonts w:ascii="Arial" w:eastAsia="MS Mincho" w:hAnsi="Arial"/>
                <w:sz w:val="18"/>
                <w:lang w:val="en-GB"/>
              </w:rPr>
              <w:t> </w:t>
            </w:r>
            <w:r w:rsidRPr="00D326F8">
              <w:rPr>
                <w:rFonts w:ascii="Arial" w:eastAsia="MS Mincho" w:hAnsi="Arial"/>
                <w:sz w:val="18"/>
                <w:lang w:val="en-GB"/>
              </w:rPr>
              <w:t>/</w:t>
            </w:r>
            <w:r w:rsidR="0035422C" w:rsidRPr="00D326F8">
              <w:rPr>
                <w:rFonts w:ascii="Arial" w:eastAsia="MS Mincho" w:hAnsi="Arial"/>
                <w:sz w:val="18"/>
                <w:lang w:val="en-GB"/>
              </w:rPr>
              <w:t> </w:t>
            </w:r>
            <w:r w:rsidRPr="00D326F8">
              <w:rPr>
                <w:rFonts w:ascii="Arial" w:eastAsia="MS Mincho" w:hAnsi="Arial"/>
                <w:sz w:val="18"/>
                <w:lang w:val="en-GB"/>
              </w:rPr>
              <w:t>C</w:t>
            </w:r>
            <w:r w:rsidRPr="00D326F8">
              <w:rPr>
                <w:rFonts w:ascii="Arial" w:eastAsia="MS Mincho" w:hAnsi="Arial"/>
                <w:sz w:val="18"/>
                <w:vertAlign w:val="subscript"/>
                <w:lang w:val="en-GB"/>
              </w:rPr>
              <w:t>max</w:t>
            </w:r>
            <w:r w:rsidRPr="00D326F8">
              <w:rPr>
                <w:rFonts w:ascii="Arial" w:eastAsia="MS Mincho" w:hAnsi="Arial"/>
                <w:sz w:val="18"/>
                <w:lang w:val="en-GB"/>
              </w:rPr>
              <w:t xml:space="preserve"> parent</w:t>
            </w:r>
            <w:r w:rsidR="0035422C" w:rsidRPr="00D326F8">
              <w:rPr>
                <w:rFonts w:ascii="Arial" w:eastAsia="MS Mincho" w:hAnsi="Arial"/>
                <w:sz w:val="18"/>
              </w:rPr>
              <w:t> </w:t>
            </w:r>
            <w:r w:rsidR="0035422C" w:rsidRPr="00D326F8">
              <w:rPr>
                <w:rFonts w:ascii="Arial" w:eastAsia="MS Mincho" w:hAnsi="Arial" w:cs="Arial"/>
                <w:sz w:val="18"/>
              </w:rPr>
              <w:t>× </w:t>
            </w:r>
            <w:proofErr w:type="spellStart"/>
            <w:r w:rsidRPr="00D326F8">
              <w:rPr>
                <w:rFonts w:ascii="Arial" w:eastAsia="MS Mincho" w:hAnsi="Arial"/>
                <w:sz w:val="18"/>
                <w:lang w:val="en-GB"/>
              </w:rPr>
              <w:t>MWmetabolite</w:t>
            </w:r>
            <w:proofErr w:type="spellEnd"/>
          </w:p>
        </w:tc>
      </w:tr>
    </w:tbl>
    <w:bookmarkEnd w:id="245"/>
    <w:p w14:paraId="601A819D" w14:textId="77777777" w:rsidR="00AB57CA" w:rsidRPr="00D326F8" w:rsidRDefault="003E23E4" w:rsidP="007D5243">
      <w:pPr>
        <w:spacing w:before="120" w:after="240"/>
      </w:pPr>
      <w:r w:rsidRPr="00D326F8">
        <w:t>The following PK parameters will be calculated, when appropriate, for carbamazepine and its metabolite carbamazepine</w:t>
      </w:r>
      <w:r w:rsidR="007D5243" w:rsidRPr="00D326F8">
        <w:noBreakHyphen/>
      </w:r>
      <w:r w:rsidRPr="00D326F8">
        <w:t>10,11</w:t>
      </w:r>
      <w:r w:rsidR="007D5243" w:rsidRPr="00D326F8">
        <w:noBreakHyphen/>
      </w:r>
      <w:r w:rsidRPr="00D326F8">
        <w:t>epoxide: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7"/>
        <w:gridCol w:w="7785"/>
      </w:tblGrid>
      <w:tr w:rsidR="003B74AE" w:rsidRPr="00D326F8" w14:paraId="601A81A0" w14:textId="77777777" w:rsidTr="00AB57CA">
        <w:trPr>
          <w:tblHeader/>
        </w:trPr>
        <w:tc>
          <w:tcPr>
            <w:tcW w:w="756" w:type="pct"/>
            <w:tcBorders>
              <w:top w:val="single" w:sz="4" w:space="0" w:color="auto"/>
              <w:left w:val="single" w:sz="4" w:space="0" w:color="auto"/>
              <w:bottom w:val="single" w:sz="4" w:space="0" w:color="auto"/>
              <w:right w:val="single" w:sz="4" w:space="0" w:color="auto"/>
            </w:tcBorders>
            <w:vAlign w:val="center"/>
            <w:hideMark/>
          </w:tcPr>
          <w:p w14:paraId="601A819E" w14:textId="77777777" w:rsidR="00AB57CA" w:rsidRPr="00D326F8" w:rsidRDefault="003E23E4" w:rsidP="007D5243">
            <w:pPr>
              <w:spacing w:before="80" w:after="80"/>
              <w:jc w:val="center"/>
              <w:rPr>
                <w:rFonts w:ascii="Arial" w:eastAsia="MS Mincho" w:hAnsi="Arial"/>
                <w:b/>
                <w:sz w:val="18"/>
              </w:rPr>
            </w:pPr>
            <w:r w:rsidRPr="00D326F8">
              <w:rPr>
                <w:rFonts w:ascii="Arial" w:eastAsia="MS Mincho" w:hAnsi="Arial"/>
                <w:b/>
                <w:sz w:val="18"/>
              </w:rPr>
              <w:t>Symbol</w:t>
            </w:r>
          </w:p>
        </w:tc>
        <w:tc>
          <w:tcPr>
            <w:tcW w:w="4244" w:type="pct"/>
            <w:tcBorders>
              <w:top w:val="single" w:sz="4" w:space="0" w:color="auto"/>
              <w:left w:val="single" w:sz="4" w:space="0" w:color="auto"/>
              <w:bottom w:val="single" w:sz="4" w:space="0" w:color="auto"/>
              <w:right w:val="single" w:sz="4" w:space="0" w:color="auto"/>
            </w:tcBorders>
            <w:hideMark/>
          </w:tcPr>
          <w:p w14:paraId="601A819F" w14:textId="77777777" w:rsidR="00AB57CA" w:rsidRPr="00D326F8" w:rsidRDefault="003E23E4" w:rsidP="007D5243">
            <w:pPr>
              <w:spacing w:before="80" w:after="80"/>
              <w:jc w:val="center"/>
              <w:rPr>
                <w:rFonts w:ascii="Arial" w:eastAsia="MS Mincho" w:hAnsi="Arial"/>
                <w:b/>
                <w:sz w:val="18"/>
              </w:rPr>
            </w:pPr>
            <w:r w:rsidRPr="00D326F8">
              <w:rPr>
                <w:rFonts w:ascii="Arial" w:eastAsia="MS Mincho" w:hAnsi="Arial"/>
                <w:b/>
                <w:sz w:val="18"/>
              </w:rPr>
              <w:t>Definition</w:t>
            </w:r>
          </w:p>
        </w:tc>
      </w:tr>
      <w:tr w:rsidR="003B74AE" w:rsidRPr="00D326F8" w14:paraId="601A81A4" w14:textId="77777777" w:rsidTr="00AB57CA">
        <w:tc>
          <w:tcPr>
            <w:tcW w:w="756" w:type="pct"/>
            <w:tcBorders>
              <w:top w:val="single" w:sz="4" w:space="0" w:color="auto"/>
              <w:left w:val="single" w:sz="4" w:space="0" w:color="auto"/>
              <w:bottom w:val="single" w:sz="4" w:space="0" w:color="auto"/>
              <w:right w:val="single" w:sz="4" w:space="0" w:color="auto"/>
            </w:tcBorders>
            <w:hideMark/>
          </w:tcPr>
          <w:p w14:paraId="601A81A1" w14:textId="77777777" w:rsidR="00AB57CA" w:rsidRPr="00D326F8" w:rsidRDefault="003E23E4" w:rsidP="007D5243">
            <w:pPr>
              <w:spacing w:before="40" w:after="40"/>
              <w:jc w:val="left"/>
              <w:rPr>
                <w:rFonts w:ascii="Arial" w:eastAsia="MS Mincho" w:hAnsi="Arial"/>
                <w:sz w:val="18"/>
                <w:lang w:val="en-GB"/>
              </w:rPr>
            </w:pPr>
            <w:r w:rsidRPr="00D326F8">
              <w:rPr>
                <w:rFonts w:ascii="Arial" w:eastAsia="MS Mincho" w:hAnsi="Arial" w:cs="Arial"/>
                <w:sz w:val="18"/>
                <w:szCs w:val="18"/>
              </w:rPr>
              <w:t>AUC</w:t>
            </w:r>
            <w:r w:rsidRPr="00D326F8">
              <w:rPr>
                <w:rFonts w:ascii="Arial" w:eastAsia="MS Mincho" w:hAnsi="Arial" w:cs="Arial"/>
                <w:sz w:val="18"/>
                <w:szCs w:val="18"/>
                <w:vertAlign w:val="subscript"/>
              </w:rPr>
              <w:t>0-tlast</w:t>
            </w:r>
          </w:p>
        </w:tc>
        <w:tc>
          <w:tcPr>
            <w:tcW w:w="4244" w:type="pct"/>
            <w:tcBorders>
              <w:top w:val="single" w:sz="4" w:space="0" w:color="auto"/>
              <w:left w:val="single" w:sz="4" w:space="0" w:color="auto"/>
              <w:bottom w:val="single" w:sz="4" w:space="0" w:color="auto"/>
              <w:right w:val="single" w:sz="4" w:space="0" w:color="auto"/>
            </w:tcBorders>
            <w:hideMark/>
          </w:tcPr>
          <w:p w14:paraId="601A81A2" w14:textId="77777777" w:rsidR="007D5243" w:rsidRPr="00D326F8" w:rsidRDefault="003E23E4" w:rsidP="007D5243">
            <w:pPr>
              <w:spacing w:before="40" w:after="40"/>
              <w:jc w:val="left"/>
              <w:rPr>
                <w:rFonts w:ascii="Arial" w:eastAsia="MS Mincho" w:hAnsi="Arial" w:cs="Arial"/>
                <w:sz w:val="18"/>
                <w:szCs w:val="18"/>
                <w:lang w:val="en-GB"/>
              </w:rPr>
            </w:pPr>
            <w:r w:rsidRPr="00D326F8">
              <w:rPr>
                <w:rFonts w:ascii="Arial" w:eastAsia="MS Mincho" w:hAnsi="Arial" w:cs="Arial"/>
                <w:sz w:val="18"/>
                <w:szCs w:val="18"/>
                <w:lang w:val="en-GB"/>
              </w:rPr>
              <w:t>The AUC from time zero (= dosing time) to the last sampling time (</w:t>
            </w:r>
            <w:proofErr w:type="spellStart"/>
            <w:r w:rsidRPr="00D326F8">
              <w:rPr>
                <w:rFonts w:ascii="Arial" w:eastAsia="MS Mincho" w:hAnsi="Arial" w:cs="Arial"/>
                <w:sz w:val="18"/>
                <w:szCs w:val="18"/>
                <w:lang w:val="en-GB"/>
              </w:rPr>
              <w:t>t</w:t>
            </w:r>
            <w:r w:rsidRPr="00D326F8">
              <w:rPr>
                <w:rFonts w:ascii="Arial" w:eastAsia="MS Mincho" w:hAnsi="Arial" w:cs="Arial"/>
                <w:sz w:val="18"/>
                <w:szCs w:val="18"/>
                <w:vertAlign w:val="subscript"/>
                <w:lang w:val="en-GB"/>
              </w:rPr>
              <w:t>last</w:t>
            </w:r>
            <w:proofErr w:type="spellEnd"/>
            <w:r w:rsidRPr="00D326F8">
              <w:rPr>
                <w:rFonts w:ascii="Arial" w:eastAsia="MS Mincho" w:hAnsi="Arial" w:cs="Arial"/>
                <w:sz w:val="18"/>
                <w:szCs w:val="18"/>
                <w:lang w:val="en-GB"/>
              </w:rPr>
              <w:t xml:space="preserve">) at which the concentration is at or above the lower limit of quantification. </w:t>
            </w:r>
          </w:p>
          <w:p w14:paraId="601A81A3" w14:textId="77777777" w:rsidR="00AB57CA" w:rsidRPr="00D326F8" w:rsidRDefault="003E23E4" w:rsidP="007D5243">
            <w:pPr>
              <w:spacing w:before="40" w:after="40"/>
              <w:jc w:val="left"/>
              <w:rPr>
                <w:rFonts w:ascii="Arial" w:eastAsia="MS Mincho" w:hAnsi="Arial"/>
                <w:sz w:val="18"/>
                <w:lang w:val="en-GB"/>
              </w:rPr>
            </w:pPr>
            <w:r w:rsidRPr="00D326F8">
              <w:rPr>
                <w:rFonts w:ascii="Arial" w:eastAsia="MS Mincho" w:hAnsi="Arial" w:cs="Arial"/>
                <w:sz w:val="18"/>
                <w:szCs w:val="18"/>
                <w:lang w:val="en-GB"/>
              </w:rPr>
              <w:t>Calculated using the mixed log</w:t>
            </w:r>
            <w:r w:rsidR="00BA1DD7" w:rsidRPr="00D326F8">
              <w:rPr>
                <w:rFonts w:ascii="Arial" w:eastAsia="MS Mincho" w:hAnsi="Arial" w:cs="Arial"/>
                <w:sz w:val="18"/>
                <w:szCs w:val="18"/>
                <w:lang w:val="en-GB"/>
              </w:rPr>
              <w:noBreakHyphen/>
            </w:r>
            <w:r w:rsidRPr="00D326F8">
              <w:rPr>
                <w:rFonts w:ascii="Arial" w:eastAsia="MS Mincho" w:hAnsi="Arial" w:cs="Arial"/>
                <w:sz w:val="18"/>
                <w:szCs w:val="18"/>
                <w:lang w:val="en-GB"/>
              </w:rPr>
              <w:t>linear trapezoidal rule (linear up, log down).</w:t>
            </w:r>
          </w:p>
        </w:tc>
      </w:tr>
      <w:tr w:rsidR="003B74AE" w:rsidRPr="00D326F8" w14:paraId="601A81A7" w14:textId="77777777" w:rsidTr="000A67FC">
        <w:tc>
          <w:tcPr>
            <w:tcW w:w="756" w:type="pct"/>
          </w:tcPr>
          <w:p w14:paraId="601A81A5" w14:textId="77777777" w:rsidR="007322BB" w:rsidRPr="00D326F8" w:rsidRDefault="003E23E4" w:rsidP="007D5243">
            <w:pPr>
              <w:spacing w:before="40" w:after="40"/>
              <w:jc w:val="left"/>
              <w:rPr>
                <w:rFonts w:ascii="Arial" w:eastAsia="MS Mincho" w:hAnsi="Arial" w:cs="Arial"/>
                <w:sz w:val="18"/>
                <w:szCs w:val="18"/>
              </w:rPr>
            </w:pPr>
            <w:proofErr w:type="spellStart"/>
            <w:r w:rsidRPr="00D326F8">
              <w:rPr>
                <w:rFonts w:ascii="Arial" w:hAnsi="Arial" w:cs="Arial"/>
                <w:sz w:val="18"/>
                <w:szCs w:val="18"/>
              </w:rPr>
              <w:t>C</w:t>
            </w:r>
            <w:r w:rsidRPr="00D326F8">
              <w:rPr>
                <w:rFonts w:ascii="Arial" w:hAnsi="Arial" w:cs="Arial"/>
                <w:sz w:val="18"/>
                <w:szCs w:val="18"/>
                <w:vertAlign w:val="subscript"/>
              </w:rPr>
              <w:t>min</w:t>
            </w:r>
            <w:proofErr w:type="spellEnd"/>
          </w:p>
        </w:tc>
        <w:tc>
          <w:tcPr>
            <w:tcW w:w="4244" w:type="pct"/>
          </w:tcPr>
          <w:p w14:paraId="601A81A6" w14:textId="77777777" w:rsidR="007322BB" w:rsidRPr="00D326F8" w:rsidRDefault="003E23E4" w:rsidP="007D5243">
            <w:pPr>
              <w:spacing w:before="40" w:after="40"/>
              <w:jc w:val="left"/>
              <w:rPr>
                <w:rFonts w:ascii="Arial" w:eastAsia="MS Mincho" w:hAnsi="Arial" w:cs="Arial"/>
                <w:sz w:val="18"/>
                <w:szCs w:val="18"/>
                <w:lang w:val="en-GB"/>
              </w:rPr>
            </w:pPr>
            <w:r w:rsidRPr="00D326F8">
              <w:rPr>
                <w:rFonts w:ascii="Arial" w:hAnsi="Arial" w:cs="Arial"/>
                <w:sz w:val="18"/>
                <w:szCs w:val="18"/>
                <w:lang w:val="en-GB"/>
              </w:rPr>
              <w:t xml:space="preserve">The minimum observed concentration during a complete dosing interval. </w:t>
            </w:r>
          </w:p>
        </w:tc>
      </w:tr>
      <w:tr w:rsidR="003B74AE" w:rsidRPr="00D326F8" w14:paraId="601A81AA" w14:textId="77777777" w:rsidTr="00AB57CA">
        <w:tc>
          <w:tcPr>
            <w:tcW w:w="756" w:type="pct"/>
            <w:tcBorders>
              <w:top w:val="single" w:sz="4" w:space="0" w:color="auto"/>
              <w:left w:val="single" w:sz="4" w:space="0" w:color="auto"/>
              <w:bottom w:val="single" w:sz="4" w:space="0" w:color="auto"/>
              <w:right w:val="single" w:sz="4" w:space="0" w:color="auto"/>
            </w:tcBorders>
            <w:vAlign w:val="center"/>
            <w:hideMark/>
          </w:tcPr>
          <w:p w14:paraId="601A81A8" w14:textId="77777777" w:rsidR="007322BB"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C</w:t>
            </w:r>
            <w:r w:rsidRPr="00D326F8">
              <w:rPr>
                <w:rFonts w:ascii="Arial" w:eastAsia="MS Mincho" w:hAnsi="Arial"/>
                <w:sz w:val="18"/>
                <w:vertAlign w:val="subscript"/>
                <w:lang w:val="en-GB"/>
              </w:rPr>
              <w:t>max</w:t>
            </w:r>
          </w:p>
        </w:tc>
        <w:tc>
          <w:tcPr>
            <w:tcW w:w="4244" w:type="pct"/>
            <w:tcBorders>
              <w:top w:val="single" w:sz="4" w:space="0" w:color="auto"/>
              <w:left w:val="single" w:sz="4" w:space="0" w:color="auto"/>
              <w:bottom w:val="single" w:sz="4" w:space="0" w:color="auto"/>
              <w:right w:val="single" w:sz="4" w:space="0" w:color="auto"/>
            </w:tcBorders>
            <w:hideMark/>
          </w:tcPr>
          <w:p w14:paraId="601A81A9" w14:textId="77777777" w:rsidR="007322BB"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rPr>
              <w:t xml:space="preserve">Maximum observed concentration. </w:t>
            </w:r>
          </w:p>
        </w:tc>
      </w:tr>
      <w:tr w:rsidR="003B74AE" w:rsidRPr="00D326F8" w14:paraId="601A81AD" w14:textId="77777777" w:rsidTr="00AB57CA">
        <w:tc>
          <w:tcPr>
            <w:tcW w:w="756" w:type="pct"/>
            <w:tcBorders>
              <w:top w:val="single" w:sz="4" w:space="0" w:color="auto"/>
              <w:left w:val="single" w:sz="4" w:space="0" w:color="auto"/>
              <w:bottom w:val="single" w:sz="4" w:space="0" w:color="auto"/>
              <w:right w:val="single" w:sz="4" w:space="0" w:color="auto"/>
            </w:tcBorders>
            <w:vAlign w:val="center"/>
            <w:hideMark/>
          </w:tcPr>
          <w:p w14:paraId="601A81AB" w14:textId="77777777" w:rsidR="007322BB"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t</w:t>
            </w:r>
            <w:r w:rsidRPr="00D326F8">
              <w:rPr>
                <w:rFonts w:ascii="Arial" w:eastAsia="MS Mincho" w:hAnsi="Arial"/>
                <w:sz w:val="18"/>
                <w:vertAlign w:val="subscript"/>
                <w:lang w:val="en-GB"/>
              </w:rPr>
              <w:t>max</w:t>
            </w:r>
          </w:p>
        </w:tc>
        <w:tc>
          <w:tcPr>
            <w:tcW w:w="4244" w:type="pct"/>
            <w:tcBorders>
              <w:top w:val="single" w:sz="4" w:space="0" w:color="auto"/>
              <w:left w:val="single" w:sz="4" w:space="0" w:color="auto"/>
              <w:bottom w:val="single" w:sz="4" w:space="0" w:color="auto"/>
              <w:right w:val="single" w:sz="4" w:space="0" w:color="auto"/>
            </w:tcBorders>
            <w:hideMark/>
          </w:tcPr>
          <w:p w14:paraId="601A81AC" w14:textId="77777777" w:rsidR="007322BB" w:rsidRPr="00D326F8" w:rsidRDefault="003E23E4" w:rsidP="007D5243">
            <w:pPr>
              <w:spacing w:before="40" w:after="40"/>
              <w:jc w:val="left"/>
              <w:rPr>
                <w:rFonts w:ascii="Arial" w:eastAsia="MS Mincho" w:hAnsi="Arial"/>
                <w:sz w:val="18"/>
                <w:lang w:val="en-GB"/>
              </w:rPr>
            </w:pPr>
            <w:r w:rsidRPr="00D326F8">
              <w:rPr>
                <w:rFonts w:ascii="Arial" w:eastAsia="MS Mincho" w:hAnsi="Arial"/>
                <w:sz w:val="18"/>
                <w:lang w:val="en-GB"/>
              </w:rPr>
              <w:t>The time to reach the maximum observed concentration collected during a dosing interval (the 1</w:t>
            </w:r>
            <w:r w:rsidRPr="00D326F8">
              <w:rPr>
                <w:rFonts w:ascii="Arial" w:eastAsia="MS Mincho" w:hAnsi="Arial"/>
                <w:sz w:val="18"/>
                <w:vertAlign w:val="superscript"/>
                <w:lang w:val="en-GB"/>
              </w:rPr>
              <w:t>st</w:t>
            </w:r>
            <w:r w:rsidR="00BA1DD7" w:rsidRPr="00D326F8">
              <w:rPr>
                <w:rFonts w:ascii="Arial" w:eastAsia="MS Mincho" w:hAnsi="Arial"/>
                <w:sz w:val="18"/>
                <w:vertAlign w:val="superscript"/>
                <w:lang w:val="en-GB"/>
              </w:rPr>
              <w:t> </w:t>
            </w:r>
            <w:r w:rsidRPr="00D326F8">
              <w:rPr>
                <w:rFonts w:ascii="Arial" w:eastAsia="MS Mincho" w:hAnsi="Arial"/>
                <w:sz w:val="18"/>
                <w:lang w:val="en-GB"/>
              </w:rPr>
              <w:t>occurrence in the case of multiple/identical C</w:t>
            </w:r>
            <w:r w:rsidRPr="00D326F8">
              <w:rPr>
                <w:rFonts w:ascii="Arial" w:eastAsia="MS Mincho" w:hAnsi="Arial"/>
                <w:sz w:val="18"/>
                <w:vertAlign w:val="subscript"/>
                <w:lang w:val="en-GB"/>
              </w:rPr>
              <w:t>max</w:t>
            </w:r>
            <w:r w:rsidRPr="00D326F8">
              <w:rPr>
                <w:rFonts w:ascii="Arial" w:eastAsia="MS Mincho" w:hAnsi="Arial"/>
                <w:sz w:val="18"/>
                <w:lang w:val="en-GB"/>
              </w:rPr>
              <w:t xml:space="preserve"> values).</w:t>
            </w:r>
          </w:p>
        </w:tc>
      </w:tr>
    </w:tbl>
    <w:p w14:paraId="601A81AF" w14:textId="7A827DCE" w:rsidR="00C80FC6" w:rsidRDefault="003E23E4" w:rsidP="0057019A">
      <w:pPr>
        <w:pStyle w:val="List1withbullet"/>
        <w:numPr>
          <w:ilvl w:val="0"/>
          <w:numId w:val="24"/>
        </w:numPr>
        <w:ind w:left="360"/>
      </w:pPr>
      <w:r w:rsidRPr="00D326F8">
        <w:lastRenderedPageBreak/>
        <w:t xml:space="preserve">Whole blood samples of approximately </w:t>
      </w:r>
      <w:r w:rsidR="00AB57CA" w:rsidRPr="00D326F8">
        <w:t>2</w:t>
      </w:r>
      <w:r w:rsidR="00BA1DD7" w:rsidRPr="00D326F8">
        <w:t> </w:t>
      </w:r>
      <w:r w:rsidRPr="00D326F8">
        <w:t xml:space="preserve">mL per collection for measurement of plasma concentrations of </w:t>
      </w:r>
      <w:r w:rsidR="00AB57CA" w:rsidRPr="00D326F8">
        <w:t>carbamazepine and its metabolite carbamazepine</w:t>
      </w:r>
      <w:r w:rsidR="007D5243" w:rsidRPr="00D326F8">
        <w:noBreakHyphen/>
      </w:r>
      <w:r w:rsidR="00AB57CA" w:rsidRPr="00D326F8">
        <w:t>10,11</w:t>
      </w:r>
      <w:r w:rsidR="007D5243" w:rsidRPr="00D326F8">
        <w:noBreakHyphen/>
      </w:r>
      <w:r w:rsidR="00AB57CA" w:rsidRPr="00D326F8">
        <w:t>epoxide will be collected</w:t>
      </w:r>
      <w:r w:rsidRPr="00D326F8">
        <w:t xml:space="preserve">. Collection times are specified in the </w:t>
      </w:r>
      <w:r w:rsidR="00CF2490" w:rsidRPr="00D326F8">
        <w:t>Schedule of Assessments</w:t>
      </w:r>
      <w:r w:rsidR="00DD5E2A" w:rsidRPr="00D326F8">
        <w:t xml:space="preserve"> (Section </w:t>
      </w:r>
      <w:r w:rsidR="00DD5E2A" w:rsidRPr="00D326F8">
        <w:fldChar w:fldCharType="begin"/>
      </w:r>
      <w:r w:rsidR="00DD5E2A" w:rsidRPr="00D326F8">
        <w:instrText xml:space="preserve"> REF _Ref77583760 \n \h </w:instrText>
      </w:r>
      <w:r w:rsidR="00D326F8">
        <w:instrText xml:space="preserve"> \* MERGEFORMAT </w:instrText>
      </w:r>
      <w:r w:rsidR="00DD5E2A" w:rsidRPr="00D326F8">
        <w:fldChar w:fldCharType="separate"/>
      </w:r>
      <w:r w:rsidR="00173A27">
        <w:t>1.3</w:t>
      </w:r>
      <w:r w:rsidR="00DD5E2A" w:rsidRPr="00D326F8">
        <w:fldChar w:fldCharType="end"/>
      </w:r>
      <w:r w:rsidR="00DD5E2A" w:rsidRPr="00D326F8">
        <w:t>)</w:t>
      </w:r>
      <w:r w:rsidR="00AB57CA" w:rsidRPr="00D326F8">
        <w:t xml:space="preserve"> and in </w:t>
      </w:r>
      <w:r w:rsidR="00DD5E2A" w:rsidRPr="00D326F8">
        <w:fldChar w:fldCharType="begin"/>
      </w:r>
      <w:r w:rsidR="00DD5E2A" w:rsidRPr="00D326F8">
        <w:instrText xml:space="preserve"> REF _Ref77583792 \h </w:instrText>
      </w:r>
      <w:r w:rsidR="00D326F8">
        <w:instrText xml:space="preserve"> \* MERGEFORMAT </w:instrText>
      </w:r>
      <w:r w:rsidR="00DD5E2A" w:rsidRPr="00D326F8">
        <w:fldChar w:fldCharType="separate"/>
      </w:r>
      <w:r w:rsidR="00173A27" w:rsidRPr="00D326F8">
        <w:t xml:space="preserve">Table </w:t>
      </w:r>
      <w:r w:rsidR="00173A27">
        <w:rPr>
          <w:noProof/>
        </w:rPr>
        <w:t>1</w:t>
      </w:r>
      <w:r w:rsidR="00DD5E2A" w:rsidRPr="00D326F8">
        <w:fldChar w:fldCharType="end"/>
      </w:r>
      <w:r w:rsidR="00DD5E2A" w:rsidRPr="00D326F8">
        <w:t xml:space="preserve">. </w:t>
      </w:r>
      <w:r w:rsidR="004039AE" w:rsidRPr="00D326F8">
        <w:t>The actual date and time (24-hour clock time) of each sample will be recorded</w:t>
      </w:r>
      <w:r w:rsidR="00AE5697" w:rsidRPr="00D326F8">
        <w:t xml:space="preserve"> to calculate actual time elapsed since the prior dose administration</w:t>
      </w:r>
      <w:r w:rsidR="004039AE" w:rsidRPr="00D326F8">
        <w:t>.</w:t>
      </w:r>
    </w:p>
    <w:p w14:paraId="25DF1DEE" w14:textId="3D7BA85E" w:rsidR="00A37F85" w:rsidRPr="00A37F85" w:rsidRDefault="00A37F85" w:rsidP="00A37F85">
      <w:pPr>
        <w:pStyle w:val="List2withbullet"/>
        <w:ind w:left="289" w:hanging="289"/>
      </w:pPr>
      <w:r>
        <w:t>Whole blood samples of approximately 2 mL per collection for measurement of plasma concentrations of tepotinib and its metabolites MSC2571109A and MSC2571107A will be collected. Collection times are specified in the Schedule of Assessments (Section </w:t>
      </w:r>
      <w:r>
        <w:fldChar w:fldCharType="begin"/>
      </w:r>
      <w:r>
        <w:instrText xml:space="preserve"> REF _Ref77583760 \n \h </w:instrText>
      </w:r>
      <w:r>
        <w:fldChar w:fldCharType="separate"/>
      </w:r>
      <w:r w:rsidR="00173A27">
        <w:t>1.3</w:t>
      </w:r>
      <w:r>
        <w:fldChar w:fldCharType="end"/>
      </w:r>
      <w:r>
        <w:t xml:space="preserve">) and in </w:t>
      </w:r>
      <w:r>
        <w:fldChar w:fldCharType="begin"/>
      </w:r>
      <w:r>
        <w:instrText xml:space="preserve"> REF _Ref77583803 \h </w:instrText>
      </w:r>
      <w:r>
        <w:fldChar w:fldCharType="separate"/>
      </w:r>
      <w:r w:rsidR="00173A27" w:rsidRPr="00D326F8">
        <w:t xml:space="preserve">Table </w:t>
      </w:r>
      <w:r w:rsidR="00173A27">
        <w:rPr>
          <w:noProof/>
        </w:rPr>
        <w:t>2</w:t>
      </w:r>
      <w:r>
        <w:fldChar w:fldCharType="end"/>
      </w:r>
      <w:r>
        <w:t>. The actual date and time (24</w:t>
      </w:r>
      <w:r>
        <w:noBreakHyphen/>
        <w:t xml:space="preserve">hour clock time) of each sample will be recorded to calculate actual time elapsed since the prior dose administration. </w:t>
      </w:r>
    </w:p>
    <w:p w14:paraId="601A81B2" w14:textId="77777777" w:rsidR="00C80FC6" w:rsidRPr="00D326F8" w:rsidRDefault="003E23E4" w:rsidP="000A67FC">
      <w:pPr>
        <w:pStyle w:val="List2withbullet"/>
        <w:ind w:left="289" w:hanging="289"/>
      </w:pPr>
      <w:r w:rsidRPr="00D326F8">
        <w:rPr>
          <w:color w:val="000000" w:themeColor="text1"/>
        </w:rPr>
        <w:t xml:space="preserve">The quantification of </w:t>
      </w:r>
      <w:r w:rsidR="00AB57CA" w:rsidRPr="00D326F8">
        <w:rPr>
          <w:color w:val="000000" w:themeColor="text1"/>
        </w:rPr>
        <w:t xml:space="preserve">tepotinib and its </w:t>
      </w:r>
      <w:r w:rsidR="00AB57CA" w:rsidRPr="00D326F8">
        <w:t xml:space="preserve">metabolites MSC2571109A and MSC2571107A </w:t>
      </w:r>
      <w:r w:rsidRPr="00D326F8">
        <w:t>in plasma</w:t>
      </w:r>
      <w:r w:rsidR="00AB57CA" w:rsidRPr="00D326F8">
        <w:t xml:space="preserve"> </w:t>
      </w:r>
      <w:r w:rsidRPr="00D326F8">
        <w:t xml:space="preserve">will be performed using a validated assay method. Concentrations will be used to evaluate the PK of </w:t>
      </w:r>
      <w:r w:rsidR="00AB57CA" w:rsidRPr="00D326F8">
        <w:t>tepotinib and its metabolites</w:t>
      </w:r>
      <w:r w:rsidRPr="00D326F8">
        <w:t>.</w:t>
      </w:r>
    </w:p>
    <w:p w14:paraId="601A81B3" w14:textId="3A2AEA55" w:rsidR="00AB57CA" w:rsidRPr="00D326F8" w:rsidRDefault="003E23E4" w:rsidP="0057019A">
      <w:pPr>
        <w:pStyle w:val="List1withbullet"/>
        <w:numPr>
          <w:ilvl w:val="0"/>
          <w:numId w:val="24"/>
        </w:numPr>
        <w:ind w:left="360"/>
      </w:pPr>
      <w:r w:rsidRPr="00D326F8">
        <w:t>The quantification of carbamazepine and its metabolite carbamazepine</w:t>
      </w:r>
      <w:r w:rsidR="007D5243" w:rsidRPr="00D326F8">
        <w:noBreakHyphen/>
      </w:r>
      <w:r w:rsidRPr="00D326F8">
        <w:t>10,11</w:t>
      </w:r>
      <w:r w:rsidR="007D5243" w:rsidRPr="00D326F8">
        <w:noBreakHyphen/>
      </w:r>
      <w:r w:rsidRPr="00D326F8">
        <w:t>epoxide in plasma will be performed using a validated assay method. Concentrations will be used to evaluate the PK of carbamazepine and its metabolite.</w:t>
      </w:r>
    </w:p>
    <w:p w14:paraId="601A81B4" w14:textId="77777777" w:rsidR="00C80FC6" w:rsidRPr="00D326F8" w:rsidRDefault="003E23E4" w:rsidP="0057019A">
      <w:pPr>
        <w:pStyle w:val="List1withbullet"/>
        <w:numPr>
          <w:ilvl w:val="0"/>
          <w:numId w:val="24"/>
        </w:numPr>
        <w:ind w:left="360"/>
      </w:pPr>
      <w:r w:rsidRPr="00D326F8">
        <w:t xml:space="preserve">Remaining samples collected for analyses of </w:t>
      </w:r>
      <w:proofErr w:type="gramStart"/>
      <w:r w:rsidR="00AB57CA" w:rsidRPr="00D326F8">
        <w:t>tepotinib</w:t>
      </w:r>
      <w:proofErr w:type="gramEnd"/>
      <w:r w:rsidR="00AB57CA" w:rsidRPr="00D326F8">
        <w:t xml:space="preserve"> and carbamazepine </w:t>
      </w:r>
      <w:r w:rsidRPr="00D326F8">
        <w:t>concentration may also be used to evaluate safety or efficacy aspects related to concerns arising during or after the study.</w:t>
      </w:r>
    </w:p>
    <w:p w14:paraId="601A81B5" w14:textId="77777777" w:rsidR="00E549E0" w:rsidRPr="00D326F8" w:rsidRDefault="003E23E4" w:rsidP="0057019A">
      <w:pPr>
        <w:pStyle w:val="List1withbullet"/>
        <w:numPr>
          <w:ilvl w:val="0"/>
          <w:numId w:val="24"/>
        </w:numPr>
        <w:ind w:left="360"/>
      </w:pPr>
      <w:r w:rsidRPr="00D326F8">
        <w:t xml:space="preserve">Details on processes for collection and </w:t>
      </w:r>
      <w:r w:rsidR="003A532E" w:rsidRPr="00D326F8">
        <w:t xml:space="preserve">handling </w:t>
      </w:r>
      <w:r w:rsidRPr="00D326F8">
        <w:t xml:space="preserve">of these samples are in </w:t>
      </w:r>
      <w:r w:rsidR="00AB57CA" w:rsidRPr="00D326F8">
        <w:t xml:space="preserve">the </w:t>
      </w:r>
      <w:r w:rsidRPr="00D326F8">
        <w:t>Laboratory Manual. Retention time and possible analyses of samples after the end of study are specified in the respective ICF.</w:t>
      </w:r>
      <w:bookmarkEnd w:id="243"/>
    </w:p>
    <w:p w14:paraId="601A81B6" w14:textId="77777777" w:rsidR="00AB57CA" w:rsidRPr="00D326F8" w:rsidRDefault="003E23E4" w:rsidP="0057019A">
      <w:pPr>
        <w:pStyle w:val="List1withbullet"/>
        <w:numPr>
          <w:ilvl w:val="0"/>
          <w:numId w:val="24"/>
        </w:numPr>
        <w:ind w:left="360"/>
      </w:pPr>
      <w:r w:rsidRPr="00D326F8">
        <w:t xml:space="preserve">PK parameters will be derived using noncompartmental methods with a validated computer program. </w:t>
      </w:r>
    </w:p>
    <w:p w14:paraId="601A81B7" w14:textId="4C94D660" w:rsidR="00AB57CA" w:rsidRPr="00D326F8" w:rsidRDefault="003E23E4" w:rsidP="00A63C92">
      <w:pPr>
        <w:pStyle w:val="BodyText"/>
        <w:spacing w:after="240"/>
      </w:pPr>
      <w:r w:rsidRPr="00D326F8">
        <w:t xml:space="preserve">The exact date and time of sample collection and study intervention (24-hour clock time) must be recorded in the eCRF and will be used in the calculation of PK parameters. The accepted time deviations from planned tepotinib and carbamazepine PK times that will not be considered a protocol violation are listed in </w:t>
      </w:r>
      <w:r w:rsidRPr="00D326F8">
        <w:fldChar w:fldCharType="begin"/>
      </w:r>
      <w:r w:rsidRPr="00D326F8">
        <w:instrText xml:space="preserve"> REF _Ref68117100 \h </w:instrText>
      </w:r>
      <w:r w:rsidR="008D37C0" w:rsidRPr="00D326F8">
        <w:instrText xml:space="preserve"> \* MERGEFORMAT </w:instrText>
      </w:r>
      <w:r w:rsidRPr="00D326F8">
        <w:fldChar w:fldCharType="separate"/>
      </w:r>
      <w:r w:rsidR="00173A27" w:rsidRPr="00D326F8">
        <w:t xml:space="preserve">Table </w:t>
      </w:r>
      <w:r w:rsidR="00173A27">
        <w:rPr>
          <w:noProof/>
        </w:rPr>
        <w:t>3</w:t>
      </w:r>
      <w:r w:rsidRPr="00D326F8">
        <w:fldChar w:fldCharType="end"/>
      </w:r>
      <w:r w:rsidRPr="00D326F8">
        <w:t>:</w:t>
      </w:r>
    </w:p>
    <w:p w14:paraId="601A81B8" w14:textId="7828D513" w:rsidR="00AB57CA" w:rsidRPr="00D326F8" w:rsidRDefault="003E23E4" w:rsidP="00AB57CA">
      <w:pPr>
        <w:pStyle w:val="Caption"/>
      </w:pPr>
      <w:bookmarkStart w:id="246" w:name="_Ref68117100"/>
      <w:bookmarkStart w:id="247" w:name="_Toc70591302"/>
      <w:bookmarkStart w:id="248" w:name="_Toc77839801"/>
      <w:r w:rsidRPr="00D326F8">
        <w:t xml:space="preserve">Table </w:t>
      </w:r>
      <w:r w:rsidRPr="00D326F8">
        <w:fldChar w:fldCharType="begin"/>
      </w:r>
      <w:r w:rsidRPr="00D326F8">
        <w:instrText xml:space="preserve"> SEQ Table \* ARABIC </w:instrText>
      </w:r>
      <w:r w:rsidRPr="00D326F8">
        <w:fldChar w:fldCharType="separate"/>
      </w:r>
      <w:r w:rsidR="00173A27">
        <w:rPr>
          <w:noProof/>
        </w:rPr>
        <w:t>3</w:t>
      </w:r>
      <w:r w:rsidRPr="00D326F8">
        <w:fldChar w:fldCharType="end"/>
      </w:r>
      <w:bookmarkEnd w:id="246"/>
      <w:r w:rsidRPr="00D326F8">
        <w:tab/>
        <w:t>PK Sampling Time Windows</w:t>
      </w:r>
      <w:bookmarkEnd w:id="247"/>
      <w:bookmarkEnd w:id="2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3395"/>
        <w:gridCol w:w="3054"/>
      </w:tblGrid>
      <w:tr w:rsidR="003B74AE" w:rsidRPr="00D326F8" w14:paraId="601A81BC" w14:textId="77777777" w:rsidTr="00AB57CA">
        <w:tc>
          <w:tcPr>
            <w:tcW w:w="1484" w:type="pct"/>
            <w:tcBorders>
              <w:top w:val="single" w:sz="4" w:space="0" w:color="auto"/>
              <w:left w:val="single" w:sz="4" w:space="0" w:color="auto"/>
              <w:bottom w:val="single" w:sz="4" w:space="0" w:color="auto"/>
              <w:right w:val="single" w:sz="4" w:space="0" w:color="auto"/>
            </w:tcBorders>
            <w:vAlign w:val="center"/>
            <w:hideMark/>
          </w:tcPr>
          <w:p w14:paraId="601A81B9" w14:textId="77777777" w:rsidR="00AB57CA" w:rsidRPr="00D326F8" w:rsidRDefault="003E23E4">
            <w:pPr>
              <w:pStyle w:val="Tableheading"/>
            </w:pPr>
            <w:r w:rsidRPr="00D326F8">
              <w:t>Procedure</w:t>
            </w:r>
          </w:p>
        </w:tc>
        <w:tc>
          <w:tcPr>
            <w:tcW w:w="1851" w:type="pct"/>
            <w:tcBorders>
              <w:top w:val="single" w:sz="4" w:space="0" w:color="auto"/>
              <w:left w:val="single" w:sz="4" w:space="0" w:color="auto"/>
              <w:bottom w:val="single" w:sz="4" w:space="0" w:color="auto"/>
              <w:right w:val="single" w:sz="4" w:space="0" w:color="auto"/>
            </w:tcBorders>
            <w:hideMark/>
          </w:tcPr>
          <w:p w14:paraId="601A81BA" w14:textId="77777777" w:rsidR="00AB57CA" w:rsidRPr="00D326F8" w:rsidRDefault="003E23E4">
            <w:pPr>
              <w:pStyle w:val="Tableheading"/>
            </w:pPr>
            <w:r w:rsidRPr="00D326F8">
              <w:t>Time Point (Relative Time)</w:t>
            </w:r>
          </w:p>
        </w:tc>
        <w:tc>
          <w:tcPr>
            <w:tcW w:w="1665" w:type="pct"/>
            <w:tcBorders>
              <w:top w:val="single" w:sz="4" w:space="0" w:color="auto"/>
              <w:left w:val="single" w:sz="4" w:space="0" w:color="auto"/>
              <w:bottom w:val="single" w:sz="4" w:space="0" w:color="auto"/>
              <w:right w:val="single" w:sz="4" w:space="0" w:color="auto"/>
            </w:tcBorders>
            <w:hideMark/>
          </w:tcPr>
          <w:p w14:paraId="601A81BB" w14:textId="77777777" w:rsidR="00AB57CA" w:rsidRPr="00D326F8" w:rsidRDefault="003E23E4">
            <w:pPr>
              <w:pStyle w:val="Tableheading"/>
            </w:pPr>
            <w:r w:rsidRPr="00D326F8">
              <w:t>Window Allowance</w:t>
            </w:r>
          </w:p>
        </w:tc>
      </w:tr>
      <w:tr w:rsidR="003B74AE" w:rsidRPr="00D326F8" w14:paraId="601A81C0" w14:textId="77777777" w:rsidTr="00AB57CA">
        <w:tc>
          <w:tcPr>
            <w:tcW w:w="1484" w:type="pct"/>
            <w:vMerge w:val="restart"/>
            <w:tcBorders>
              <w:top w:val="single" w:sz="4" w:space="0" w:color="auto"/>
              <w:left w:val="single" w:sz="4" w:space="0" w:color="auto"/>
              <w:bottom w:val="single" w:sz="4" w:space="0" w:color="auto"/>
              <w:right w:val="single" w:sz="4" w:space="0" w:color="auto"/>
            </w:tcBorders>
            <w:vAlign w:val="center"/>
            <w:hideMark/>
          </w:tcPr>
          <w:p w14:paraId="601A81BD" w14:textId="77777777" w:rsidR="00AB57CA" w:rsidRPr="00D326F8" w:rsidRDefault="003E23E4">
            <w:pPr>
              <w:pStyle w:val="Tabletext"/>
              <w:keepNext/>
            </w:pPr>
            <w:r w:rsidRPr="00D326F8">
              <w:t>Pharmacokinetics</w:t>
            </w:r>
          </w:p>
        </w:tc>
        <w:tc>
          <w:tcPr>
            <w:tcW w:w="1851" w:type="pct"/>
            <w:tcBorders>
              <w:top w:val="single" w:sz="4" w:space="0" w:color="auto"/>
              <w:left w:val="single" w:sz="4" w:space="0" w:color="auto"/>
              <w:bottom w:val="single" w:sz="4" w:space="0" w:color="auto"/>
              <w:right w:val="single" w:sz="4" w:space="0" w:color="auto"/>
            </w:tcBorders>
            <w:vAlign w:val="center"/>
            <w:hideMark/>
          </w:tcPr>
          <w:p w14:paraId="601A81BE" w14:textId="77777777" w:rsidR="00AB57CA" w:rsidRPr="00D326F8" w:rsidRDefault="003E23E4">
            <w:pPr>
              <w:pStyle w:val="Tabletext"/>
              <w:keepNext/>
              <w:jc w:val="center"/>
            </w:pPr>
            <w:r w:rsidRPr="00D326F8">
              <w:t>Predose</w:t>
            </w:r>
          </w:p>
        </w:tc>
        <w:tc>
          <w:tcPr>
            <w:tcW w:w="1665" w:type="pct"/>
            <w:tcBorders>
              <w:top w:val="single" w:sz="4" w:space="0" w:color="auto"/>
              <w:left w:val="single" w:sz="4" w:space="0" w:color="auto"/>
              <w:bottom w:val="single" w:sz="4" w:space="0" w:color="auto"/>
              <w:right w:val="single" w:sz="4" w:space="0" w:color="auto"/>
            </w:tcBorders>
            <w:vAlign w:val="center"/>
            <w:hideMark/>
          </w:tcPr>
          <w:p w14:paraId="601A81BF" w14:textId="77777777" w:rsidR="00AB57CA" w:rsidRPr="00D326F8" w:rsidRDefault="003E23E4">
            <w:pPr>
              <w:pStyle w:val="Tabletext"/>
              <w:keepNext/>
              <w:jc w:val="center"/>
            </w:pPr>
            <w:r w:rsidRPr="00D326F8">
              <w:t>- 60 min</w:t>
            </w:r>
          </w:p>
        </w:tc>
      </w:tr>
      <w:tr w:rsidR="003B74AE" w:rsidRPr="00D326F8" w14:paraId="601A81C4" w14:textId="77777777" w:rsidTr="00AB57CA">
        <w:tc>
          <w:tcPr>
            <w:tcW w:w="0" w:type="auto"/>
            <w:vMerge/>
            <w:tcBorders>
              <w:top w:val="single" w:sz="4" w:space="0" w:color="auto"/>
              <w:left w:val="single" w:sz="4" w:space="0" w:color="auto"/>
              <w:bottom w:val="single" w:sz="4" w:space="0" w:color="auto"/>
              <w:right w:val="single" w:sz="4" w:space="0" w:color="auto"/>
            </w:tcBorders>
            <w:vAlign w:val="center"/>
            <w:hideMark/>
          </w:tcPr>
          <w:p w14:paraId="601A81C1" w14:textId="77777777" w:rsidR="00AB57CA" w:rsidRPr="00D326F8" w:rsidRDefault="00AB57CA">
            <w:pPr>
              <w:spacing w:before="0"/>
              <w:jc w:val="left"/>
              <w:rPr>
                <w:rFonts w:ascii="Arial" w:hAnsi="Arial"/>
                <w:sz w:val="18"/>
              </w:rPr>
            </w:pPr>
          </w:p>
        </w:tc>
        <w:tc>
          <w:tcPr>
            <w:tcW w:w="1851" w:type="pct"/>
            <w:tcBorders>
              <w:top w:val="single" w:sz="4" w:space="0" w:color="auto"/>
              <w:left w:val="single" w:sz="4" w:space="0" w:color="auto"/>
              <w:bottom w:val="single" w:sz="4" w:space="0" w:color="auto"/>
              <w:right w:val="single" w:sz="4" w:space="0" w:color="auto"/>
            </w:tcBorders>
            <w:vAlign w:val="center"/>
            <w:hideMark/>
          </w:tcPr>
          <w:p w14:paraId="601A81C2" w14:textId="77777777" w:rsidR="00AB57CA" w:rsidRPr="00D326F8" w:rsidRDefault="003E23E4">
            <w:pPr>
              <w:pStyle w:val="Tabletext"/>
              <w:keepNext/>
              <w:jc w:val="center"/>
            </w:pPr>
            <w:r w:rsidRPr="00D326F8">
              <w:t>1 hour to 12 hours postdose</w:t>
            </w:r>
          </w:p>
        </w:tc>
        <w:tc>
          <w:tcPr>
            <w:tcW w:w="1665" w:type="pct"/>
            <w:tcBorders>
              <w:top w:val="single" w:sz="4" w:space="0" w:color="auto"/>
              <w:left w:val="single" w:sz="4" w:space="0" w:color="auto"/>
              <w:bottom w:val="single" w:sz="4" w:space="0" w:color="auto"/>
              <w:right w:val="single" w:sz="4" w:space="0" w:color="auto"/>
            </w:tcBorders>
            <w:vAlign w:val="center"/>
            <w:hideMark/>
          </w:tcPr>
          <w:p w14:paraId="601A81C3" w14:textId="77777777" w:rsidR="00AB57CA" w:rsidRPr="00D326F8" w:rsidRDefault="003E23E4">
            <w:pPr>
              <w:pStyle w:val="Tabletext"/>
              <w:keepNext/>
              <w:jc w:val="center"/>
            </w:pPr>
            <w:r w:rsidRPr="00D326F8">
              <w:t>- 5 / + 5 min</w:t>
            </w:r>
          </w:p>
        </w:tc>
      </w:tr>
      <w:tr w:rsidR="003B74AE" w:rsidRPr="00D326F8" w14:paraId="601A81C8" w14:textId="77777777" w:rsidTr="00AB57CA">
        <w:tc>
          <w:tcPr>
            <w:tcW w:w="0" w:type="auto"/>
            <w:vMerge/>
            <w:tcBorders>
              <w:top w:val="single" w:sz="4" w:space="0" w:color="auto"/>
              <w:left w:val="single" w:sz="4" w:space="0" w:color="auto"/>
              <w:bottom w:val="single" w:sz="4" w:space="0" w:color="auto"/>
              <w:right w:val="single" w:sz="4" w:space="0" w:color="auto"/>
            </w:tcBorders>
            <w:vAlign w:val="center"/>
            <w:hideMark/>
          </w:tcPr>
          <w:p w14:paraId="601A81C5" w14:textId="77777777" w:rsidR="00AB57CA" w:rsidRPr="00D326F8" w:rsidRDefault="00AB57CA">
            <w:pPr>
              <w:spacing w:before="0"/>
              <w:jc w:val="left"/>
              <w:rPr>
                <w:rFonts w:ascii="Arial" w:hAnsi="Arial"/>
                <w:sz w:val="18"/>
              </w:rPr>
            </w:pPr>
          </w:p>
        </w:tc>
        <w:tc>
          <w:tcPr>
            <w:tcW w:w="1851" w:type="pct"/>
            <w:tcBorders>
              <w:top w:val="single" w:sz="4" w:space="0" w:color="auto"/>
              <w:left w:val="single" w:sz="4" w:space="0" w:color="auto"/>
              <w:bottom w:val="single" w:sz="4" w:space="0" w:color="auto"/>
              <w:right w:val="single" w:sz="4" w:space="0" w:color="auto"/>
            </w:tcBorders>
            <w:vAlign w:val="center"/>
            <w:hideMark/>
          </w:tcPr>
          <w:p w14:paraId="601A81C6" w14:textId="77777777" w:rsidR="00AB57CA" w:rsidRPr="00D326F8" w:rsidRDefault="003E23E4">
            <w:pPr>
              <w:pStyle w:val="Tabletext"/>
              <w:keepNext/>
              <w:jc w:val="center"/>
            </w:pPr>
            <w:r w:rsidRPr="00D326F8">
              <w:t>&gt; 12 h to 24 hours postdose</w:t>
            </w:r>
          </w:p>
        </w:tc>
        <w:tc>
          <w:tcPr>
            <w:tcW w:w="1665" w:type="pct"/>
            <w:tcBorders>
              <w:top w:val="single" w:sz="4" w:space="0" w:color="auto"/>
              <w:left w:val="single" w:sz="4" w:space="0" w:color="auto"/>
              <w:bottom w:val="single" w:sz="4" w:space="0" w:color="auto"/>
              <w:right w:val="single" w:sz="4" w:space="0" w:color="auto"/>
            </w:tcBorders>
            <w:vAlign w:val="center"/>
            <w:hideMark/>
          </w:tcPr>
          <w:p w14:paraId="601A81C7" w14:textId="77777777" w:rsidR="00AB57CA" w:rsidRPr="00D326F8" w:rsidRDefault="003E23E4">
            <w:pPr>
              <w:pStyle w:val="Tabletext"/>
              <w:keepNext/>
              <w:jc w:val="center"/>
            </w:pPr>
            <w:r w:rsidRPr="00D326F8">
              <w:t>- 30 / + 30 min</w:t>
            </w:r>
          </w:p>
        </w:tc>
      </w:tr>
      <w:tr w:rsidR="003B74AE" w:rsidRPr="00D326F8" w14:paraId="601A81CC" w14:textId="77777777" w:rsidTr="00AB57CA">
        <w:tc>
          <w:tcPr>
            <w:tcW w:w="0" w:type="auto"/>
            <w:vMerge/>
            <w:tcBorders>
              <w:top w:val="single" w:sz="4" w:space="0" w:color="auto"/>
              <w:left w:val="single" w:sz="4" w:space="0" w:color="auto"/>
              <w:bottom w:val="single" w:sz="4" w:space="0" w:color="auto"/>
              <w:right w:val="single" w:sz="4" w:space="0" w:color="auto"/>
            </w:tcBorders>
            <w:vAlign w:val="center"/>
            <w:hideMark/>
          </w:tcPr>
          <w:p w14:paraId="601A81C9" w14:textId="77777777" w:rsidR="00AB57CA" w:rsidRPr="00D326F8" w:rsidRDefault="00AB57CA">
            <w:pPr>
              <w:spacing w:before="0"/>
              <w:jc w:val="left"/>
              <w:rPr>
                <w:rFonts w:ascii="Arial" w:hAnsi="Arial"/>
                <w:sz w:val="18"/>
              </w:rPr>
            </w:pPr>
          </w:p>
        </w:tc>
        <w:tc>
          <w:tcPr>
            <w:tcW w:w="1851" w:type="pct"/>
            <w:tcBorders>
              <w:top w:val="single" w:sz="4" w:space="0" w:color="auto"/>
              <w:left w:val="single" w:sz="4" w:space="0" w:color="auto"/>
              <w:bottom w:val="single" w:sz="4" w:space="0" w:color="auto"/>
              <w:right w:val="single" w:sz="4" w:space="0" w:color="auto"/>
            </w:tcBorders>
            <w:vAlign w:val="center"/>
            <w:hideMark/>
          </w:tcPr>
          <w:p w14:paraId="601A81CA" w14:textId="77777777" w:rsidR="00AB57CA" w:rsidRPr="00D326F8" w:rsidRDefault="003E23E4">
            <w:pPr>
              <w:pStyle w:val="Tabletext"/>
              <w:keepNext/>
              <w:jc w:val="center"/>
            </w:pPr>
            <w:r w:rsidRPr="00D326F8">
              <w:t>&gt; 24 to 72 hours postdose</w:t>
            </w:r>
          </w:p>
        </w:tc>
        <w:tc>
          <w:tcPr>
            <w:tcW w:w="1665" w:type="pct"/>
            <w:tcBorders>
              <w:top w:val="single" w:sz="4" w:space="0" w:color="auto"/>
              <w:left w:val="single" w:sz="4" w:space="0" w:color="auto"/>
              <w:bottom w:val="single" w:sz="4" w:space="0" w:color="auto"/>
              <w:right w:val="single" w:sz="4" w:space="0" w:color="auto"/>
            </w:tcBorders>
            <w:vAlign w:val="center"/>
            <w:hideMark/>
          </w:tcPr>
          <w:p w14:paraId="601A81CB" w14:textId="77777777" w:rsidR="00AB57CA" w:rsidRPr="00D326F8" w:rsidRDefault="003E23E4">
            <w:pPr>
              <w:pStyle w:val="Tabletext"/>
              <w:keepNext/>
              <w:jc w:val="center"/>
            </w:pPr>
            <w:r w:rsidRPr="00D326F8">
              <w:t>- 60 / + 60 min</w:t>
            </w:r>
          </w:p>
        </w:tc>
      </w:tr>
      <w:tr w:rsidR="003B74AE" w:rsidRPr="00D326F8" w14:paraId="601A81D0" w14:textId="77777777" w:rsidTr="00AB57CA">
        <w:tc>
          <w:tcPr>
            <w:tcW w:w="0" w:type="auto"/>
            <w:vMerge/>
            <w:tcBorders>
              <w:top w:val="single" w:sz="4" w:space="0" w:color="auto"/>
              <w:left w:val="single" w:sz="4" w:space="0" w:color="auto"/>
              <w:bottom w:val="single" w:sz="4" w:space="0" w:color="auto"/>
              <w:right w:val="single" w:sz="4" w:space="0" w:color="auto"/>
            </w:tcBorders>
            <w:vAlign w:val="center"/>
            <w:hideMark/>
          </w:tcPr>
          <w:p w14:paraId="601A81CD" w14:textId="77777777" w:rsidR="00AB57CA" w:rsidRPr="00D326F8" w:rsidRDefault="00AB57CA">
            <w:pPr>
              <w:spacing w:before="0"/>
              <w:jc w:val="left"/>
              <w:rPr>
                <w:rFonts w:ascii="Arial" w:hAnsi="Arial"/>
                <w:sz w:val="18"/>
              </w:rPr>
            </w:pPr>
          </w:p>
        </w:tc>
        <w:tc>
          <w:tcPr>
            <w:tcW w:w="1851" w:type="pct"/>
            <w:tcBorders>
              <w:top w:val="single" w:sz="4" w:space="0" w:color="auto"/>
              <w:left w:val="single" w:sz="4" w:space="0" w:color="auto"/>
              <w:bottom w:val="single" w:sz="4" w:space="0" w:color="auto"/>
              <w:right w:val="single" w:sz="4" w:space="0" w:color="auto"/>
            </w:tcBorders>
            <w:vAlign w:val="center"/>
            <w:hideMark/>
          </w:tcPr>
          <w:p w14:paraId="601A81CE" w14:textId="77777777" w:rsidR="00AB57CA" w:rsidRPr="00D326F8" w:rsidRDefault="003E23E4">
            <w:pPr>
              <w:pStyle w:val="Tabletext"/>
              <w:keepNext/>
              <w:jc w:val="center"/>
            </w:pPr>
            <w:r w:rsidRPr="00D326F8">
              <w:t>&gt; 72 to 168 hours postdose</w:t>
            </w:r>
          </w:p>
        </w:tc>
        <w:tc>
          <w:tcPr>
            <w:tcW w:w="1665" w:type="pct"/>
            <w:tcBorders>
              <w:top w:val="single" w:sz="4" w:space="0" w:color="auto"/>
              <w:left w:val="single" w:sz="4" w:space="0" w:color="auto"/>
              <w:bottom w:val="single" w:sz="4" w:space="0" w:color="auto"/>
              <w:right w:val="single" w:sz="4" w:space="0" w:color="auto"/>
            </w:tcBorders>
            <w:vAlign w:val="center"/>
            <w:hideMark/>
          </w:tcPr>
          <w:p w14:paraId="601A81CF" w14:textId="77777777" w:rsidR="00AB57CA" w:rsidRPr="00D326F8" w:rsidRDefault="003E23E4">
            <w:pPr>
              <w:pStyle w:val="Tabletext"/>
              <w:keepNext/>
              <w:jc w:val="center"/>
            </w:pPr>
            <w:r w:rsidRPr="00D326F8">
              <w:t>- 180 / + 180 min</w:t>
            </w:r>
          </w:p>
        </w:tc>
      </w:tr>
    </w:tbl>
    <w:p w14:paraId="601A81D1" w14:textId="77777777" w:rsidR="00AB57CA" w:rsidRPr="00D326F8" w:rsidRDefault="003E23E4" w:rsidP="00AB57CA">
      <w:pPr>
        <w:pStyle w:val="List2withoutbullet"/>
        <w:ind w:left="0"/>
      </w:pPr>
      <w:r w:rsidRPr="00D326F8">
        <w:t>Any deviation from the above-mentioned time windows requires a comment in the eCRF and may be discussed in the data review meeting.</w:t>
      </w:r>
    </w:p>
    <w:p w14:paraId="601A81D2" w14:textId="77777777" w:rsidR="002D5216" w:rsidRPr="00D326F8" w:rsidRDefault="003E23E4" w:rsidP="00603353">
      <w:pPr>
        <w:pStyle w:val="Heading2"/>
        <w:tabs>
          <w:tab w:val="clear" w:pos="4896"/>
          <w:tab w:val="num" w:pos="5130"/>
        </w:tabs>
        <w:ind w:left="1890" w:hanging="1890"/>
      </w:pPr>
      <w:bookmarkStart w:id="249" w:name="_Toc63944489"/>
      <w:bookmarkStart w:id="250" w:name="_Toc63944490"/>
      <w:bookmarkStart w:id="251" w:name="_Toc63944491"/>
      <w:bookmarkStart w:id="252" w:name="_Toc63944492"/>
      <w:bookmarkStart w:id="253" w:name="_Toc63944493"/>
      <w:bookmarkStart w:id="254" w:name="_Toc63944494"/>
      <w:bookmarkStart w:id="255" w:name="_Toc63944495"/>
      <w:bookmarkStart w:id="256" w:name="_Ref74914753"/>
      <w:bookmarkStart w:id="257" w:name="_Toc77839777"/>
      <w:bookmarkStart w:id="258" w:name="_Hlk498008509"/>
      <w:bookmarkEnd w:id="249"/>
      <w:bookmarkEnd w:id="250"/>
      <w:bookmarkEnd w:id="251"/>
      <w:bookmarkEnd w:id="252"/>
      <w:bookmarkEnd w:id="253"/>
      <w:bookmarkEnd w:id="254"/>
      <w:bookmarkEnd w:id="255"/>
      <w:r w:rsidRPr="00D326F8">
        <w:rPr>
          <w:rStyle w:val="CPTVariable"/>
          <w:color w:val="auto"/>
        </w:rPr>
        <w:lastRenderedPageBreak/>
        <w:t>Pharmacogen</w:t>
      </w:r>
      <w:r w:rsidR="000273EB" w:rsidRPr="00D326F8">
        <w:rPr>
          <w:rStyle w:val="CPTVariable"/>
          <w:color w:val="auto"/>
        </w:rPr>
        <w:t>etics</w:t>
      </w:r>
      <w:bookmarkEnd w:id="256"/>
      <w:bookmarkEnd w:id="257"/>
    </w:p>
    <w:p w14:paraId="601A81D3" w14:textId="77777777" w:rsidR="005005EB" w:rsidRPr="00D326F8" w:rsidRDefault="003E23E4" w:rsidP="0057019A">
      <w:pPr>
        <w:pStyle w:val="List1withbullet"/>
        <w:numPr>
          <w:ilvl w:val="0"/>
          <w:numId w:val="24"/>
        </w:numPr>
        <w:ind w:left="360"/>
      </w:pPr>
      <w:r w:rsidRPr="00D326F8">
        <w:t xml:space="preserve">Samples are collected only </w:t>
      </w:r>
      <w:proofErr w:type="gramStart"/>
      <w:r w:rsidRPr="00D326F8">
        <w:t>where</w:t>
      </w:r>
      <w:proofErr w:type="gramEnd"/>
      <w:r w:rsidRPr="00D326F8">
        <w:t xml:space="preserve"> allowed by local law/regulations.</w:t>
      </w:r>
    </w:p>
    <w:p w14:paraId="601A81D4" w14:textId="2E643269" w:rsidR="00C74264" w:rsidRPr="00D326F8" w:rsidRDefault="003E23E4" w:rsidP="0057019A">
      <w:pPr>
        <w:pStyle w:val="List1withbullet"/>
        <w:numPr>
          <w:ilvl w:val="0"/>
          <w:numId w:val="24"/>
        </w:numPr>
        <w:ind w:left="360"/>
      </w:pPr>
      <w:r w:rsidRPr="00D326F8">
        <w:t xml:space="preserve">Where local regulations and IRB/IEC allow, a blood sample of approximately </w:t>
      </w:r>
      <w:r w:rsidR="00524617" w:rsidRPr="00D326F8">
        <w:t>2</w:t>
      </w:r>
      <w:r w:rsidR="00E27D2E" w:rsidRPr="00D326F8">
        <w:t> </w:t>
      </w:r>
      <w:r w:rsidR="00524617" w:rsidRPr="00D326F8">
        <w:t>×</w:t>
      </w:r>
      <w:r w:rsidR="00E27D2E" w:rsidRPr="00D326F8">
        <w:t> </w:t>
      </w:r>
      <w:r w:rsidR="00524617" w:rsidRPr="00D326F8">
        <w:t>2</w:t>
      </w:r>
      <w:r w:rsidR="00BA1DD7" w:rsidRPr="00D326F8">
        <w:t> </w:t>
      </w:r>
      <w:r w:rsidRPr="00D326F8">
        <w:t>mL</w:t>
      </w:r>
      <w:r w:rsidR="009F0503" w:rsidRPr="00D326F8">
        <w:t xml:space="preserve"> </w:t>
      </w:r>
      <w:r w:rsidRPr="00D326F8">
        <w:t xml:space="preserve">will be collected for DNA analysis from consenting participants. Collection time is specified in the </w:t>
      </w:r>
      <w:r w:rsidR="00CF2490" w:rsidRPr="00D326F8">
        <w:t>Schedule of Assessments</w:t>
      </w:r>
      <w:r w:rsidR="004421FE" w:rsidRPr="00D326F8">
        <w:t xml:space="preserve"> (Section </w:t>
      </w:r>
      <w:r w:rsidR="004421FE" w:rsidRPr="00D326F8">
        <w:fldChar w:fldCharType="begin"/>
      </w:r>
      <w:r w:rsidR="004421FE" w:rsidRPr="00D326F8">
        <w:instrText xml:space="preserve"> REF _Ref77583760 \r \h </w:instrText>
      </w:r>
      <w:r w:rsidR="008D37C0" w:rsidRPr="00D326F8">
        <w:instrText xml:space="preserve"> \* MERGEFORMAT </w:instrText>
      </w:r>
      <w:r w:rsidR="004421FE" w:rsidRPr="00D326F8">
        <w:fldChar w:fldCharType="separate"/>
      </w:r>
      <w:r w:rsidR="00173A27">
        <w:t>1.3</w:t>
      </w:r>
      <w:r w:rsidR="004421FE" w:rsidRPr="00D326F8">
        <w:fldChar w:fldCharType="end"/>
      </w:r>
      <w:r w:rsidR="004421FE" w:rsidRPr="00D326F8">
        <w:t>)</w:t>
      </w:r>
      <w:r w:rsidRPr="00D326F8">
        <w:t>.</w:t>
      </w:r>
    </w:p>
    <w:p w14:paraId="601A81D5" w14:textId="77777777" w:rsidR="002D5216" w:rsidRPr="00D326F8" w:rsidRDefault="003E23E4" w:rsidP="0057019A">
      <w:pPr>
        <w:pStyle w:val="List1withbullet"/>
        <w:numPr>
          <w:ilvl w:val="0"/>
          <w:numId w:val="24"/>
        </w:numPr>
        <w:ind w:left="360"/>
      </w:pPr>
      <w:r w:rsidRPr="00D326F8">
        <w:t xml:space="preserve">In the event of DNA extraction failure, a replacement sample </w:t>
      </w:r>
      <w:r w:rsidR="008D06A8" w:rsidRPr="00D326F8">
        <w:t xml:space="preserve">for </w:t>
      </w:r>
      <w:r w:rsidR="000273EB" w:rsidRPr="00D326F8">
        <w:t>pharmacogenetic</w:t>
      </w:r>
      <w:r w:rsidR="0024645E" w:rsidRPr="00D326F8">
        <w:t xml:space="preserve"> </w:t>
      </w:r>
      <w:r w:rsidR="008D06A8" w:rsidRPr="00D326F8">
        <w:t xml:space="preserve">testing </w:t>
      </w:r>
      <w:r w:rsidRPr="00D326F8">
        <w:t>may be requested from the participant.</w:t>
      </w:r>
      <w:r w:rsidR="00665EE6" w:rsidRPr="00D326F8">
        <w:t xml:space="preserve"> </w:t>
      </w:r>
      <w:r w:rsidRPr="00D326F8">
        <w:t>Additional informed consent will not be required to obtain a replacement sample.</w:t>
      </w:r>
    </w:p>
    <w:p w14:paraId="601A81D6" w14:textId="54EEA469" w:rsidR="003D3640" w:rsidRPr="00D326F8" w:rsidRDefault="002E504A" w:rsidP="0057019A">
      <w:pPr>
        <w:pStyle w:val="List1withbullet"/>
        <w:numPr>
          <w:ilvl w:val="0"/>
          <w:numId w:val="24"/>
        </w:numPr>
        <w:ind w:left="360"/>
      </w:pPr>
      <w:hyperlink w:anchor="_Appendix_6_Pharmacogenetics" w:history="1">
        <w:r w:rsidR="000273EB" w:rsidRPr="00D326F8">
          <w:rPr>
            <w:rStyle w:val="Hyperlink"/>
            <w:color w:val="auto"/>
          </w:rPr>
          <w:t>Appendix 6</w:t>
        </w:r>
      </w:hyperlink>
      <w:r w:rsidR="008E2C4C" w:rsidRPr="00D326F8">
        <w:t xml:space="preserve"> provides further information on </w:t>
      </w:r>
      <w:r w:rsidR="005843D4" w:rsidRPr="00D326F8">
        <w:t>pharmacogen</w:t>
      </w:r>
      <w:r w:rsidR="000273EB" w:rsidRPr="00D326F8">
        <w:t>etic</w:t>
      </w:r>
      <w:r w:rsidR="008E2C4C" w:rsidRPr="00D326F8">
        <w:t xml:space="preserve"> research.</w:t>
      </w:r>
    </w:p>
    <w:p w14:paraId="601A81D7" w14:textId="77777777" w:rsidR="002D5216" w:rsidRPr="00D326F8" w:rsidRDefault="003E23E4" w:rsidP="0023673D">
      <w:pPr>
        <w:pStyle w:val="Heading2"/>
        <w:tabs>
          <w:tab w:val="clear" w:pos="4896"/>
          <w:tab w:val="num" w:pos="5130"/>
        </w:tabs>
        <w:ind w:left="1890" w:hanging="1890"/>
      </w:pPr>
      <w:bookmarkStart w:id="259" w:name="_Toc77839778"/>
      <w:bookmarkStart w:id="260" w:name="_Hlk496177548"/>
      <w:bookmarkEnd w:id="258"/>
      <w:r w:rsidRPr="00D326F8">
        <w:t>Biomarkers</w:t>
      </w:r>
      <w:bookmarkEnd w:id="259"/>
    </w:p>
    <w:p w14:paraId="601A81D8" w14:textId="77777777" w:rsidR="00AB57CA" w:rsidRPr="00D326F8" w:rsidRDefault="003E23E4" w:rsidP="00AB57CA">
      <w:pPr>
        <w:pStyle w:val="BodyText"/>
      </w:pPr>
      <w:r w:rsidRPr="00D326F8">
        <w:t>Not applicable.</w:t>
      </w:r>
    </w:p>
    <w:p w14:paraId="601A81D9" w14:textId="77777777" w:rsidR="003A532E" w:rsidRPr="00D326F8" w:rsidRDefault="003E23E4" w:rsidP="0023673D">
      <w:pPr>
        <w:pStyle w:val="Heading2"/>
        <w:tabs>
          <w:tab w:val="clear" w:pos="4896"/>
          <w:tab w:val="num" w:pos="5040"/>
        </w:tabs>
        <w:ind w:left="1980"/>
      </w:pPr>
      <w:bookmarkStart w:id="261" w:name="_Toc77839779"/>
      <w:bookmarkEnd w:id="260"/>
      <w:r w:rsidRPr="00D326F8">
        <w:t>Immunogenicity Assessments</w:t>
      </w:r>
      <w:bookmarkEnd w:id="261"/>
    </w:p>
    <w:p w14:paraId="601A81DA" w14:textId="77777777" w:rsidR="000273EB" w:rsidRPr="00D326F8" w:rsidRDefault="003E23E4" w:rsidP="000273EB">
      <w:pPr>
        <w:pStyle w:val="BodyText"/>
      </w:pPr>
      <w:r w:rsidRPr="00D326F8">
        <w:t>Not applicable.</w:t>
      </w:r>
    </w:p>
    <w:p w14:paraId="601A81DB" w14:textId="77777777" w:rsidR="002D5216" w:rsidRPr="00D326F8" w:rsidRDefault="003E23E4" w:rsidP="0042747B">
      <w:pPr>
        <w:pStyle w:val="Heading1"/>
      </w:pPr>
      <w:bookmarkStart w:id="262" w:name="_Toc77839780"/>
      <w:r w:rsidRPr="00D326F8">
        <w:t>Statistical Considerations</w:t>
      </w:r>
      <w:bookmarkEnd w:id="262"/>
    </w:p>
    <w:p w14:paraId="601A81DC" w14:textId="77777777" w:rsidR="00752149" w:rsidRPr="00D326F8" w:rsidRDefault="003E23E4" w:rsidP="00752149">
      <w:pPr>
        <w:pStyle w:val="BodyText"/>
      </w:pPr>
      <w:r w:rsidRPr="00D326F8">
        <w:t>All planned analyses defined in this protocol will be described in the IAP that will be finalized before the database lock.</w:t>
      </w:r>
    </w:p>
    <w:p w14:paraId="601A81DD" w14:textId="77777777" w:rsidR="0042747B" w:rsidRPr="00D326F8" w:rsidRDefault="003E23E4" w:rsidP="00752149">
      <w:pPr>
        <w:pStyle w:val="BodyText"/>
      </w:pPr>
      <w:r w:rsidRPr="00D326F8">
        <w:t>Changes in the conduct of the study or planned analyses, if any, will be reported in the appropriate section of the IAP and in the clinical study report.</w:t>
      </w:r>
    </w:p>
    <w:p w14:paraId="601A81DE" w14:textId="77777777" w:rsidR="002D5216" w:rsidRPr="00D326F8" w:rsidRDefault="003E23E4" w:rsidP="0023673D">
      <w:pPr>
        <w:pStyle w:val="Heading2"/>
        <w:tabs>
          <w:tab w:val="clear" w:pos="4896"/>
          <w:tab w:val="num" w:pos="5130"/>
        </w:tabs>
        <w:ind w:left="1980" w:hanging="1980"/>
      </w:pPr>
      <w:bookmarkStart w:id="263" w:name="_Toc77839781"/>
      <w:r w:rsidRPr="00D326F8">
        <w:t>Statistical Hypothes</w:t>
      </w:r>
      <w:r w:rsidR="008C4913" w:rsidRPr="00D326F8">
        <w:t>e</w:t>
      </w:r>
      <w:r w:rsidRPr="00D326F8">
        <w:t>s</w:t>
      </w:r>
      <w:bookmarkEnd w:id="263"/>
    </w:p>
    <w:p w14:paraId="601A81DF" w14:textId="6CD21DF7" w:rsidR="0042747B" w:rsidRPr="00D326F8" w:rsidRDefault="003E23E4" w:rsidP="00752149">
      <w:pPr>
        <w:pStyle w:val="BodyText"/>
      </w:pPr>
      <w:r w:rsidRPr="00D326F8">
        <w:t xml:space="preserve">The statistical analysis of study data will be purely descriptive; no hypothesis tests will be performed. A definition of primary, </w:t>
      </w:r>
      <w:proofErr w:type="gramStart"/>
      <w:r w:rsidRPr="00D326F8">
        <w:t>secondary</w:t>
      </w:r>
      <w:proofErr w:type="gramEnd"/>
      <w:r w:rsidRPr="00D326F8">
        <w:t xml:space="preserve"> and exploratory objectives and endpoints can be found in Section</w:t>
      </w:r>
      <w:r w:rsidR="00157683" w:rsidRPr="00D326F8">
        <w:t xml:space="preserve"> </w:t>
      </w:r>
      <w:r w:rsidR="00157683" w:rsidRPr="00D326F8">
        <w:fldChar w:fldCharType="begin"/>
      </w:r>
      <w:r w:rsidR="00157683" w:rsidRPr="00D326F8">
        <w:instrText xml:space="preserve"> REF _Ref74916082 \n \h </w:instrText>
      </w:r>
      <w:r w:rsidR="008D37C0" w:rsidRPr="00D326F8">
        <w:instrText xml:space="preserve"> \* MERGEFORMAT </w:instrText>
      </w:r>
      <w:r w:rsidR="00157683" w:rsidRPr="00D326F8">
        <w:fldChar w:fldCharType="separate"/>
      </w:r>
      <w:r w:rsidR="00173A27">
        <w:t>3</w:t>
      </w:r>
      <w:r w:rsidR="00157683" w:rsidRPr="00D326F8">
        <w:fldChar w:fldCharType="end"/>
      </w:r>
      <w:r w:rsidRPr="00D326F8">
        <w:t>.</w:t>
      </w:r>
    </w:p>
    <w:p w14:paraId="601A81E0" w14:textId="77777777" w:rsidR="00FF6258" w:rsidRPr="00D326F8" w:rsidRDefault="003E23E4" w:rsidP="00FF6258">
      <w:pPr>
        <w:pStyle w:val="Heading2"/>
        <w:tabs>
          <w:tab w:val="clear" w:pos="4896"/>
          <w:tab w:val="num" w:pos="5130"/>
        </w:tabs>
        <w:ind w:left="1980" w:hanging="1980"/>
      </w:pPr>
      <w:bookmarkStart w:id="264" w:name="_Toc77839782"/>
      <w:r w:rsidRPr="00D326F8">
        <w:t>Sample Size Determination</w:t>
      </w:r>
      <w:bookmarkEnd w:id="264"/>
    </w:p>
    <w:p w14:paraId="601A81E1" w14:textId="17E3ADB4" w:rsidR="003A532E" w:rsidRPr="00D326F8" w:rsidRDefault="003E23E4" w:rsidP="00752149">
      <w:pPr>
        <w:pStyle w:val="List1withoutbullet"/>
        <w:ind w:left="0"/>
        <w:rPr>
          <w:rStyle w:val="CPTVariable"/>
          <w:color w:val="auto"/>
        </w:rPr>
      </w:pPr>
      <w:r w:rsidRPr="00D326F8">
        <w:rPr>
          <w:rStyle w:val="CPTVariable"/>
          <w:color w:val="auto"/>
        </w:rPr>
        <w:t>A maximum of 18</w:t>
      </w:r>
      <w:r w:rsidR="00176A88" w:rsidRPr="00D326F8">
        <w:rPr>
          <w:rStyle w:val="CPTVariable"/>
          <w:color w:val="auto"/>
        </w:rPr>
        <w:t> </w:t>
      </w:r>
      <w:r w:rsidRPr="00D326F8">
        <w:t>participants will be assigned to study intervention</w:t>
      </w:r>
      <w:r w:rsidR="00A7256B" w:rsidRPr="00D326F8">
        <w:t>s</w:t>
      </w:r>
      <w:r w:rsidRPr="00D326F8">
        <w:t xml:space="preserve"> </w:t>
      </w:r>
      <w:r w:rsidRPr="00D326F8">
        <w:rPr>
          <w:rStyle w:val="CPTVariable"/>
          <w:color w:val="auto"/>
        </w:rPr>
        <w:t>such that approximately 14</w:t>
      </w:r>
      <w:r w:rsidR="007D5243" w:rsidRPr="00D326F8">
        <w:rPr>
          <w:rStyle w:val="CPTVariable"/>
          <w:color w:val="auto"/>
        </w:rPr>
        <w:t> </w:t>
      </w:r>
      <w:r w:rsidRPr="00D326F8">
        <w:rPr>
          <w:rStyle w:val="CPTVariable"/>
          <w:color w:val="auto"/>
        </w:rPr>
        <w:t>evaluable participants complete the study.</w:t>
      </w:r>
    </w:p>
    <w:p w14:paraId="601A81E2" w14:textId="77777777" w:rsidR="00752149" w:rsidRPr="00D326F8" w:rsidRDefault="003E23E4" w:rsidP="00752149">
      <w:pPr>
        <w:pStyle w:val="BodyText"/>
      </w:pPr>
      <w:r w:rsidRPr="00D326F8">
        <w:t xml:space="preserve">Although no hypothesis tests will be performed, the sample size of the study should be sufficient to estimate the difference between dosing conditions with adequate precision. </w:t>
      </w:r>
    </w:p>
    <w:p w14:paraId="601A81E3" w14:textId="38E7B2C6" w:rsidR="00752149" w:rsidRPr="00D326F8" w:rsidRDefault="003E23E4" w:rsidP="00752149">
      <w:pPr>
        <w:pStyle w:val="BodyText"/>
      </w:pPr>
      <w:r w:rsidRPr="00D326F8">
        <w:t>Available information on intra</w:t>
      </w:r>
      <w:r w:rsidR="001E611B" w:rsidRPr="00D326F8">
        <w:t xml:space="preserve">participant </w:t>
      </w:r>
      <w:r w:rsidRPr="00D326F8">
        <w:t xml:space="preserve">variability of tepotinib PK parameters following administration of TF2 and/or TF3 under different dosing conditions, observed in studies MS200095_0044, MS200095_0038 and MS200095_0039 are presented in </w:t>
      </w:r>
      <w:r w:rsidRPr="00D326F8">
        <w:fldChar w:fldCharType="begin"/>
      </w:r>
      <w:r w:rsidRPr="00D326F8">
        <w:instrText xml:space="preserve"> REF _Ref68115950 \h </w:instrText>
      </w:r>
      <w:r w:rsidR="008D37C0" w:rsidRPr="00D326F8">
        <w:instrText xml:space="preserve"> \* MERGEFORMAT </w:instrText>
      </w:r>
      <w:r w:rsidRPr="00D326F8">
        <w:fldChar w:fldCharType="separate"/>
      </w:r>
      <w:r w:rsidR="00173A27" w:rsidRPr="00D326F8">
        <w:t xml:space="preserve">Table </w:t>
      </w:r>
      <w:r w:rsidR="00173A27">
        <w:rPr>
          <w:noProof/>
        </w:rPr>
        <w:t>4</w:t>
      </w:r>
      <w:r w:rsidRPr="00D326F8">
        <w:fldChar w:fldCharType="end"/>
      </w:r>
      <w:r w:rsidRPr="00D326F8">
        <w:t>. The intra</w:t>
      </w:r>
      <w:r w:rsidR="001E611B" w:rsidRPr="00D326F8">
        <w:t>participant</w:t>
      </w:r>
      <w:r w:rsidRPr="00D326F8">
        <w:t xml:space="preserve"> CV is approximately between 10.4% and 18.0% for AUC</w:t>
      </w:r>
      <w:r w:rsidRPr="00D326F8">
        <w:rPr>
          <w:vertAlign w:val="subscript"/>
        </w:rPr>
        <w:t>0</w:t>
      </w:r>
      <w:r w:rsidRPr="00D326F8">
        <w:rPr>
          <w:vertAlign w:val="subscript"/>
        </w:rPr>
        <w:noBreakHyphen/>
        <w:t>∞</w:t>
      </w:r>
      <w:r w:rsidRPr="00D326F8">
        <w:t xml:space="preserve"> and AUC</w:t>
      </w:r>
      <w:r w:rsidRPr="00D326F8">
        <w:rPr>
          <w:vertAlign w:val="subscript"/>
        </w:rPr>
        <w:t>0</w:t>
      </w:r>
      <w:r w:rsidR="000259B1" w:rsidRPr="00D326F8">
        <w:rPr>
          <w:vertAlign w:val="subscript"/>
        </w:rPr>
        <w:noBreakHyphen/>
      </w:r>
      <w:r w:rsidRPr="00D326F8">
        <w:rPr>
          <w:vertAlign w:val="subscript"/>
        </w:rPr>
        <w:t>tlast</w:t>
      </w:r>
      <w:r w:rsidRPr="00D326F8">
        <w:t>, and for C</w:t>
      </w:r>
      <w:r w:rsidRPr="00D326F8">
        <w:rPr>
          <w:vertAlign w:val="subscript"/>
        </w:rPr>
        <w:t>max</w:t>
      </w:r>
      <w:r w:rsidRPr="00D326F8">
        <w:t xml:space="preserve"> between 12.7% and 16.</w:t>
      </w:r>
      <w:r w:rsidR="000259B1" w:rsidRPr="00D326F8">
        <w:t>8</w:t>
      </w:r>
      <w:r w:rsidRPr="00D326F8">
        <w:t>%.</w:t>
      </w:r>
    </w:p>
    <w:p w14:paraId="601A81E4" w14:textId="13384F05" w:rsidR="00752149" w:rsidRPr="00D326F8" w:rsidRDefault="003E23E4" w:rsidP="00752149">
      <w:pPr>
        <w:pStyle w:val="Caption"/>
      </w:pPr>
      <w:bookmarkStart w:id="265" w:name="_Ref68115950"/>
      <w:bookmarkStart w:id="266" w:name="_Toc70591303"/>
      <w:bookmarkStart w:id="267" w:name="_Toc77839802"/>
      <w:r w:rsidRPr="00D326F8">
        <w:lastRenderedPageBreak/>
        <w:t xml:space="preserve">Table </w:t>
      </w:r>
      <w:r w:rsidRPr="00D326F8">
        <w:fldChar w:fldCharType="begin"/>
      </w:r>
      <w:r w:rsidRPr="00D326F8">
        <w:instrText xml:space="preserve"> SEQ Table \* ARABIC </w:instrText>
      </w:r>
      <w:r w:rsidRPr="00D326F8">
        <w:fldChar w:fldCharType="separate"/>
      </w:r>
      <w:r w:rsidR="00173A27">
        <w:rPr>
          <w:noProof/>
        </w:rPr>
        <w:t>4</w:t>
      </w:r>
      <w:r w:rsidRPr="00D326F8">
        <w:fldChar w:fldCharType="end"/>
      </w:r>
      <w:bookmarkEnd w:id="265"/>
      <w:r w:rsidRPr="00D326F8">
        <w:tab/>
        <w:t xml:space="preserve">Overview of </w:t>
      </w:r>
      <w:r w:rsidR="00BA1DD7" w:rsidRPr="00D326F8">
        <w:t>O</w:t>
      </w:r>
      <w:r w:rsidRPr="00D326F8">
        <w:t xml:space="preserve">bserved </w:t>
      </w:r>
      <w:r w:rsidR="00BA1DD7" w:rsidRPr="00D326F8">
        <w:t>I</w:t>
      </w:r>
      <w:r w:rsidRPr="00D326F8">
        <w:t>ntra</w:t>
      </w:r>
      <w:r w:rsidR="001E611B" w:rsidRPr="00D326F8">
        <w:t>participant</w:t>
      </w:r>
      <w:r w:rsidRPr="00D326F8">
        <w:t xml:space="preserve"> </w:t>
      </w:r>
      <w:r w:rsidR="00BA1DD7" w:rsidRPr="00D326F8">
        <w:t>V</w:t>
      </w:r>
      <w:r w:rsidRPr="00D326F8">
        <w:t>ariability of Tepotinib P</w:t>
      </w:r>
      <w:r w:rsidR="00BA1DD7" w:rsidRPr="00D326F8">
        <w:t>harmacokinetic</w:t>
      </w:r>
      <w:r w:rsidRPr="00D326F8">
        <w:t xml:space="preserve"> </w:t>
      </w:r>
      <w:r w:rsidR="00BA1DD7" w:rsidRPr="00D326F8">
        <w:t>P</w:t>
      </w:r>
      <w:r w:rsidRPr="00D326F8">
        <w:t>arameters</w:t>
      </w:r>
      <w:bookmarkEnd w:id="266"/>
      <w:bookmarkEnd w:id="267"/>
    </w:p>
    <w:tbl>
      <w:tblPr>
        <w:tblW w:w="9330" w:type="dxa"/>
        <w:tblLook w:val="04A0" w:firstRow="1" w:lastRow="0" w:firstColumn="1" w:lastColumn="0" w:noHBand="0" w:noVBand="1"/>
      </w:tblPr>
      <w:tblGrid>
        <w:gridCol w:w="1873"/>
        <w:gridCol w:w="1825"/>
        <w:gridCol w:w="959"/>
        <w:gridCol w:w="1558"/>
        <w:gridCol w:w="1577"/>
        <w:gridCol w:w="1538"/>
      </w:tblGrid>
      <w:tr w:rsidR="003B74AE" w:rsidRPr="00D326F8" w14:paraId="601A81E9" w14:textId="77777777" w:rsidTr="00752149">
        <w:trPr>
          <w:trHeight w:val="461"/>
        </w:trPr>
        <w:tc>
          <w:tcPr>
            <w:tcW w:w="1873" w:type="dxa"/>
            <w:tcBorders>
              <w:top w:val="single" w:sz="4" w:space="0" w:color="auto"/>
              <w:left w:val="nil"/>
              <w:bottom w:val="nil"/>
              <w:right w:val="nil"/>
            </w:tcBorders>
          </w:tcPr>
          <w:p w14:paraId="601A81E5" w14:textId="77777777" w:rsidR="00752149" w:rsidRPr="00D326F8" w:rsidRDefault="00752149">
            <w:pPr>
              <w:pStyle w:val="Tabletext"/>
              <w:keepNext/>
              <w:rPr>
                <w:b/>
                <w:bCs/>
              </w:rPr>
            </w:pPr>
          </w:p>
        </w:tc>
        <w:tc>
          <w:tcPr>
            <w:tcW w:w="1825" w:type="dxa"/>
            <w:tcBorders>
              <w:top w:val="single" w:sz="4" w:space="0" w:color="auto"/>
              <w:left w:val="nil"/>
              <w:bottom w:val="nil"/>
              <w:right w:val="nil"/>
            </w:tcBorders>
          </w:tcPr>
          <w:p w14:paraId="601A81E6" w14:textId="77777777" w:rsidR="00752149" w:rsidRPr="00D326F8" w:rsidRDefault="00752149">
            <w:pPr>
              <w:pStyle w:val="Tabletext"/>
              <w:keepNext/>
              <w:rPr>
                <w:b/>
                <w:bCs/>
              </w:rPr>
            </w:pPr>
          </w:p>
        </w:tc>
        <w:tc>
          <w:tcPr>
            <w:tcW w:w="959" w:type="dxa"/>
            <w:tcBorders>
              <w:top w:val="single" w:sz="4" w:space="0" w:color="auto"/>
              <w:left w:val="nil"/>
              <w:bottom w:val="nil"/>
              <w:right w:val="nil"/>
            </w:tcBorders>
          </w:tcPr>
          <w:p w14:paraId="601A81E7" w14:textId="77777777" w:rsidR="00752149" w:rsidRPr="00D326F8" w:rsidRDefault="00752149">
            <w:pPr>
              <w:pStyle w:val="Tabletext"/>
              <w:keepNext/>
              <w:jc w:val="center"/>
              <w:rPr>
                <w:b/>
                <w:bCs/>
              </w:rPr>
            </w:pPr>
          </w:p>
        </w:tc>
        <w:tc>
          <w:tcPr>
            <w:tcW w:w="4673" w:type="dxa"/>
            <w:gridSpan w:val="3"/>
            <w:tcBorders>
              <w:top w:val="single" w:sz="4" w:space="0" w:color="auto"/>
              <w:left w:val="nil"/>
              <w:bottom w:val="single" w:sz="4" w:space="0" w:color="auto"/>
              <w:right w:val="nil"/>
            </w:tcBorders>
            <w:vAlign w:val="center"/>
            <w:hideMark/>
          </w:tcPr>
          <w:p w14:paraId="601A81E8" w14:textId="1952BD3F" w:rsidR="00752149" w:rsidRPr="00D326F8" w:rsidRDefault="003E23E4">
            <w:pPr>
              <w:pStyle w:val="Tabletext"/>
              <w:keepNext/>
              <w:jc w:val="center"/>
              <w:rPr>
                <w:b/>
                <w:bCs/>
              </w:rPr>
            </w:pPr>
            <w:r w:rsidRPr="00D326F8">
              <w:rPr>
                <w:b/>
                <w:bCs/>
              </w:rPr>
              <w:t xml:space="preserve">Mixed </w:t>
            </w:r>
            <w:r w:rsidR="00BA1DD7" w:rsidRPr="00D326F8">
              <w:rPr>
                <w:b/>
                <w:bCs/>
              </w:rPr>
              <w:t>I</w:t>
            </w:r>
            <w:r w:rsidRPr="00D326F8">
              <w:rPr>
                <w:b/>
                <w:bCs/>
              </w:rPr>
              <w:t>ntra</w:t>
            </w:r>
            <w:r w:rsidR="001E611B" w:rsidRPr="00D326F8">
              <w:rPr>
                <w:b/>
                <w:bCs/>
              </w:rPr>
              <w:t>participant</w:t>
            </w:r>
            <w:r w:rsidRPr="00D326F8">
              <w:rPr>
                <w:b/>
                <w:bCs/>
              </w:rPr>
              <w:t xml:space="preserve"> CV</w:t>
            </w:r>
          </w:p>
        </w:tc>
      </w:tr>
      <w:tr w:rsidR="003B74AE" w:rsidRPr="00D326F8" w14:paraId="601A81F0" w14:textId="77777777" w:rsidTr="00752149">
        <w:trPr>
          <w:trHeight w:val="480"/>
        </w:trPr>
        <w:tc>
          <w:tcPr>
            <w:tcW w:w="1873" w:type="dxa"/>
            <w:tcBorders>
              <w:top w:val="nil"/>
              <w:left w:val="nil"/>
              <w:bottom w:val="single" w:sz="4" w:space="0" w:color="auto"/>
              <w:right w:val="nil"/>
            </w:tcBorders>
            <w:hideMark/>
          </w:tcPr>
          <w:p w14:paraId="601A81EA" w14:textId="77777777" w:rsidR="00752149" w:rsidRPr="00D326F8" w:rsidRDefault="003E23E4">
            <w:pPr>
              <w:pStyle w:val="Tabletext"/>
              <w:keepNext/>
              <w:rPr>
                <w:b/>
                <w:bCs/>
              </w:rPr>
            </w:pPr>
            <w:r w:rsidRPr="00D326F8">
              <w:rPr>
                <w:b/>
                <w:bCs/>
              </w:rPr>
              <w:t>Study</w:t>
            </w:r>
          </w:p>
        </w:tc>
        <w:tc>
          <w:tcPr>
            <w:tcW w:w="1825" w:type="dxa"/>
            <w:tcBorders>
              <w:top w:val="nil"/>
              <w:left w:val="nil"/>
              <w:bottom w:val="single" w:sz="4" w:space="0" w:color="auto"/>
              <w:right w:val="nil"/>
            </w:tcBorders>
            <w:hideMark/>
          </w:tcPr>
          <w:p w14:paraId="601A81EB" w14:textId="77777777" w:rsidR="00752149" w:rsidRPr="00D326F8" w:rsidRDefault="003E23E4">
            <w:pPr>
              <w:pStyle w:val="Tabletext"/>
              <w:keepNext/>
              <w:rPr>
                <w:b/>
                <w:bCs/>
              </w:rPr>
            </w:pPr>
            <w:r w:rsidRPr="00D326F8">
              <w:rPr>
                <w:b/>
                <w:bCs/>
              </w:rPr>
              <w:t>Comparison</w:t>
            </w:r>
          </w:p>
        </w:tc>
        <w:tc>
          <w:tcPr>
            <w:tcW w:w="959" w:type="dxa"/>
            <w:tcBorders>
              <w:top w:val="nil"/>
              <w:left w:val="nil"/>
              <w:bottom w:val="single" w:sz="4" w:space="0" w:color="auto"/>
              <w:right w:val="nil"/>
            </w:tcBorders>
            <w:hideMark/>
          </w:tcPr>
          <w:p w14:paraId="601A81EC" w14:textId="77777777" w:rsidR="00752149" w:rsidRPr="00D326F8" w:rsidRDefault="003E23E4">
            <w:pPr>
              <w:pStyle w:val="Tabletext"/>
              <w:keepNext/>
              <w:jc w:val="center"/>
              <w:rPr>
                <w:b/>
                <w:bCs/>
              </w:rPr>
            </w:pPr>
            <w:r w:rsidRPr="00D326F8">
              <w:rPr>
                <w:b/>
                <w:bCs/>
              </w:rPr>
              <w:t>N</w:t>
            </w:r>
          </w:p>
        </w:tc>
        <w:tc>
          <w:tcPr>
            <w:tcW w:w="1558" w:type="dxa"/>
            <w:tcBorders>
              <w:top w:val="single" w:sz="4" w:space="0" w:color="auto"/>
              <w:left w:val="nil"/>
              <w:bottom w:val="single" w:sz="4" w:space="0" w:color="auto"/>
              <w:right w:val="nil"/>
            </w:tcBorders>
            <w:vAlign w:val="center"/>
            <w:hideMark/>
          </w:tcPr>
          <w:p w14:paraId="601A81ED" w14:textId="77777777" w:rsidR="00752149" w:rsidRPr="00D326F8" w:rsidRDefault="003E23E4">
            <w:pPr>
              <w:pStyle w:val="Tabletext"/>
              <w:keepNext/>
              <w:jc w:val="center"/>
              <w:rPr>
                <w:b/>
                <w:bCs/>
              </w:rPr>
            </w:pPr>
            <w:r w:rsidRPr="00D326F8">
              <w:rPr>
                <w:b/>
                <w:bCs/>
              </w:rPr>
              <w:t>AUC</w:t>
            </w:r>
            <w:r w:rsidRPr="00D326F8">
              <w:rPr>
                <w:b/>
                <w:bCs/>
                <w:vertAlign w:val="subscript"/>
              </w:rPr>
              <w:t>0-tlast</w:t>
            </w:r>
          </w:p>
        </w:tc>
        <w:tc>
          <w:tcPr>
            <w:tcW w:w="1577" w:type="dxa"/>
            <w:tcBorders>
              <w:top w:val="single" w:sz="4" w:space="0" w:color="auto"/>
              <w:left w:val="nil"/>
              <w:bottom w:val="single" w:sz="4" w:space="0" w:color="auto"/>
              <w:right w:val="nil"/>
            </w:tcBorders>
            <w:vAlign w:val="center"/>
            <w:hideMark/>
          </w:tcPr>
          <w:p w14:paraId="601A81EE" w14:textId="77777777" w:rsidR="00752149" w:rsidRPr="00D326F8" w:rsidRDefault="003E23E4">
            <w:pPr>
              <w:pStyle w:val="Tabletext"/>
              <w:keepNext/>
              <w:jc w:val="center"/>
              <w:rPr>
                <w:b/>
                <w:bCs/>
              </w:rPr>
            </w:pPr>
            <w:r w:rsidRPr="00D326F8">
              <w:rPr>
                <w:b/>
                <w:bCs/>
              </w:rPr>
              <w:t>AUC</w:t>
            </w:r>
            <w:r w:rsidRPr="00D326F8">
              <w:rPr>
                <w:b/>
                <w:bCs/>
                <w:vertAlign w:val="subscript"/>
              </w:rPr>
              <w:t>0-∞</w:t>
            </w:r>
          </w:p>
        </w:tc>
        <w:tc>
          <w:tcPr>
            <w:tcW w:w="1538" w:type="dxa"/>
            <w:tcBorders>
              <w:top w:val="single" w:sz="4" w:space="0" w:color="auto"/>
              <w:left w:val="nil"/>
              <w:bottom w:val="single" w:sz="4" w:space="0" w:color="auto"/>
              <w:right w:val="nil"/>
            </w:tcBorders>
            <w:vAlign w:val="center"/>
            <w:hideMark/>
          </w:tcPr>
          <w:p w14:paraId="601A81EF" w14:textId="77777777" w:rsidR="00752149" w:rsidRPr="00D326F8" w:rsidRDefault="003E23E4">
            <w:pPr>
              <w:pStyle w:val="Tabletext"/>
              <w:keepNext/>
              <w:jc w:val="center"/>
              <w:rPr>
                <w:b/>
                <w:bCs/>
              </w:rPr>
            </w:pPr>
            <w:r w:rsidRPr="00D326F8">
              <w:rPr>
                <w:b/>
                <w:bCs/>
              </w:rPr>
              <w:t>C</w:t>
            </w:r>
            <w:r w:rsidRPr="00D326F8">
              <w:rPr>
                <w:b/>
                <w:bCs/>
                <w:vertAlign w:val="subscript"/>
              </w:rPr>
              <w:t>max</w:t>
            </w:r>
          </w:p>
        </w:tc>
      </w:tr>
      <w:tr w:rsidR="003B74AE" w:rsidRPr="00D326F8" w14:paraId="601A81F7" w14:textId="77777777" w:rsidTr="00752149">
        <w:trPr>
          <w:trHeight w:val="461"/>
        </w:trPr>
        <w:tc>
          <w:tcPr>
            <w:tcW w:w="1873" w:type="dxa"/>
            <w:hideMark/>
          </w:tcPr>
          <w:p w14:paraId="601A81F1" w14:textId="77777777" w:rsidR="00752149" w:rsidRPr="00D326F8" w:rsidRDefault="003E23E4">
            <w:pPr>
              <w:pStyle w:val="Tabletext"/>
              <w:keepNext/>
            </w:pPr>
            <w:r w:rsidRPr="00D326F8">
              <w:t>MS200095_0044 Part A</w:t>
            </w:r>
          </w:p>
        </w:tc>
        <w:tc>
          <w:tcPr>
            <w:tcW w:w="1825" w:type="dxa"/>
            <w:hideMark/>
          </w:tcPr>
          <w:p w14:paraId="601A81F2" w14:textId="77777777" w:rsidR="00752149" w:rsidRPr="00D326F8" w:rsidRDefault="003E23E4">
            <w:pPr>
              <w:pStyle w:val="Tabletext"/>
              <w:keepNext/>
            </w:pPr>
            <w:r w:rsidRPr="00D326F8">
              <w:t>TF3 versus TF2 (fasted)</w:t>
            </w:r>
          </w:p>
        </w:tc>
        <w:tc>
          <w:tcPr>
            <w:tcW w:w="959" w:type="dxa"/>
            <w:hideMark/>
          </w:tcPr>
          <w:p w14:paraId="601A81F3" w14:textId="77777777" w:rsidR="00752149" w:rsidRPr="00D326F8" w:rsidRDefault="003E23E4">
            <w:pPr>
              <w:pStyle w:val="Tabletext"/>
              <w:keepNext/>
              <w:jc w:val="center"/>
            </w:pPr>
            <w:r w:rsidRPr="00D326F8">
              <w:t>38</w:t>
            </w:r>
          </w:p>
        </w:tc>
        <w:tc>
          <w:tcPr>
            <w:tcW w:w="1558" w:type="dxa"/>
            <w:hideMark/>
          </w:tcPr>
          <w:p w14:paraId="601A81F4" w14:textId="77777777" w:rsidR="00752149" w:rsidRPr="00D326F8" w:rsidRDefault="003E23E4">
            <w:pPr>
              <w:pStyle w:val="Tabletext"/>
              <w:keepNext/>
              <w:jc w:val="center"/>
            </w:pPr>
            <w:r w:rsidRPr="00D326F8">
              <w:t>15.77%</w:t>
            </w:r>
          </w:p>
        </w:tc>
        <w:tc>
          <w:tcPr>
            <w:tcW w:w="1577" w:type="dxa"/>
            <w:hideMark/>
          </w:tcPr>
          <w:p w14:paraId="601A81F5" w14:textId="77777777" w:rsidR="00752149" w:rsidRPr="00D326F8" w:rsidRDefault="003E23E4">
            <w:pPr>
              <w:pStyle w:val="Tabletext"/>
              <w:keepNext/>
              <w:jc w:val="center"/>
            </w:pPr>
            <w:r w:rsidRPr="00D326F8">
              <w:t>15.83%</w:t>
            </w:r>
          </w:p>
        </w:tc>
        <w:tc>
          <w:tcPr>
            <w:tcW w:w="1538" w:type="dxa"/>
            <w:hideMark/>
          </w:tcPr>
          <w:p w14:paraId="601A81F6" w14:textId="77777777" w:rsidR="00752149" w:rsidRPr="00D326F8" w:rsidRDefault="003E23E4">
            <w:pPr>
              <w:pStyle w:val="Tabletext"/>
              <w:keepNext/>
              <w:jc w:val="center"/>
            </w:pPr>
            <w:r w:rsidRPr="00D326F8">
              <w:t>13.94%</w:t>
            </w:r>
          </w:p>
        </w:tc>
      </w:tr>
      <w:tr w:rsidR="003B74AE" w:rsidRPr="00D326F8" w14:paraId="601A81FE" w14:textId="77777777" w:rsidTr="00752149">
        <w:trPr>
          <w:trHeight w:val="461"/>
        </w:trPr>
        <w:tc>
          <w:tcPr>
            <w:tcW w:w="1873" w:type="dxa"/>
            <w:hideMark/>
          </w:tcPr>
          <w:p w14:paraId="601A81F8" w14:textId="77777777" w:rsidR="00752149" w:rsidRPr="00D326F8" w:rsidRDefault="003E23E4">
            <w:pPr>
              <w:pStyle w:val="Tabletext"/>
              <w:keepNext/>
            </w:pPr>
            <w:r w:rsidRPr="00D326F8">
              <w:t>MS200095_0044 Part B</w:t>
            </w:r>
          </w:p>
        </w:tc>
        <w:tc>
          <w:tcPr>
            <w:tcW w:w="1825" w:type="dxa"/>
            <w:hideMark/>
          </w:tcPr>
          <w:p w14:paraId="601A81F9" w14:textId="77777777" w:rsidR="00752149" w:rsidRPr="00D326F8" w:rsidRDefault="003E23E4">
            <w:pPr>
              <w:pStyle w:val="Tabletext"/>
              <w:keepNext/>
            </w:pPr>
            <w:r w:rsidRPr="00D326F8">
              <w:t>TF2 (fed versus fasted)</w:t>
            </w:r>
          </w:p>
        </w:tc>
        <w:tc>
          <w:tcPr>
            <w:tcW w:w="959" w:type="dxa"/>
            <w:hideMark/>
          </w:tcPr>
          <w:p w14:paraId="601A81FA" w14:textId="77777777" w:rsidR="00752149" w:rsidRPr="00D326F8" w:rsidRDefault="003E23E4">
            <w:pPr>
              <w:pStyle w:val="Tabletext"/>
              <w:keepNext/>
              <w:jc w:val="center"/>
            </w:pPr>
            <w:r w:rsidRPr="00D326F8">
              <w:t>14</w:t>
            </w:r>
          </w:p>
        </w:tc>
        <w:tc>
          <w:tcPr>
            <w:tcW w:w="1558" w:type="dxa"/>
            <w:hideMark/>
          </w:tcPr>
          <w:p w14:paraId="601A81FB" w14:textId="77777777" w:rsidR="00752149" w:rsidRPr="00D326F8" w:rsidRDefault="003E23E4">
            <w:pPr>
              <w:pStyle w:val="Tabletext"/>
              <w:keepNext/>
              <w:jc w:val="center"/>
            </w:pPr>
            <w:r w:rsidRPr="00D326F8">
              <w:t>17.96%</w:t>
            </w:r>
          </w:p>
        </w:tc>
        <w:tc>
          <w:tcPr>
            <w:tcW w:w="1577" w:type="dxa"/>
            <w:hideMark/>
          </w:tcPr>
          <w:p w14:paraId="601A81FC" w14:textId="77777777" w:rsidR="00752149" w:rsidRPr="00D326F8" w:rsidRDefault="003E23E4">
            <w:pPr>
              <w:pStyle w:val="Tabletext"/>
              <w:keepNext/>
              <w:jc w:val="center"/>
            </w:pPr>
            <w:r w:rsidRPr="00D326F8">
              <w:t>17.95%</w:t>
            </w:r>
          </w:p>
        </w:tc>
        <w:tc>
          <w:tcPr>
            <w:tcW w:w="1538" w:type="dxa"/>
            <w:hideMark/>
          </w:tcPr>
          <w:p w14:paraId="601A81FD" w14:textId="77777777" w:rsidR="00752149" w:rsidRPr="00D326F8" w:rsidRDefault="003E23E4">
            <w:pPr>
              <w:pStyle w:val="Tabletext"/>
              <w:keepNext/>
              <w:jc w:val="center"/>
            </w:pPr>
            <w:r w:rsidRPr="00D326F8">
              <w:t>12.67%</w:t>
            </w:r>
          </w:p>
        </w:tc>
      </w:tr>
      <w:tr w:rsidR="003B74AE" w:rsidRPr="00D326F8" w14:paraId="601A8205" w14:textId="77777777" w:rsidTr="00752149">
        <w:trPr>
          <w:trHeight w:val="461"/>
        </w:trPr>
        <w:tc>
          <w:tcPr>
            <w:tcW w:w="1873" w:type="dxa"/>
            <w:hideMark/>
          </w:tcPr>
          <w:p w14:paraId="601A81FF" w14:textId="77777777" w:rsidR="00752149" w:rsidRPr="00D326F8" w:rsidRDefault="003E23E4">
            <w:pPr>
              <w:pStyle w:val="Tabletext"/>
              <w:keepNext/>
            </w:pPr>
            <w:r w:rsidRPr="00D326F8">
              <w:t>MS200095_0044 Part C</w:t>
            </w:r>
          </w:p>
        </w:tc>
        <w:tc>
          <w:tcPr>
            <w:tcW w:w="1825" w:type="dxa"/>
            <w:hideMark/>
          </w:tcPr>
          <w:p w14:paraId="601A8200" w14:textId="77777777" w:rsidR="00752149" w:rsidRPr="00D326F8" w:rsidRDefault="003E23E4">
            <w:pPr>
              <w:pStyle w:val="Tabletext"/>
              <w:keepNext/>
            </w:pPr>
            <w:r w:rsidRPr="00D326F8">
              <w:t>TF3 (fed versus fasted)</w:t>
            </w:r>
          </w:p>
        </w:tc>
        <w:tc>
          <w:tcPr>
            <w:tcW w:w="959" w:type="dxa"/>
            <w:hideMark/>
          </w:tcPr>
          <w:p w14:paraId="601A8201" w14:textId="77777777" w:rsidR="00752149" w:rsidRPr="00D326F8" w:rsidRDefault="003E23E4">
            <w:pPr>
              <w:pStyle w:val="Tabletext"/>
              <w:keepNext/>
              <w:jc w:val="center"/>
            </w:pPr>
            <w:r w:rsidRPr="00D326F8">
              <w:t>12</w:t>
            </w:r>
          </w:p>
        </w:tc>
        <w:tc>
          <w:tcPr>
            <w:tcW w:w="1558" w:type="dxa"/>
            <w:hideMark/>
          </w:tcPr>
          <w:p w14:paraId="601A8202" w14:textId="77777777" w:rsidR="00752149" w:rsidRPr="00D326F8" w:rsidRDefault="003E23E4">
            <w:pPr>
              <w:pStyle w:val="Tabletext"/>
              <w:keepNext/>
              <w:jc w:val="center"/>
            </w:pPr>
            <w:r w:rsidRPr="00D326F8">
              <w:t>14.93%</w:t>
            </w:r>
          </w:p>
        </w:tc>
        <w:tc>
          <w:tcPr>
            <w:tcW w:w="1577" w:type="dxa"/>
            <w:hideMark/>
          </w:tcPr>
          <w:p w14:paraId="601A8203" w14:textId="77777777" w:rsidR="00752149" w:rsidRPr="00D326F8" w:rsidRDefault="003E23E4">
            <w:pPr>
              <w:pStyle w:val="Tabletext"/>
              <w:keepNext/>
              <w:jc w:val="center"/>
            </w:pPr>
            <w:r w:rsidRPr="00D326F8">
              <w:t>15.10%</w:t>
            </w:r>
          </w:p>
        </w:tc>
        <w:tc>
          <w:tcPr>
            <w:tcW w:w="1538" w:type="dxa"/>
            <w:hideMark/>
          </w:tcPr>
          <w:p w14:paraId="601A8204" w14:textId="77777777" w:rsidR="00752149" w:rsidRPr="00D326F8" w:rsidRDefault="003E23E4">
            <w:pPr>
              <w:pStyle w:val="Tabletext"/>
              <w:keepNext/>
              <w:jc w:val="center"/>
            </w:pPr>
            <w:r w:rsidRPr="00D326F8">
              <w:t>16.79%</w:t>
            </w:r>
          </w:p>
        </w:tc>
      </w:tr>
      <w:tr w:rsidR="003B74AE" w:rsidRPr="00D326F8" w14:paraId="601A820C" w14:textId="77777777" w:rsidTr="00752149">
        <w:trPr>
          <w:trHeight w:val="461"/>
        </w:trPr>
        <w:tc>
          <w:tcPr>
            <w:tcW w:w="1873" w:type="dxa"/>
            <w:hideMark/>
          </w:tcPr>
          <w:p w14:paraId="601A8206" w14:textId="77777777" w:rsidR="00752149" w:rsidRPr="00D326F8" w:rsidRDefault="003E23E4">
            <w:pPr>
              <w:pStyle w:val="Tabletext"/>
              <w:keepNext/>
            </w:pPr>
            <w:r w:rsidRPr="00D326F8">
              <w:t>MS200095_0038</w:t>
            </w:r>
          </w:p>
        </w:tc>
        <w:tc>
          <w:tcPr>
            <w:tcW w:w="1825" w:type="dxa"/>
            <w:hideMark/>
          </w:tcPr>
          <w:p w14:paraId="601A8207" w14:textId="77777777" w:rsidR="00752149" w:rsidRPr="00D326F8" w:rsidRDefault="003E23E4">
            <w:pPr>
              <w:pStyle w:val="Tabletext"/>
              <w:keepNext/>
            </w:pPr>
            <w:r w:rsidRPr="00D326F8">
              <w:t xml:space="preserve">5 </w:t>
            </w:r>
            <w:r w:rsidRPr="00D326F8">
              <w:rPr>
                <w:rFonts w:cs="Arial"/>
              </w:rPr>
              <w:t>×</w:t>
            </w:r>
            <w:r w:rsidRPr="00D326F8">
              <w:t xml:space="preserve"> 100 mg TF3 versus 2 </w:t>
            </w:r>
            <w:r w:rsidRPr="00D326F8">
              <w:rPr>
                <w:rFonts w:cs="Arial"/>
              </w:rPr>
              <w:t>×</w:t>
            </w:r>
            <w:r w:rsidRPr="00D326F8">
              <w:t xml:space="preserve"> 250 mg TF3 (fasted)</w:t>
            </w:r>
          </w:p>
        </w:tc>
        <w:tc>
          <w:tcPr>
            <w:tcW w:w="959" w:type="dxa"/>
            <w:hideMark/>
          </w:tcPr>
          <w:p w14:paraId="601A8208" w14:textId="77777777" w:rsidR="00752149" w:rsidRPr="00D326F8" w:rsidRDefault="003E23E4">
            <w:pPr>
              <w:pStyle w:val="Tabletext"/>
              <w:keepNext/>
              <w:jc w:val="center"/>
            </w:pPr>
            <w:r w:rsidRPr="00D326F8">
              <w:t>18</w:t>
            </w:r>
          </w:p>
        </w:tc>
        <w:tc>
          <w:tcPr>
            <w:tcW w:w="1558" w:type="dxa"/>
            <w:hideMark/>
          </w:tcPr>
          <w:p w14:paraId="601A8209" w14:textId="77777777" w:rsidR="00752149" w:rsidRPr="00D326F8" w:rsidRDefault="003E23E4">
            <w:pPr>
              <w:pStyle w:val="Tabletext"/>
              <w:keepNext/>
              <w:jc w:val="center"/>
            </w:pPr>
            <w:r w:rsidRPr="00D326F8">
              <w:t>15.26%</w:t>
            </w:r>
          </w:p>
        </w:tc>
        <w:tc>
          <w:tcPr>
            <w:tcW w:w="1577" w:type="dxa"/>
            <w:hideMark/>
          </w:tcPr>
          <w:p w14:paraId="601A820A" w14:textId="77777777" w:rsidR="00752149" w:rsidRPr="00D326F8" w:rsidRDefault="003E23E4">
            <w:pPr>
              <w:pStyle w:val="Tabletext"/>
              <w:keepNext/>
              <w:jc w:val="center"/>
            </w:pPr>
            <w:r w:rsidRPr="00D326F8">
              <w:t>15.29%</w:t>
            </w:r>
          </w:p>
        </w:tc>
        <w:tc>
          <w:tcPr>
            <w:tcW w:w="1538" w:type="dxa"/>
            <w:hideMark/>
          </w:tcPr>
          <w:p w14:paraId="601A820B" w14:textId="77777777" w:rsidR="00752149" w:rsidRPr="00D326F8" w:rsidRDefault="003E23E4">
            <w:pPr>
              <w:pStyle w:val="Tabletext"/>
              <w:keepNext/>
              <w:jc w:val="center"/>
            </w:pPr>
            <w:r w:rsidRPr="00D326F8">
              <w:t>16.37%</w:t>
            </w:r>
          </w:p>
        </w:tc>
      </w:tr>
      <w:tr w:rsidR="003B74AE" w:rsidRPr="00D326F8" w14:paraId="601A8213" w14:textId="77777777" w:rsidTr="00ED5097">
        <w:trPr>
          <w:trHeight w:val="461"/>
        </w:trPr>
        <w:tc>
          <w:tcPr>
            <w:tcW w:w="1873" w:type="dxa"/>
            <w:tcBorders>
              <w:top w:val="nil"/>
              <w:left w:val="nil"/>
              <w:bottom w:val="single" w:sz="4" w:space="0" w:color="auto"/>
              <w:right w:val="nil"/>
            </w:tcBorders>
            <w:hideMark/>
          </w:tcPr>
          <w:p w14:paraId="601A820D" w14:textId="77777777" w:rsidR="00752149" w:rsidRPr="00D326F8" w:rsidRDefault="003E23E4">
            <w:pPr>
              <w:pStyle w:val="Tabletext"/>
            </w:pPr>
            <w:r w:rsidRPr="00D326F8">
              <w:t>MS200095_0039</w:t>
            </w:r>
          </w:p>
        </w:tc>
        <w:tc>
          <w:tcPr>
            <w:tcW w:w="1825" w:type="dxa"/>
            <w:tcBorders>
              <w:top w:val="nil"/>
              <w:left w:val="nil"/>
              <w:bottom w:val="single" w:sz="4" w:space="0" w:color="auto"/>
              <w:right w:val="nil"/>
            </w:tcBorders>
            <w:hideMark/>
          </w:tcPr>
          <w:p w14:paraId="601A820E" w14:textId="77777777" w:rsidR="00752149" w:rsidRPr="00D326F8" w:rsidRDefault="003E23E4">
            <w:pPr>
              <w:pStyle w:val="Tabletext"/>
            </w:pPr>
            <w:r w:rsidRPr="00D326F8">
              <w:t>Tepotinib Fed + Omeprazole versus Tepotinib Fed</w:t>
            </w:r>
          </w:p>
        </w:tc>
        <w:tc>
          <w:tcPr>
            <w:tcW w:w="959" w:type="dxa"/>
            <w:tcBorders>
              <w:top w:val="nil"/>
              <w:left w:val="nil"/>
              <w:bottom w:val="single" w:sz="4" w:space="0" w:color="auto"/>
              <w:right w:val="nil"/>
            </w:tcBorders>
            <w:hideMark/>
          </w:tcPr>
          <w:p w14:paraId="601A820F" w14:textId="77777777" w:rsidR="00752149" w:rsidRPr="00D326F8" w:rsidRDefault="003E23E4">
            <w:pPr>
              <w:pStyle w:val="Tabletext"/>
              <w:jc w:val="center"/>
            </w:pPr>
            <w:r w:rsidRPr="00D326F8">
              <w:t>12</w:t>
            </w:r>
          </w:p>
        </w:tc>
        <w:tc>
          <w:tcPr>
            <w:tcW w:w="1558" w:type="dxa"/>
            <w:tcBorders>
              <w:top w:val="nil"/>
              <w:left w:val="nil"/>
              <w:bottom w:val="single" w:sz="4" w:space="0" w:color="auto"/>
              <w:right w:val="nil"/>
            </w:tcBorders>
            <w:hideMark/>
          </w:tcPr>
          <w:p w14:paraId="601A8210" w14:textId="77777777" w:rsidR="00752149" w:rsidRPr="00D326F8" w:rsidRDefault="003E23E4">
            <w:pPr>
              <w:pStyle w:val="Tabletext"/>
              <w:jc w:val="center"/>
            </w:pPr>
            <w:r w:rsidRPr="00D326F8">
              <w:t>10.41%</w:t>
            </w:r>
          </w:p>
        </w:tc>
        <w:tc>
          <w:tcPr>
            <w:tcW w:w="1577" w:type="dxa"/>
            <w:tcBorders>
              <w:top w:val="nil"/>
              <w:left w:val="nil"/>
              <w:bottom w:val="single" w:sz="4" w:space="0" w:color="auto"/>
              <w:right w:val="nil"/>
            </w:tcBorders>
            <w:hideMark/>
          </w:tcPr>
          <w:p w14:paraId="601A8211" w14:textId="77777777" w:rsidR="00752149" w:rsidRPr="00D326F8" w:rsidRDefault="003E23E4">
            <w:pPr>
              <w:pStyle w:val="Tabletext"/>
              <w:jc w:val="center"/>
            </w:pPr>
            <w:r w:rsidRPr="00D326F8">
              <w:t>10.93%</w:t>
            </w:r>
          </w:p>
        </w:tc>
        <w:tc>
          <w:tcPr>
            <w:tcW w:w="1538" w:type="dxa"/>
            <w:tcBorders>
              <w:top w:val="nil"/>
              <w:left w:val="nil"/>
              <w:bottom w:val="single" w:sz="4" w:space="0" w:color="auto"/>
              <w:right w:val="nil"/>
            </w:tcBorders>
            <w:hideMark/>
          </w:tcPr>
          <w:p w14:paraId="601A8212" w14:textId="77777777" w:rsidR="00752149" w:rsidRPr="00D326F8" w:rsidRDefault="003E23E4">
            <w:pPr>
              <w:pStyle w:val="Tabletext"/>
              <w:jc w:val="center"/>
            </w:pPr>
            <w:r w:rsidRPr="00D326F8">
              <w:t>16.22%</w:t>
            </w:r>
          </w:p>
        </w:tc>
      </w:tr>
      <w:tr w:rsidR="003B74AE" w:rsidRPr="00D326F8" w14:paraId="601A8215" w14:textId="77777777" w:rsidTr="0075273A">
        <w:tc>
          <w:tcPr>
            <w:tcW w:w="9330" w:type="dxa"/>
            <w:gridSpan w:val="6"/>
            <w:tcBorders>
              <w:top w:val="single" w:sz="4" w:space="0" w:color="auto"/>
              <w:left w:val="nil"/>
              <w:right w:val="nil"/>
            </w:tcBorders>
          </w:tcPr>
          <w:p w14:paraId="601A8214" w14:textId="77777777" w:rsidR="00ED5097" w:rsidRPr="00D326F8" w:rsidRDefault="003E23E4" w:rsidP="00ED5097">
            <w:pPr>
              <w:pStyle w:val="Tablefootnote"/>
            </w:pPr>
            <w:r w:rsidRPr="00D326F8">
              <w:t>CV=coefficient of variation, N=number of participants, TF=tablet formulation.</w:t>
            </w:r>
          </w:p>
        </w:tc>
      </w:tr>
    </w:tbl>
    <w:p w14:paraId="601A8216" w14:textId="4226A454" w:rsidR="00752149" w:rsidRPr="00D326F8" w:rsidRDefault="003E23E4" w:rsidP="00752149">
      <w:pPr>
        <w:pStyle w:val="BodyText"/>
        <w:keepNext/>
        <w:keepLines/>
      </w:pPr>
      <w:r w:rsidRPr="00D326F8">
        <w:t xml:space="preserve">Thus, assuming an </w:t>
      </w:r>
      <w:r w:rsidR="001E611B" w:rsidRPr="00D326F8">
        <w:t xml:space="preserve">intraparticipant </w:t>
      </w:r>
      <w:r w:rsidRPr="00D326F8">
        <w:t>CV (%) of 10%, 15%, and 20% for AUC and C</w:t>
      </w:r>
      <w:r w:rsidRPr="00D326F8">
        <w:rPr>
          <w:vertAlign w:val="subscript"/>
        </w:rPr>
        <w:t>max</w:t>
      </w:r>
      <w:r w:rsidRPr="00D326F8">
        <w:t xml:space="preserve"> of tepotinib, the precision for the estimated ratio (coadministration of tepotinib and carbamazepine versus tepotinib alone) to be achieved with a given number of evaluable participants is summarized in </w:t>
      </w:r>
      <w:r w:rsidRPr="00D326F8">
        <w:fldChar w:fldCharType="begin"/>
      </w:r>
      <w:r w:rsidRPr="00D326F8">
        <w:instrText xml:space="preserve"> REF _Ref68115968 \h </w:instrText>
      </w:r>
      <w:r w:rsidR="008D37C0" w:rsidRPr="00D326F8">
        <w:instrText xml:space="preserve"> \* MERGEFORMAT </w:instrText>
      </w:r>
      <w:r w:rsidRPr="00D326F8">
        <w:fldChar w:fldCharType="separate"/>
      </w:r>
      <w:r w:rsidR="00173A27" w:rsidRPr="00D326F8">
        <w:t xml:space="preserve">Table </w:t>
      </w:r>
      <w:r w:rsidR="00173A27">
        <w:rPr>
          <w:noProof/>
        </w:rPr>
        <w:t>5</w:t>
      </w:r>
      <w:r w:rsidRPr="00D326F8">
        <w:fldChar w:fldCharType="end"/>
      </w:r>
      <w:r w:rsidRPr="00D326F8">
        <w:t>. Assuming a CV of 20%, if 14 evaluable participants are included in the study and the observed ratio is exactly 1.0, then the 90% CI for the ratio will be contained with 80% probability in 0.805 to 1.242. If the observed ratio is exactly 0.5, then the corresponding limits are 0.403 to 0.621.</w:t>
      </w:r>
    </w:p>
    <w:p w14:paraId="601A8217" w14:textId="77777777" w:rsidR="00752149" w:rsidRPr="00D326F8" w:rsidRDefault="003E23E4" w:rsidP="00752149">
      <w:pPr>
        <w:pStyle w:val="BodyText"/>
      </w:pPr>
      <w:r w:rsidRPr="00D326F8">
        <w:t>This precision is considered adequate to characterize the effect of multiple doses of carbamazepine on the PK of tepotinib. A further increase in sample size does not substantially improve the precision. On the other hand, a smaller number of completed participants leads to a noticeable loss in precision.</w:t>
      </w:r>
    </w:p>
    <w:p w14:paraId="601A8218" w14:textId="5C962FA5" w:rsidR="00752149" w:rsidRPr="00D326F8" w:rsidRDefault="003E23E4" w:rsidP="00752149">
      <w:pPr>
        <w:pStyle w:val="Caption"/>
      </w:pPr>
      <w:bookmarkStart w:id="268" w:name="_Ref68115968"/>
      <w:bookmarkStart w:id="269" w:name="_Toc70591304"/>
      <w:bookmarkStart w:id="270" w:name="_Toc77839803"/>
      <w:r w:rsidRPr="00D326F8">
        <w:lastRenderedPageBreak/>
        <w:t xml:space="preserve">Table </w:t>
      </w:r>
      <w:r w:rsidRPr="00D326F8">
        <w:fldChar w:fldCharType="begin"/>
      </w:r>
      <w:r w:rsidRPr="00D326F8">
        <w:instrText xml:space="preserve"> SEQ Table \* ARABIC </w:instrText>
      </w:r>
      <w:r w:rsidRPr="00D326F8">
        <w:fldChar w:fldCharType="separate"/>
      </w:r>
      <w:r w:rsidR="00173A27">
        <w:rPr>
          <w:noProof/>
        </w:rPr>
        <w:t>5</w:t>
      </w:r>
      <w:r w:rsidRPr="00D326F8">
        <w:fldChar w:fldCharType="end"/>
      </w:r>
      <w:bookmarkEnd w:id="268"/>
      <w:r w:rsidRPr="00D326F8">
        <w:tab/>
        <w:t xml:space="preserve">Width of the 90% CI for the Ratio of PK Parameters, for Different Geometric </w:t>
      </w:r>
      <w:r w:rsidR="007D5243" w:rsidRPr="00D326F8">
        <w:t>M</w:t>
      </w:r>
      <w:r w:rsidRPr="00D326F8">
        <w:t>ean Ratios, Sample Sizes and Within-</w:t>
      </w:r>
      <w:r w:rsidR="001E611B" w:rsidRPr="00D326F8">
        <w:t xml:space="preserve">Participant </w:t>
      </w:r>
      <w:r w:rsidRPr="00D326F8">
        <w:t>CVs</w:t>
      </w:r>
      <w:bookmarkEnd w:id="269"/>
      <w:bookmarkEnd w:id="270"/>
    </w:p>
    <w:tbl>
      <w:tblPr>
        <w:tblW w:w="5000" w:type="pct"/>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391"/>
        <w:gridCol w:w="820"/>
        <w:gridCol w:w="1779"/>
        <w:gridCol w:w="1654"/>
        <w:gridCol w:w="2538"/>
      </w:tblGrid>
      <w:tr w:rsidR="003B74AE" w:rsidRPr="00D326F8" w14:paraId="601A821C" w14:textId="77777777" w:rsidTr="00752149">
        <w:trPr>
          <w:trHeight w:val="254"/>
        </w:trPr>
        <w:tc>
          <w:tcPr>
            <w:tcW w:w="1277" w:type="pct"/>
            <w:tcBorders>
              <w:top w:val="single" w:sz="4" w:space="0" w:color="auto"/>
              <w:left w:val="nil"/>
              <w:bottom w:val="nil"/>
              <w:right w:val="nil"/>
            </w:tcBorders>
            <w:noWrap/>
            <w:vAlign w:val="bottom"/>
          </w:tcPr>
          <w:p w14:paraId="601A8219" w14:textId="77777777" w:rsidR="00752149" w:rsidRPr="00D326F8" w:rsidRDefault="00752149">
            <w:pPr>
              <w:pStyle w:val="Tabletext"/>
              <w:keepNext/>
              <w:rPr>
                <w:b/>
                <w:bCs/>
                <w:lang w:eastAsia="de-DE"/>
              </w:rPr>
            </w:pPr>
          </w:p>
        </w:tc>
        <w:tc>
          <w:tcPr>
            <w:tcW w:w="438" w:type="pct"/>
            <w:tcBorders>
              <w:top w:val="single" w:sz="4" w:space="0" w:color="auto"/>
              <w:left w:val="nil"/>
              <w:bottom w:val="nil"/>
              <w:right w:val="nil"/>
            </w:tcBorders>
            <w:noWrap/>
            <w:vAlign w:val="bottom"/>
          </w:tcPr>
          <w:p w14:paraId="601A821A" w14:textId="77777777" w:rsidR="00752149" w:rsidRPr="00D326F8" w:rsidRDefault="00752149">
            <w:pPr>
              <w:pStyle w:val="Tabletext"/>
              <w:keepNext/>
              <w:jc w:val="center"/>
              <w:rPr>
                <w:b/>
                <w:bCs/>
                <w:lang w:eastAsia="de-DE"/>
              </w:rPr>
            </w:pPr>
          </w:p>
        </w:tc>
        <w:tc>
          <w:tcPr>
            <w:tcW w:w="3285" w:type="pct"/>
            <w:gridSpan w:val="3"/>
            <w:tcBorders>
              <w:top w:val="single" w:sz="4" w:space="0" w:color="auto"/>
              <w:left w:val="nil"/>
              <w:bottom w:val="single" w:sz="4" w:space="0" w:color="auto"/>
              <w:right w:val="nil"/>
            </w:tcBorders>
            <w:hideMark/>
          </w:tcPr>
          <w:p w14:paraId="601A821B" w14:textId="77777777" w:rsidR="00752149" w:rsidRPr="00D326F8" w:rsidRDefault="003E23E4">
            <w:pPr>
              <w:pStyle w:val="Tabletext"/>
              <w:keepNext/>
              <w:jc w:val="center"/>
              <w:rPr>
                <w:b/>
                <w:bCs/>
                <w:lang w:eastAsia="de-DE"/>
              </w:rPr>
            </w:pPr>
            <w:r w:rsidRPr="00D326F8">
              <w:rPr>
                <w:b/>
                <w:bCs/>
                <w:lang w:eastAsia="de-DE"/>
              </w:rPr>
              <w:t>90% Confidence Interval with 80% Tolerance Probability</w:t>
            </w:r>
          </w:p>
        </w:tc>
      </w:tr>
      <w:tr w:rsidR="003B74AE" w:rsidRPr="00D326F8" w14:paraId="601A8222" w14:textId="77777777" w:rsidTr="00752149">
        <w:trPr>
          <w:trHeight w:val="254"/>
        </w:trPr>
        <w:tc>
          <w:tcPr>
            <w:tcW w:w="1277" w:type="pct"/>
            <w:tcBorders>
              <w:top w:val="nil"/>
              <w:left w:val="nil"/>
              <w:bottom w:val="single" w:sz="4" w:space="0" w:color="auto"/>
              <w:right w:val="nil"/>
            </w:tcBorders>
            <w:noWrap/>
            <w:vAlign w:val="bottom"/>
            <w:hideMark/>
          </w:tcPr>
          <w:p w14:paraId="601A821D" w14:textId="77777777" w:rsidR="00752149" w:rsidRPr="00D326F8" w:rsidRDefault="003E23E4">
            <w:pPr>
              <w:pStyle w:val="Tabletext"/>
              <w:keepNext/>
              <w:rPr>
                <w:b/>
                <w:bCs/>
                <w:lang w:val="de-DE" w:eastAsia="de-DE"/>
              </w:rPr>
            </w:pPr>
            <w:proofErr w:type="spellStart"/>
            <w:r w:rsidRPr="00D326F8">
              <w:rPr>
                <w:b/>
                <w:bCs/>
                <w:lang w:val="de-DE" w:eastAsia="de-DE"/>
              </w:rPr>
              <w:t>Observed</w:t>
            </w:r>
            <w:proofErr w:type="spellEnd"/>
            <w:r w:rsidRPr="00D326F8">
              <w:rPr>
                <w:b/>
                <w:bCs/>
                <w:lang w:val="de-DE" w:eastAsia="de-DE"/>
              </w:rPr>
              <w:t xml:space="preserve"> Treatment Ratio</w:t>
            </w:r>
          </w:p>
        </w:tc>
        <w:tc>
          <w:tcPr>
            <w:tcW w:w="438" w:type="pct"/>
            <w:tcBorders>
              <w:top w:val="nil"/>
              <w:left w:val="nil"/>
              <w:bottom w:val="single" w:sz="4" w:space="0" w:color="auto"/>
              <w:right w:val="nil"/>
            </w:tcBorders>
            <w:noWrap/>
            <w:vAlign w:val="bottom"/>
            <w:hideMark/>
          </w:tcPr>
          <w:p w14:paraId="601A821E" w14:textId="77777777" w:rsidR="00752149" w:rsidRPr="00D326F8" w:rsidRDefault="003E23E4">
            <w:pPr>
              <w:pStyle w:val="Tabletext"/>
              <w:keepNext/>
              <w:jc w:val="center"/>
              <w:rPr>
                <w:b/>
                <w:bCs/>
                <w:lang w:val="de-DE" w:eastAsia="de-DE"/>
              </w:rPr>
            </w:pPr>
            <w:r w:rsidRPr="00D326F8">
              <w:rPr>
                <w:b/>
                <w:bCs/>
                <w:lang w:val="de-DE" w:eastAsia="de-DE"/>
              </w:rPr>
              <w:t>N (total)</w:t>
            </w:r>
          </w:p>
        </w:tc>
        <w:tc>
          <w:tcPr>
            <w:tcW w:w="980" w:type="pct"/>
            <w:tcBorders>
              <w:top w:val="single" w:sz="4" w:space="0" w:color="auto"/>
              <w:left w:val="nil"/>
              <w:bottom w:val="single" w:sz="4" w:space="0" w:color="auto"/>
              <w:right w:val="nil"/>
            </w:tcBorders>
            <w:vAlign w:val="bottom"/>
            <w:hideMark/>
          </w:tcPr>
          <w:p w14:paraId="601A821F" w14:textId="77777777" w:rsidR="00752149" w:rsidRPr="00D326F8" w:rsidRDefault="003E23E4">
            <w:pPr>
              <w:pStyle w:val="Tabletext"/>
              <w:keepNext/>
              <w:jc w:val="center"/>
              <w:rPr>
                <w:b/>
                <w:bCs/>
                <w:lang w:val="de-DE" w:eastAsia="de-DE"/>
              </w:rPr>
            </w:pPr>
            <w:r w:rsidRPr="00D326F8">
              <w:rPr>
                <w:b/>
                <w:bCs/>
                <w:lang w:val="de-DE" w:eastAsia="de-DE"/>
              </w:rPr>
              <w:t>CV = 10%</w:t>
            </w:r>
          </w:p>
        </w:tc>
        <w:tc>
          <w:tcPr>
            <w:tcW w:w="912" w:type="pct"/>
            <w:tcBorders>
              <w:top w:val="single" w:sz="4" w:space="0" w:color="auto"/>
              <w:left w:val="nil"/>
              <w:bottom w:val="single" w:sz="4" w:space="0" w:color="auto"/>
              <w:right w:val="nil"/>
            </w:tcBorders>
            <w:vAlign w:val="bottom"/>
            <w:hideMark/>
          </w:tcPr>
          <w:p w14:paraId="601A8220" w14:textId="77777777" w:rsidR="00752149" w:rsidRPr="00D326F8" w:rsidRDefault="003E23E4">
            <w:pPr>
              <w:pStyle w:val="Tabletext"/>
              <w:keepNext/>
              <w:jc w:val="center"/>
              <w:rPr>
                <w:b/>
                <w:bCs/>
                <w:lang w:val="de-DE" w:eastAsia="de-DE"/>
              </w:rPr>
            </w:pPr>
            <w:r w:rsidRPr="00D326F8">
              <w:rPr>
                <w:b/>
                <w:bCs/>
                <w:lang w:val="de-DE" w:eastAsia="de-DE"/>
              </w:rPr>
              <w:t>CV = 15%</w:t>
            </w:r>
          </w:p>
        </w:tc>
        <w:tc>
          <w:tcPr>
            <w:tcW w:w="1393" w:type="pct"/>
            <w:tcBorders>
              <w:top w:val="single" w:sz="4" w:space="0" w:color="auto"/>
              <w:left w:val="nil"/>
              <w:bottom w:val="single" w:sz="4" w:space="0" w:color="auto"/>
              <w:right w:val="nil"/>
            </w:tcBorders>
            <w:noWrap/>
            <w:vAlign w:val="bottom"/>
            <w:hideMark/>
          </w:tcPr>
          <w:p w14:paraId="601A8221" w14:textId="77777777" w:rsidR="00752149" w:rsidRPr="00D326F8" w:rsidRDefault="003E23E4">
            <w:pPr>
              <w:pStyle w:val="Tabletext"/>
              <w:keepNext/>
              <w:jc w:val="center"/>
              <w:rPr>
                <w:b/>
                <w:bCs/>
                <w:lang w:val="de-DE" w:eastAsia="de-DE"/>
              </w:rPr>
            </w:pPr>
            <w:r w:rsidRPr="00D326F8">
              <w:rPr>
                <w:b/>
                <w:bCs/>
                <w:lang w:val="de-DE" w:eastAsia="de-DE"/>
              </w:rPr>
              <w:t>CV = 20%</w:t>
            </w:r>
          </w:p>
        </w:tc>
      </w:tr>
      <w:tr w:rsidR="003B74AE" w:rsidRPr="00D326F8" w14:paraId="601A8228" w14:textId="77777777" w:rsidTr="00752149">
        <w:trPr>
          <w:trHeight w:val="254"/>
        </w:trPr>
        <w:tc>
          <w:tcPr>
            <w:tcW w:w="1277" w:type="pct"/>
            <w:tcBorders>
              <w:top w:val="single" w:sz="4" w:space="0" w:color="auto"/>
              <w:left w:val="nil"/>
              <w:bottom w:val="nil"/>
              <w:right w:val="nil"/>
            </w:tcBorders>
            <w:noWrap/>
            <w:hideMark/>
          </w:tcPr>
          <w:p w14:paraId="601A8223" w14:textId="77777777" w:rsidR="00752149" w:rsidRPr="00D326F8" w:rsidRDefault="003E23E4">
            <w:pPr>
              <w:pStyle w:val="Tabletext"/>
              <w:keepNext/>
              <w:rPr>
                <w:lang w:val="de-DE" w:eastAsia="de-DE"/>
              </w:rPr>
            </w:pPr>
            <w:r w:rsidRPr="00D326F8">
              <w:t>0.2</w:t>
            </w:r>
          </w:p>
        </w:tc>
        <w:tc>
          <w:tcPr>
            <w:tcW w:w="438" w:type="pct"/>
            <w:tcBorders>
              <w:top w:val="single" w:sz="4" w:space="0" w:color="auto"/>
              <w:left w:val="nil"/>
              <w:bottom w:val="nil"/>
              <w:right w:val="nil"/>
            </w:tcBorders>
            <w:noWrap/>
            <w:hideMark/>
          </w:tcPr>
          <w:p w14:paraId="601A8224" w14:textId="77777777" w:rsidR="00752149" w:rsidRPr="00D326F8" w:rsidRDefault="003E23E4">
            <w:pPr>
              <w:pStyle w:val="Tabletext"/>
              <w:keepNext/>
              <w:jc w:val="center"/>
              <w:rPr>
                <w:lang w:val="de-DE" w:eastAsia="de-DE"/>
              </w:rPr>
            </w:pPr>
            <w:r w:rsidRPr="00D326F8">
              <w:t>10</w:t>
            </w:r>
          </w:p>
        </w:tc>
        <w:tc>
          <w:tcPr>
            <w:tcW w:w="980" w:type="pct"/>
            <w:tcBorders>
              <w:top w:val="single" w:sz="4" w:space="0" w:color="auto"/>
              <w:left w:val="nil"/>
              <w:bottom w:val="nil"/>
              <w:right w:val="nil"/>
            </w:tcBorders>
            <w:hideMark/>
          </w:tcPr>
          <w:p w14:paraId="601A8225" w14:textId="77777777" w:rsidR="00752149" w:rsidRPr="00D326F8" w:rsidRDefault="003E23E4">
            <w:pPr>
              <w:pStyle w:val="Tabletext"/>
              <w:keepNext/>
              <w:jc w:val="center"/>
              <w:rPr>
                <w:rFonts w:ascii="Calibri" w:hAnsi="Calibri" w:cs="Calibri"/>
                <w:sz w:val="22"/>
                <w:szCs w:val="22"/>
              </w:rPr>
            </w:pPr>
            <w:r w:rsidRPr="00D326F8">
              <w:t>[0.174-0.230]</w:t>
            </w:r>
          </w:p>
        </w:tc>
        <w:tc>
          <w:tcPr>
            <w:tcW w:w="912" w:type="pct"/>
            <w:tcBorders>
              <w:top w:val="single" w:sz="4" w:space="0" w:color="auto"/>
              <w:left w:val="nil"/>
              <w:bottom w:val="nil"/>
              <w:right w:val="nil"/>
            </w:tcBorders>
            <w:hideMark/>
          </w:tcPr>
          <w:p w14:paraId="601A8226" w14:textId="77777777" w:rsidR="00752149" w:rsidRPr="00D326F8" w:rsidRDefault="003E23E4">
            <w:pPr>
              <w:pStyle w:val="Tabletext"/>
              <w:keepNext/>
              <w:jc w:val="center"/>
              <w:rPr>
                <w:rFonts w:ascii="Calibri" w:hAnsi="Calibri" w:cs="Calibri"/>
                <w:sz w:val="22"/>
                <w:szCs w:val="22"/>
              </w:rPr>
            </w:pPr>
            <w:r w:rsidRPr="00D326F8">
              <w:t>[0.163-0.246]</w:t>
            </w:r>
          </w:p>
        </w:tc>
        <w:tc>
          <w:tcPr>
            <w:tcW w:w="1393" w:type="pct"/>
            <w:tcBorders>
              <w:top w:val="single" w:sz="4" w:space="0" w:color="auto"/>
              <w:left w:val="nil"/>
              <w:bottom w:val="nil"/>
              <w:right w:val="nil"/>
            </w:tcBorders>
            <w:noWrap/>
            <w:hideMark/>
          </w:tcPr>
          <w:p w14:paraId="601A8227" w14:textId="77777777" w:rsidR="00752149" w:rsidRPr="00D326F8" w:rsidRDefault="003E23E4">
            <w:pPr>
              <w:pStyle w:val="Tabletext"/>
              <w:keepNext/>
              <w:jc w:val="center"/>
              <w:rPr>
                <w:lang w:val="de-DE" w:eastAsia="de-DE"/>
              </w:rPr>
            </w:pPr>
            <w:r w:rsidRPr="00D326F8">
              <w:t>[0.152-0.263]</w:t>
            </w:r>
          </w:p>
        </w:tc>
      </w:tr>
      <w:tr w:rsidR="003B74AE" w:rsidRPr="00D326F8" w14:paraId="601A822E" w14:textId="77777777" w:rsidTr="00752149">
        <w:trPr>
          <w:trHeight w:val="254"/>
        </w:trPr>
        <w:tc>
          <w:tcPr>
            <w:tcW w:w="1277" w:type="pct"/>
            <w:tcBorders>
              <w:top w:val="nil"/>
              <w:left w:val="nil"/>
              <w:bottom w:val="nil"/>
              <w:right w:val="nil"/>
            </w:tcBorders>
            <w:noWrap/>
          </w:tcPr>
          <w:p w14:paraId="601A8229"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2A" w14:textId="77777777" w:rsidR="00752149" w:rsidRPr="00D326F8" w:rsidRDefault="003E23E4">
            <w:pPr>
              <w:pStyle w:val="Tabletext"/>
              <w:keepNext/>
              <w:jc w:val="center"/>
              <w:rPr>
                <w:lang w:val="de-DE" w:eastAsia="de-DE"/>
              </w:rPr>
            </w:pPr>
            <w:r w:rsidRPr="00D326F8">
              <w:t>12</w:t>
            </w:r>
          </w:p>
        </w:tc>
        <w:tc>
          <w:tcPr>
            <w:tcW w:w="980" w:type="pct"/>
            <w:tcBorders>
              <w:top w:val="nil"/>
              <w:left w:val="nil"/>
              <w:bottom w:val="nil"/>
              <w:right w:val="nil"/>
            </w:tcBorders>
            <w:hideMark/>
          </w:tcPr>
          <w:p w14:paraId="601A822B" w14:textId="77777777" w:rsidR="00752149" w:rsidRPr="00D326F8" w:rsidRDefault="003E23E4">
            <w:pPr>
              <w:pStyle w:val="Tabletext"/>
              <w:keepNext/>
              <w:jc w:val="center"/>
              <w:rPr>
                <w:rFonts w:ascii="Calibri" w:hAnsi="Calibri" w:cs="Calibri"/>
                <w:sz w:val="22"/>
                <w:szCs w:val="22"/>
              </w:rPr>
            </w:pPr>
            <w:r w:rsidRPr="00D326F8">
              <w:t>[0.177-0.226]</w:t>
            </w:r>
          </w:p>
        </w:tc>
        <w:tc>
          <w:tcPr>
            <w:tcW w:w="912" w:type="pct"/>
            <w:tcBorders>
              <w:top w:val="nil"/>
              <w:left w:val="nil"/>
              <w:bottom w:val="nil"/>
              <w:right w:val="nil"/>
            </w:tcBorders>
            <w:hideMark/>
          </w:tcPr>
          <w:p w14:paraId="601A822C" w14:textId="77777777" w:rsidR="00752149" w:rsidRPr="00D326F8" w:rsidRDefault="003E23E4">
            <w:pPr>
              <w:pStyle w:val="Tabletext"/>
              <w:keepNext/>
              <w:jc w:val="center"/>
              <w:rPr>
                <w:rFonts w:ascii="Calibri" w:hAnsi="Calibri" w:cs="Calibri"/>
                <w:sz w:val="22"/>
                <w:szCs w:val="22"/>
              </w:rPr>
            </w:pPr>
            <w:r w:rsidRPr="00D326F8">
              <w:t>[0.167-0.240]</w:t>
            </w:r>
          </w:p>
        </w:tc>
        <w:tc>
          <w:tcPr>
            <w:tcW w:w="1393" w:type="pct"/>
            <w:tcBorders>
              <w:top w:val="nil"/>
              <w:left w:val="nil"/>
              <w:bottom w:val="nil"/>
              <w:right w:val="nil"/>
            </w:tcBorders>
            <w:noWrap/>
            <w:hideMark/>
          </w:tcPr>
          <w:p w14:paraId="601A822D" w14:textId="77777777" w:rsidR="00752149" w:rsidRPr="00D326F8" w:rsidRDefault="003E23E4">
            <w:pPr>
              <w:pStyle w:val="Tabletext"/>
              <w:keepNext/>
              <w:jc w:val="center"/>
              <w:rPr>
                <w:lang w:val="de-DE" w:eastAsia="de-DE"/>
              </w:rPr>
            </w:pPr>
            <w:r w:rsidRPr="00D326F8">
              <w:t>[0.157-0.254]</w:t>
            </w:r>
          </w:p>
        </w:tc>
      </w:tr>
      <w:tr w:rsidR="003B74AE" w:rsidRPr="00D326F8" w14:paraId="601A8234" w14:textId="77777777" w:rsidTr="00752149">
        <w:trPr>
          <w:trHeight w:val="254"/>
        </w:trPr>
        <w:tc>
          <w:tcPr>
            <w:tcW w:w="1277" w:type="pct"/>
            <w:tcBorders>
              <w:top w:val="nil"/>
              <w:left w:val="nil"/>
              <w:bottom w:val="nil"/>
              <w:right w:val="nil"/>
            </w:tcBorders>
            <w:noWrap/>
          </w:tcPr>
          <w:p w14:paraId="601A822F"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30" w14:textId="77777777" w:rsidR="00752149" w:rsidRPr="00D326F8" w:rsidRDefault="003E23E4">
            <w:pPr>
              <w:pStyle w:val="Tabletext"/>
              <w:keepNext/>
              <w:jc w:val="center"/>
              <w:rPr>
                <w:lang w:val="de-DE" w:eastAsia="de-DE"/>
              </w:rPr>
            </w:pPr>
            <w:r w:rsidRPr="00D326F8">
              <w:t>14</w:t>
            </w:r>
          </w:p>
        </w:tc>
        <w:tc>
          <w:tcPr>
            <w:tcW w:w="980" w:type="pct"/>
            <w:tcBorders>
              <w:top w:val="nil"/>
              <w:left w:val="nil"/>
              <w:bottom w:val="nil"/>
              <w:right w:val="nil"/>
            </w:tcBorders>
            <w:hideMark/>
          </w:tcPr>
          <w:p w14:paraId="601A8231" w14:textId="77777777" w:rsidR="00752149" w:rsidRPr="00D326F8" w:rsidRDefault="003E23E4">
            <w:pPr>
              <w:pStyle w:val="Tabletext"/>
              <w:keepNext/>
              <w:jc w:val="center"/>
              <w:rPr>
                <w:rFonts w:ascii="Calibri" w:hAnsi="Calibri" w:cs="Calibri"/>
                <w:sz w:val="22"/>
                <w:szCs w:val="22"/>
              </w:rPr>
            </w:pPr>
            <w:r w:rsidRPr="00D326F8">
              <w:t>[0.179-0.223]</w:t>
            </w:r>
          </w:p>
        </w:tc>
        <w:tc>
          <w:tcPr>
            <w:tcW w:w="912" w:type="pct"/>
            <w:tcBorders>
              <w:top w:val="nil"/>
              <w:left w:val="nil"/>
              <w:bottom w:val="nil"/>
              <w:right w:val="nil"/>
            </w:tcBorders>
            <w:hideMark/>
          </w:tcPr>
          <w:p w14:paraId="601A8232" w14:textId="77777777" w:rsidR="00752149" w:rsidRPr="00D326F8" w:rsidRDefault="003E23E4">
            <w:pPr>
              <w:pStyle w:val="Tabletext"/>
              <w:keepNext/>
              <w:jc w:val="center"/>
              <w:rPr>
                <w:rFonts w:ascii="Calibri" w:hAnsi="Calibri" w:cs="Calibri"/>
                <w:sz w:val="22"/>
                <w:szCs w:val="22"/>
              </w:rPr>
            </w:pPr>
            <w:r w:rsidRPr="00D326F8">
              <w:t>[0.170-0.235]</w:t>
            </w:r>
          </w:p>
        </w:tc>
        <w:tc>
          <w:tcPr>
            <w:tcW w:w="1393" w:type="pct"/>
            <w:tcBorders>
              <w:top w:val="nil"/>
              <w:left w:val="nil"/>
              <w:bottom w:val="nil"/>
              <w:right w:val="nil"/>
            </w:tcBorders>
            <w:noWrap/>
            <w:hideMark/>
          </w:tcPr>
          <w:p w14:paraId="601A8233" w14:textId="77777777" w:rsidR="00752149" w:rsidRPr="00D326F8" w:rsidRDefault="003E23E4">
            <w:pPr>
              <w:pStyle w:val="Tabletext"/>
              <w:keepNext/>
              <w:jc w:val="center"/>
              <w:rPr>
                <w:lang w:val="de-DE" w:eastAsia="de-DE"/>
              </w:rPr>
            </w:pPr>
            <w:r w:rsidRPr="00D326F8">
              <w:t>[0.161-0.248]</w:t>
            </w:r>
          </w:p>
        </w:tc>
      </w:tr>
      <w:tr w:rsidR="003B74AE" w:rsidRPr="00D326F8" w14:paraId="601A823A" w14:textId="77777777" w:rsidTr="00752149">
        <w:trPr>
          <w:trHeight w:val="254"/>
        </w:trPr>
        <w:tc>
          <w:tcPr>
            <w:tcW w:w="1277" w:type="pct"/>
            <w:tcBorders>
              <w:top w:val="nil"/>
              <w:left w:val="nil"/>
              <w:bottom w:val="nil"/>
              <w:right w:val="nil"/>
            </w:tcBorders>
            <w:noWrap/>
          </w:tcPr>
          <w:p w14:paraId="601A8235"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36" w14:textId="77777777" w:rsidR="00752149" w:rsidRPr="00D326F8" w:rsidRDefault="003E23E4">
            <w:pPr>
              <w:pStyle w:val="Tabletext"/>
              <w:keepNext/>
              <w:jc w:val="center"/>
              <w:rPr>
                <w:lang w:val="de-DE" w:eastAsia="de-DE"/>
              </w:rPr>
            </w:pPr>
            <w:r w:rsidRPr="00D326F8">
              <w:t>16</w:t>
            </w:r>
          </w:p>
        </w:tc>
        <w:tc>
          <w:tcPr>
            <w:tcW w:w="980" w:type="pct"/>
            <w:tcBorders>
              <w:top w:val="nil"/>
              <w:left w:val="nil"/>
              <w:bottom w:val="nil"/>
              <w:right w:val="nil"/>
            </w:tcBorders>
            <w:hideMark/>
          </w:tcPr>
          <w:p w14:paraId="601A8237" w14:textId="77777777" w:rsidR="00752149" w:rsidRPr="00D326F8" w:rsidRDefault="003E23E4">
            <w:pPr>
              <w:pStyle w:val="Tabletext"/>
              <w:keepNext/>
              <w:jc w:val="center"/>
              <w:rPr>
                <w:rFonts w:ascii="Calibri" w:hAnsi="Calibri" w:cs="Calibri"/>
                <w:sz w:val="22"/>
                <w:szCs w:val="22"/>
              </w:rPr>
            </w:pPr>
            <w:r w:rsidRPr="00D326F8">
              <w:t>[0.181-0.221]</w:t>
            </w:r>
          </w:p>
        </w:tc>
        <w:tc>
          <w:tcPr>
            <w:tcW w:w="912" w:type="pct"/>
            <w:tcBorders>
              <w:top w:val="nil"/>
              <w:left w:val="nil"/>
              <w:bottom w:val="nil"/>
              <w:right w:val="nil"/>
            </w:tcBorders>
            <w:hideMark/>
          </w:tcPr>
          <w:p w14:paraId="601A8238" w14:textId="77777777" w:rsidR="00752149" w:rsidRPr="00D326F8" w:rsidRDefault="003E23E4">
            <w:pPr>
              <w:pStyle w:val="Tabletext"/>
              <w:keepNext/>
              <w:jc w:val="center"/>
              <w:rPr>
                <w:rFonts w:ascii="Calibri" w:hAnsi="Calibri" w:cs="Calibri"/>
                <w:sz w:val="22"/>
                <w:szCs w:val="22"/>
              </w:rPr>
            </w:pPr>
            <w:r w:rsidRPr="00D326F8">
              <w:t>[0.172-0.232]</w:t>
            </w:r>
          </w:p>
        </w:tc>
        <w:tc>
          <w:tcPr>
            <w:tcW w:w="1393" w:type="pct"/>
            <w:tcBorders>
              <w:top w:val="nil"/>
              <w:left w:val="nil"/>
              <w:bottom w:val="nil"/>
              <w:right w:val="nil"/>
            </w:tcBorders>
            <w:noWrap/>
            <w:hideMark/>
          </w:tcPr>
          <w:p w14:paraId="601A8239" w14:textId="77777777" w:rsidR="00752149" w:rsidRPr="00D326F8" w:rsidRDefault="003E23E4">
            <w:pPr>
              <w:pStyle w:val="Tabletext"/>
              <w:keepNext/>
              <w:jc w:val="center"/>
              <w:rPr>
                <w:lang w:val="de-DE" w:eastAsia="de-DE"/>
              </w:rPr>
            </w:pPr>
            <w:r w:rsidRPr="00D326F8">
              <w:t>[0.164-0.244]</w:t>
            </w:r>
          </w:p>
        </w:tc>
      </w:tr>
      <w:tr w:rsidR="003B74AE" w:rsidRPr="00D326F8" w14:paraId="601A8240" w14:textId="77777777" w:rsidTr="00752149">
        <w:trPr>
          <w:trHeight w:val="254"/>
        </w:trPr>
        <w:tc>
          <w:tcPr>
            <w:tcW w:w="1277" w:type="pct"/>
            <w:tcBorders>
              <w:top w:val="nil"/>
              <w:left w:val="nil"/>
              <w:bottom w:val="nil"/>
              <w:right w:val="nil"/>
            </w:tcBorders>
            <w:noWrap/>
          </w:tcPr>
          <w:p w14:paraId="601A823B"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3C" w14:textId="77777777" w:rsidR="00752149" w:rsidRPr="00D326F8" w:rsidRDefault="003E23E4">
            <w:pPr>
              <w:pStyle w:val="Tabletext"/>
              <w:keepNext/>
              <w:jc w:val="center"/>
            </w:pPr>
            <w:r w:rsidRPr="00D326F8">
              <w:t>18</w:t>
            </w:r>
          </w:p>
        </w:tc>
        <w:tc>
          <w:tcPr>
            <w:tcW w:w="980" w:type="pct"/>
            <w:tcBorders>
              <w:top w:val="nil"/>
              <w:left w:val="nil"/>
              <w:bottom w:val="nil"/>
              <w:right w:val="nil"/>
            </w:tcBorders>
            <w:hideMark/>
          </w:tcPr>
          <w:p w14:paraId="601A823D" w14:textId="77777777" w:rsidR="00752149" w:rsidRPr="00D326F8" w:rsidRDefault="003E23E4">
            <w:pPr>
              <w:pStyle w:val="Tabletext"/>
              <w:keepNext/>
              <w:jc w:val="center"/>
            </w:pPr>
            <w:r w:rsidRPr="00D326F8">
              <w:t>[0.182-0.219]</w:t>
            </w:r>
          </w:p>
        </w:tc>
        <w:tc>
          <w:tcPr>
            <w:tcW w:w="912" w:type="pct"/>
            <w:tcBorders>
              <w:top w:val="nil"/>
              <w:left w:val="nil"/>
              <w:bottom w:val="nil"/>
              <w:right w:val="nil"/>
            </w:tcBorders>
            <w:hideMark/>
          </w:tcPr>
          <w:p w14:paraId="601A823E" w14:textId="77777777" w:rsidR="00752149" w:rsidRPr="00D326F8" w:rsidRDefault="003E23E4">
            <w:pPr>
              <w:pStyle w:val="Tabletext"/>
              <w:keepNext/>
              <w:jc w:val="center"/>
            </w:pPr>
            <w:r w:rsidRPr="00D326F8">
              <w:t>[0.174-0.230]</w:t>
            </w:r>
          </w:p>
        </w:tc>
        <w:tc>
          <w:tcPr>
            <w:tcW w:w="1393" w:type="pct"/>
            <w:tcBorders>
              <w:top w:val="nil"/>
              <w:left w:val="nil"/>
              <w:bottom w:val="nil"/>
              <w:right w:val="nil"/>
            </w:tcBorders>
            <w:noWrap/>
            <w:hideMark/>
          </w:tcPr>
          <w:p w14:paraId="601A823F" w14:textId="77777777" w:rsidR="00752149" w:rsidRPr="00D326F8" w:rsidRDefault="003E23E4">
            <w:pPr>
              <w:pStyle w:val="Tabletext"/>
              <w:keepNext/>
              <w:jc w:val="center"/>
            </w:pPr>
            <w:r w:rsidRPr="00D326F8">
              <w:t>[0.166-0.240]</w:t>
            </w:r>
          </w:p>
        </w:tc>
      </w:tr>
      <w:tr w:rsidR="003B74AE" w:rsidRPr="00D326F8" w14:paraId="601A8246" w14:textId="77777777" w:rsidTr="00752149">
        <w:trPr>
          <w:trHeight w:val="254"/>
        </w:trPr>
        <w:tc>
          <w:tcPr>
            <w:tcW w:w="1277" w:type="pct"/>
            <w:tcBorders>
              <w:top w:val="nil"/>
              <w:left w:val="nil"/>
              <w:bottom w:val="nil"/>
              <w:right w:val="nil"/>
            </w:tcBorders>
            <w:noWrap/>
            <w:hideMark/>
          </w:tcPr>
          <w:p w14:paraId="601A8241" w14:textId="77777777" w:rsidR="00752149" w:rsidRPr="00D326F8" w:rsidRDefault="003E23E4">
            <w:pPr>
              <w:pStyle w:val="Tabletext"/>
              <w:keepNext/>
              <w:rPr>
                <w:lang w:val="de-DE" w:eastAsia="de-DE"/>
              </w:rPr>
            </w:pPr>
            <w:r w:rsidRPr="00D326F8">
              <w:t>0.5</w:t>
            </w:r>
          </w:p>
        </w:tc>
        <w:tc>
          <w:tcPr>
            <w:tcW w:w="438" w:type="pct"/>
            <w:tcBorders>
              <w:top w:val="nil"/>
              <w:left w:val="nil"/>
              <w:bottom w:val="nil"/>
              <w:right w:val="nil"/>
            </w:tcBorders>
            <w:noWrap/>
            <w:hideMark/>
          </w:tcPr>
          <w:p w14:paraId="601A8242" w14:textId="77777777" w:rsidR="00752149" w:rsidRPr="00D326F8" w:rsidRDefault="003E23E4">
            <w:pPr>
              <w:pStyle w:val="Tabletext"/>
              <w:keepNext/>
              <w:jc w:val="center"/>
              <w:rPr>
                <w:rFonts w:ascii="Calibri" w:hAnsi="Calibri" w:cs="Calibri"/>
                <w:sz w:val="22"/>
                <w:szCs w:val="22"/>
              </w:rPr>
            </w:pPr>
            <w:r w:rsidRPr="00D326F8">
              <w:t>10</w:t>
            </w:r>
          </w:p>
        </w:tc>
        <w:tc>
          <w:tcPr>
            <w:tcW w:w="980" w:type="pct"/>
            <w:tcBorders>
              <w:top w:val="nil"/>
              <w:left w:val="nil"/>
              <w:bottom w:val="nil"/>
              <w:right w:val="nil"/>
            </w:tcBorders>
            <w:hideMark/>
          </w:tcPr>
          <w:p w14:paraId="601A8243" w14:textId="77777777" w:rsidR="00752149" w:rsidRPr="00D326F8" w:rsidRDefault="003E23E4">
            <w:pPr>
              <w:pStyle w:val="Tabletext"/>
              <w:keepNext/>
              <w:jc w:val="center"/>
              <w:rPr>
                <w:rFonts w:ascii="Calibri" w:hAnsi="Calibri" w:cs="Calibri"/>
                <w:sz w:val="22"/>
                <w:szCs w:val="22"/>
              </w:rPr>
            </w:pPr>
            <w:r w:rsidRPr="00D326F8">
              <w:t>[0.436-0.574]</w:t>
            </w:r>
          </w:p>
        </w:tc>
        <w:tc>
          <w:tcPr>
            <w:tcW w:w="912" w:type="pct"/>
            <w:tcBorders>
              <w:top w:val="nil"/>
              <w:left w:val="nil"/>
              <w:bottom w:val="nil"/>
              <w:right w:val="nil"/>
            </w:tcBorders>
            <w:hideMark/>
          </w:tcPr>
          <w:p w14:paraId="601A8244" w14:textId="77777777" w:rsidR="00752149" w:rsidRPr="00D326F8" w:rsidRDefault="003E23E4">
            <w:pPr>
              <w:pStyle w:val="Tabletext"/>
              <w:keepNext/>
              <w:jc w:val="center"/>
              <w:rPr>
                <w:rFonts w:ascii="Calibri" w:hAnsi="Calibri" w:cs="Calibri"/>
                <w:sz w:val="22"/>
                <w:szCs w:val="22"/>
              </w:rPr>
            </w:pPr>
            <w:r w:rsidRPr="00D326F8">
              <w:t>[0.407-0.614]</w:t>
            </w:r>
          </w:p>
        </w:tc>
        <w:tc>
          <w:tcPr>
            <w:tcW w:w="1393" w:type="pct"/>
            <w:tcBorders>
              <w:top w:val="nil"/>
              <w:left w:val="nil"/>
              <w:bottom w:val="nil"/>
              <w:right w:val="nil"/>
            </w:tcBorders>
            <w:noWrap/>
            <w:hideMark/>
          </w:tcPr>
          <w:p w14:paraId="601A8245" w14:textId="77777777" w:rsidR="00752149" w:rsidRPr="00D326F8" w:rsidRDefault="003E23E4">
            <w:pPr>
              <w:pStyle w:val="Tabletext"/>
              <w:keepNext/>
              <w:jc w:val="center"/>
              <w:rPr>
                <w:rFonts w:ascii="Calibri" w:hAnsi="Calibri" w:cs="Calibri"/>
                <w:sz w:val="22"/>
                <w:szCs w:val="22"/>
              </w:rPr>
            </w:pPr>
            <w:r w:rsidRPr="00D326F8">
              <w:t>[0.380-0.657]</w:t>
            </w:r>
          </w:p>
        </w:tc>
      </w:tr>
      <w:tr w:rsidR="003B74AE" w:rsidRPr="00D326F8" w14:paraId="601A824C" w14:textId="77777777" w:rsidTr="00752149">
        <w:trPr>
          <w:trHeight w:val="254"/>
        </w:trPr>
        <w:tc>
          <w:tcPr>
            <w:tcW w:w="1277" w:type="pct"/>
            <w:tcBorders>
              <w:top w:val="nil"/>
              <w:left w:val="nil"/>
              <w:bottom w:val="nil"/>
              <w:right w:val="nil"/>
            </w:tcBorders>
            <w:noWrap/>
          </w:tcPr>
          <w:p w14:paraId="601A8247"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48" w14:textId="77777777" w:rsidR="00752149" w:rsidRPr="00D326F8" w:rsidRDefault="003E23E4">
            <w:pPr>
              <w:pStyle w:val="Tabletext"/>
              <w:keepNext/>
              <w:jc w:val="center"/>
              <w:rPr>
                <w:lang w:val="de-DE" w:eastAsia="de-DE"/>
              </w:rPr>
            </w:pPr>
            <w:r w:rsidRPr="00D326F8">
              <w:t>12</w:t>
            </w:r>
          </w:p>
        </w:tc>
        <w:tc>
          <w:tcPr>
            <w:tcW w:w="980" w:type="pct"/>
            <w:tcBorders>
              <w:top w:val="nil"/>
              <w:left w:val="nil"/>
              <w:bottom w:val="nil"/>
              <w:right w:val="nil"/>
            </w:tcBorders>
            <w:hideMark/>
          </w:tcPr>
          <w:p w14:paraId="601A8249" w14:textId="77777777" w:rsidR="00752149" w:rsidRPr="00D326F8" w:rsidRDefault="003E23E4">
            <w:pPr>
              <w:pStyle w:val="Tabletext"/>
              <w:keepNext/>
              <w:jc w:val="center"/>
              <w:rPr>
                <w:rFonts w:ascii="Calibri" w:hAnsi="Calibri" w:cs="Calibri"/>
                <w:sz w:val="22"/>
                <w:szCs w:val="22"/>
              </w:rPr>
            </w:pPr>
            <w:r w:rsidRPr="00D326F8">
              <w:t>[0.443-0.564]</w:t>
            </w:r>
          </w:p>
        </w:tc>
        <w:tc>
          <w:tcPr>
            <w:tcW w:w="912" w:type="pct"/>
            <w:tcBorders>
              <w:top w:val="nil"/>
              <w:left w:val="nil"/>
              <w:bottom w:val="nil"/>
              <w:right w:val="nil"/>
            </w:tcBorders>
            <w:hideMark/>
          </w:tcPr>
          <w:p w14:paraId="601A824A" w14:textId="77777777" w:rsidR="00752149" w:rsidRPr="00D326F8" w:rsidRDefault="003E23E4">
            <w:pPr>
              <w:pStyle w:val="Tabletext"/>
              <w:keepNext/>
              <w:jc w:val="center"/>
              <w:rPr>
                <w:rFonts w:ascii="Calibri" w:hAnsi="Calibri" w:cs="Calibri"/>
                <w:sz w:val="22"/>
                <w:szCs w:val="22"/>
              </w:rPr>
            </w:pPr>
            <w:r w:rsidRPr="00D326F8">
              <w:t>[0.417-0.599]</w:t>
            </w:r>
          </w:p>
        </w:tc>
        <w:tc>
          <w:tcPr>
            <w:tcW w:w="1393" w:type="pct"/>
            <w:tcBorders>
              <w:top w:val="nil"/>
              <w:left w:val="nil"/>
              <w:bottom w:val="nil"/>
              <w:right w:val="nil"/>
            </w:tcBorders>
            <w:noWrap/>
            <w:hideMark/>
          </w:tcPr>
          <w:p w14:paraId="601A824B" w14:textId="77777777" w:rsidR="00752149" w:rsidRPr="00D326F8" w:rsidRDefault="003E23E4">
            <w:pPr>
              <w:pStyle w:val="Tabletext"/>
              <w:keepNext/>
              <w:jc w:val="center"/>
              <w:rPr>
                <w:lang w:val="de-DE" w:eastAsia="de-DE"/>
              </w:rPr>
            </w:pPr>
            <w:r w:rsidRPr="00D326F8">
              <w:t>[0.393-0.636]</w:t>
            </w:r>
          </w:p>
        </w:tc>
      </w:tr>
      <w:tr w:rsidR="003B74AE" w:rsidRPr="00D326F8" w14:paraId="601A8252" w14:textId="77777777" w:rsidTr="00752149">
        <w:trPr>
          <w:trHeight w:val="254"/>
        </w:trPr>
        <w:tc>
          <w:tcPr>
            <w:tcW w:w="1277" w:type="pct"/>
            <w:tcBorders>
              <w:top w:val="nil"/>
              <w:left w:val="nil"/>
              <w:bottom w:val="nil"/>
              <w:right w:val="nil"/>
            </w:tcBorders>
            <w:noWrap/>
          </w:tcPr>
          <w:p w14:paraId="601A824D"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4E" w14:textId="77777777" w:rsidR="00752149" w:rsidRPr="00D326F8" w:rsidRDefault="003E23E4">
            <w:pPr>
              <w:pStyle w:val="Tabletext"/>
              <w:keepNext/>
              <w:jc w:val="center"/>
              <w:rPr>
                <w:lang w:val="de-DE" w:eastAsia="de-DE"/>
              </w:rPr>
            </w:pPr>
            <w:r w:rsidRPr="00D326F8">
              <w:t>14</w:t>
            </w:r>
          </w:p>
        </w:tc>
        <w:tc>
          <w:tcPr>
            <w:tcW w:w="980" w:type="pct"/>
            <w:tcBorders>
              <w:top w:val="nil"/>
              <w:left w:val="nil"/>
              <w:bottom w:val="nil"/>
              <w:right w:val="nil"/>
            </w:tcBorders>
            <w:hideMark/>
          </w:tcPr>
          <w:p w14:paraId="601A824F" w14:textId="77777777" w:rsidR="00752149" w:rsidRPr="00D326F8" w:rsidRDefault="003E23E4">
            <w:pPr>
              <w:pStyle w:val="Tabletext"/>
              <w:keepNext/>
              <w:jc w:val="center"/>
              <w:rPr>
                <w:rFonts w:ascii="Calibri" w:hAnsi="Calibri" w:cs="Calibri"/>
                <w:sz w:val="22"/>
                <w:szCs w:val="22"/>
              </w:rPr>
            </w:pPr>
            <w:r w:rsidRPr="00D326F8">
              <w:t>[0.448-0.558]</w:t>
            </w:r>
          </w:p>
        </w:tc>
        <w:tc>
          <w:tcPr>
            <w:tcW w:w="912" w:type="pct"/>
            <w:tcBorders>
              <w:top w:val="nil"/>
              <w:left w:val="nil"/>
              <w:bottom w:val="nil"/>
              <w:right w:val="nil"/>
            </w:tcBorders>
            <w:hideMark/>
          </w:tcPr>
          <w:p w14:paraId="601A8250" w14:textId="77777777" w:rsidR="00752149" w:rsidRPr="00D326F8" w:rsidRDefault="003E23E4">
            <w:pPr>
              <w:pStyle w:val="Tabletext"/>
              <w:keepNext/>
              <w:jc w:val="center"/>
              <w:rPr>
                <w:rFonts w:ascii="Calibri" w:hAnsi="Calibri" w:cs="Calibri"/>
                <w:sz w:val="22"/>
                <w:szCs w:val="22"/>
              </w:rPr>
            </w:pPr>
            <w:r w:rsidRPr="00D326F8">
              <w:t>[0.425-0.589]</w:t>
            </w:r>
          </w:p>
        </w:tc>
        <w:tc>
          <w:tcPr>
            <w:tcW w:w="1393" w:type="pct"/>
            <w:tcBorders>
              <w:top w:val="nil"/>
              <w:left w:val="nil"/>
              <w:bottom w:val="nil"/>
              <w:right w:val="nil"/>
            </w:tcBorders>
            <w:noWrap/>
            <w:hideMark/>
          </w:tcPr>
          <w:p w14:paraId="601A8251" w14:textId="77777777" w:rsidR="00752149" w:rsidRPr="00D326F8" w:rsidRDefault="003E23E4">
            <w:pPr>
              <w:pStyle w:val="Tabletext"/>
              <w:keepNext/>
              <w:jc w:val="center"/>
              <w:rPr>
                <w:lang w:val="de-DE" w:eastAsia="de-DE"/>
              </w:rPr>
            </w:pPr>
            <w:r w:rsidRPr="00D326F8">
              <w:t>[0.403-0.621]</w:t>
            </w:r>
          </w:p>
        </w:tc>
      </w:tr>
      <w:tr w:rsidR="003B74AE" w:rsidRPr="00D326F8" w14:paraId="601A8258" w14:textId="77777777" w:rsidTr="00752149">
        <w:trPr>
          <w:trHeight w:val="254"/>
        </w:trPr>
        <w:tc>
          <w:tcPr>
            <w:tcW w:w="1277" w:type="pct"/>
            <w:tcBorders>
              <w:top w:val="nil"/>
              <w:left w:val="nil"/>
              <w:bottom w:val="nil"/>
              <w:right w:val="nil"/>
            </w:tcBorders>
            <w:noWrap/>
          </w:tcPr>
          <w:p w14:paraId="601A8253"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54" w14:textId="77777777" w:rsidR="00752149" w:rsidRPr="00D326F8" w:rsidRDefault="003E23E4">
            <w:pPr>
              <w:pStyle w:val="Tabletext"/>
              <w:keepNext/>
              <w:jc w:val="center"/>
              <w:rPr>
                <w:lang w:val="de-DE" w:eastAsia="de-DE"/>
              </w:rPr>
            </w:pPr>
            <w:r w:rsidRPr="00D326F8">
              <w:t>16</w:t>
            </w:r>
          </w:p>
        </w:tc>
        <w:tc>
          <w:tcPr>
            <w:tcW w:w="980" w:type="pct"/>
            <w:tcBorders>
              <w:top w:val="nil"/>
              <w:left w:val="nil"/>
              <w:bottom w:val="nil"/>
              <w:right w:val="nil"/>
            </w:tcBorders>
            <w:hideMark/>
          </w:tcPr>
          <w:p w14:paraId="601A8255" w14:textId="77777777" w:rsidR="00752149" w:rsidRPr="00D326F8" w:rsidRDefault="003E23E4">
            <w:pPr>
              <w:pStyle w:val="Tabletext"/>
              <w:keepNext/>
              <w:jc w:val="center"/>
              <w:rPr>
                <w:rFonts w:ascii="Calibri" w:hAnsi="Calibri" w:cs="Calibri"/>
                <w:sz w:val="22"/>
                <w:szCs w:val="22"/>
              </w:rPr>
            </w:pPr>
            <w:r w:rsidRPr="00D326F8">
              <w:t>[0.452-0.553]</w:t>
            </w:r>
          </w:p>
        </w:tc>
        <w:tc>
          <w:tcPr>
            <w:tcW w:w="912" w:type="pct"/>
            <w:tcBorders>
              <w:top w:val="nil"/>
              <w:left w:val="nil"/>
              <w:bottom w:val="nil"/>
              <w:right w:val="nil"/>
            </w:tcBorders>
            <w:hideMark/>
          </w:tcPr>
          <w:p w14:paraId="601A8256" w14:textId="77777777" w:rsidR="00752149" w:rsidRPr="00D326F8" w:rsidRDefault="003E23E4">
            <w:pPr>
              <w:pStyle w:val="Tabletext"/>
              <w:keepNext/>
              <w:jc w:val="center"/>
              <w:rPr>
                <w:rFonts w:ascii="Calibri" w:hAnsi="Calibri" w:cs="Calibri"/>
                <w:sz w:val="22"/>
                <w:szCs w:val="22"/>
              </w:rPr>
            </w:pPr>
            <w:r w:rsidRPr="00D326F8">
              <w:t>[0.431-0.581]</w:t>
            </w:r>
          </w:p>
        </w:tc>
        <w:tc>
          <w:tcPr>
            <w:tcW w:w="1393" w:type="pct"/>
            <w:tcBorders>
              <w:top w:val="nil"/>
              <w:left w:val="nil"/>
              <w:bottom w:val="nil"/>
              <w:right w:val="nil"/>
            </w:tcBorders>
            <w:noWrap/>
            <w:hideMark/>
          </w:tcPr>
          <w:p w14:paraId="601A8257" w14:textId="77777777" w:rsidR="00752149" w:rsidRPr="00D326F8" w:rsidRDefault="003E23E4">
            <w:pPr>
              <w:pStyle w:val="Tabletext"/>
              <w:keepNext/>
              <w:jc w:val="center"/>
              <w:rPr>
                <w:lang w:val="de-DE" w:eastAsia="de-DE"/>
              </w:rPr>
            </w:pPr>
            <w:r w:rsidRPr="00D326F8">
              <w:t>[0.410-0.610]</w:t>
            </w:r>
          </w:p>
        </w:tc>
      </w:tr>
      <w:tr w:rsidR="003B74AE" w:rsidRPr="00D326F8" w14:paraId="601A825E" w14:textId="77777777" w:rsidTr="00752149">
        <w:trPr>
          <w:trHeight w:val="254"/>
        </w:trPr>
        <w:tc>
          <w:tcPr>
            <w:tcW w:w="1277" w:type="pct"/>
            <w:tcBorders>
              <w:top w:val="nil"/>
              <w:left w:val="nil"/>
              <w:bottom w:val="nil"/>
              <w:right w:val="nil"/>
            </w:tcBorders>
            <w:noWrap/>
          </w:tcPr>
          <w:p w14:paraId="601A8259"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5A" w14:textId="77777777" w:rsidR="00752149" w:rsidRPr="00D326F8" w:rsidRDefault="003E23E4">
            <w:pPr>
              <w:pStyle w:val="Tabletext"/>
              <w:keepNext/>
              <w:jc w:val="center"/>
            </w:pPr>
            <w:r w:rsidRPr="00D326F8">
              <w:t>18</w:t>
            </w:r>
          </w:p>
        </w:tc>
        <w:tc>
          <w:tcPr>
            <w:tcW w:w="980" w:type="pct"/>
            <w:tcBorders>
              <w:top w:val="nil"/>
              <w:left w:val="nil"/>
              <w:bottom w:val="nil"/>
              <w:right w:val="nil"/>
            </w:tcBorders>
            <w:hideMark/>
          </w:tcPr>
          <w:p w14:paraId="601A825B" w14:textId="77777777" w:rsidR="00752149" w:rsidRPr="00D326F8" w:rsidRDefault="003E23E4">
            <w:pPr>
              <w:pStyle w:val="Tabletext"/>
              <w:keepNext/>
              <w:jc w:val="center"/>
            </w:pPr>
            <w:r w:rsidRPr="00D326F8">
              <w:t>[0.456-0.549]</w:t>
            </w:r>
          </w:p>
        </w:tc>
        <w:tc>
          <w:tcPr>
            <w:tcW w:w="912" w:type="pct"/>
            <w:tcBorders>
              <w:top w:val="nil"/>
              <w:left w:val="nil"/>
              <w:bottom w:val="nil"/>
              <w:right w:val="nil"/>
            </w:tcBorders>
            <w:hideMark/>
          </w:tcPr>
          <w:p w14:paraId="601A825C" w14:textId="77777777" w:rsidR="00752149" w:rsidRPr="00D326F8" w:rsidRDefault="003E23E4">
            <w:pPr>
              <w:pStyle w:val="Tabletext"/>
              <w:keepNext/>
              <w:jc w:val="center"/>
            </w:pPr>
            <w:r w:rsidRPr="00D326F8">
              <w:t>[0.435-0.574]</w:t>
            </w:r>
          </w:p>
        </w:tc>
        <w:tc>
          <w:tcPr>
            <w:tcW w:w="1393" w:type="pct"/>
            <w:tcBorders>
              <w:top w:val="nil"/>
              <w:left w:val="nil"/>
              <w:bottom w:val="nil"/>
              <w:right w:val="nil"/>
            </w:tcBorders>
            <w:noWrap/>
            <w:hideMark/>
          </w:tcPr>
          <w:p w14:paraId="601A825D" w14:textId="77777777" w:rsidR="00752149" w:rsidRPr="00D326F8" w:rsidRDefault="003E23E4">
            <w:pPr>
              <w:pStyle w:val="Tabletext"/>
              <w:keepNext/>
              <w:jc w:val="center"/>
            </w:pPr>
            <w:r w:rsidRPr="00D326F8">
              <w:t>[0.416-0.601]</w:t>
            </w:r>
          </w:p>
        </w:tc>
      </w:tr>
      <w:tr w:rsidR="003B74AE" w:rsidRPr="00D326F8" w14:paraId="601A8264" w14:textId="77777777" w:rsidTr="00752149">
        <w:trPr>
          <w:trHeight w:val="254"/>
        </w:trPr>
        <w:tc>
          <w:tcPr>
            <w:tcW w:w="1277" w:type="pct"/>
            <w:tcBorders>
              <w:top w:val="nil"/>
              <w:left w:val="nil"/>
              <w:bottom w:val="nil"/>
              <w:right w:val="nil"/>
            </w:tcBorders>
            <w:noWrap/>
            <w:hideMark/>
          </w:tcPr>
          <w:p w14:paraId="601A825F" w14:textId="77777777" w:rsidR="00752149" w:rsidRPr="00D326F8" w:rsidRDefault="003E23E4">
            <w:pPr>
              <w:pStyle w:val="Tabletext"/>
              <w:keepNext/>
              <w:rPr>
                <w:lang w:val="de-DE" w:eastAsia="de-DE"/>
              </w:rPr>
            </w:pPr>
            <w:r w:rsidRPr="00D326F8">
              <w:t>1</w:t>
            </w:r>
          </w:p>
        </w:tc>
        <w:tc>
          <w:tcPr>
            <w:tcW w:w="438" w:type="pct"/>
            <w:tcBorders>
              <w:top w:val="nil"/>
              <w:left w:val="nil"/>
              <w:bottom w:val="nil"/>
              <w:right w:val="nil"/>
            </w:tcBorders>
            <w:noWrap/>
            <w:hideMark/>
          </w:tcPr>
          <w:p w14:paraId="601A8260" w14:textId="77777777" w:rsidR="00752149" w:rsidRPr="00D326F8" w:rsidRDefault="003E23E4">
            <w:pPr>
              <w:pStyle w:val="Tabletext"/>
              <w:keepNext/>
              <w:jc w:val="center"/>
            </w:pPr>
            <w:r w:rsidRPr="00D326F8">
              <w:t>10</w:t>
            </w:r>
          </w:p>
        </w:tc>
        <w:tc>
          <w:tcPr>
            <w:tcW w:w="980" w:type="pct"/>
            <w:tcBorders>
              <w:top w:val="nil"/>
              <w:left w:val="nil"/>
              <w:bottom w:val="nil"/>
              <w:right w:val="nil"/>
            </w:tcBorders>
            <w:hideMark/>
          </w:tcPr>
          <w:p w14:paraId="601A8261" w14:textId="77777777" w:rsidR="00752149" w:rsidRPr="00D326F8" w:rsidRDefault="003E23E4">
            <w:pPr>
              <w:pStyle w:val="Tabletext"/>
              <w:keepNext/>
              <w:jc w:val="center"/>
            </w:pPr>
            <w:r w:rsidRPr="00D326F8">
              <w:t>[0.871-1.148]</w:t>
            </w:r>
          </w:p>
        </w:tc>
        <w:tc>
          <w:tcPr>
            <w:tcW w:w="912" w:type="pct"/>
            <w:tcBorders>
              <w:top w:val="nil"/>
              <w:left w:val="nil"/>
              <w:bottom w:val="nil"/>
              <w:right w:val="nil"/>
            </w:tcBorders>
            <w:hideMark/>
          </w:tcPr>
          <w:p w14:paraId="601A8262" w14:textId="77777777" w:rsidR="00752149" w:rsidRPr="00D326F8" w:rsidRDefault="003E23E4">
            <w:pPr>
              <w:pStyle w:val="Tabletext"/>
              <w:keepNext/>
              <w:jc w:val="center"/>
            </w:pPr>
            <w:r w:rsidRPr="00D326F8">
              <w:t>[0.814-1.229]</w:t>
            </w:r>
          </w:p>
        </w:tc>
        <w:tc>
          <w:tcPr>
            <w:tcW w:w="1393" w:type="pct"/>
            <w:tcBorders>
              <w:top w:val="nil"/>
              <w:left w:val="nil"/>
              <w:bottom w:val="nil"/>
              <w:right w:val="nil"/>
            </w:tcBorders>
            <w:noWrap/>
            <w:hideMark/>
          </w:tcPr>
          <w:p w14:paraId="601A8263" w14:textId="77777777" w:rsidR="00752149" w:rsidRPr="00D326F8" w:rsidRDefault="003E23E4">
            <w:pPr>
              <w:pStyle w:val="Tabletext"/>
              <w:keepNext/>
              <w:jc w:val="center"/>
            </w:pPr>
            <w:r w:rsidRPr="00D326F8">
              <w:t>[0.761-1.315]</w:t>
            </w:r>
          </w:p>
        </w:tc>
      </w:tr>
      <w:tr w:rsidR="003B74AE" w:rsidRPr="00D326F8" w14:paraId="601A826A" w14:textId="77777777" w:rsidTr="00752149">
        <w:trPr>
          <w:trHeight w:val="254"/>
        </w:trPr>
        <w:tc>
          <w:tcPr>
            <w:tcW w:w="1277" w:type="pct"/>
            <w:tcBorders>
              <w:top w:val="nil"/>
              <w:left w:val="nil"/>
              <w:bottom w:val="nil"/>
              <w:right w:val="nil"/>
            </w:tcBorders>
            <w:noWrap/>
          </w:tcPr>
          <w:p w14:paraId="601A8265"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66" w14:textId="77777777" w:rsidR="00752149" w:rsidRPr="00D326F8" w:rsidRDefault="003E23E4">
            <w:pPr>
              <w:pStyle w:val="Tabletext"/>
              <w:keepNext/>
              <w:jc w:val="center"/>
              <w:rPr>
                <w:lang w:val="de-DE" w:eastAsia="de-DE"/>
              </w:rPr>
            </w:pPr>
            <w:r w:rsidRPr="00D326F8">
              <w:t>12</w:t>
            </w:r>
          </w:p>
        </w:tc>
        <w:tc>
          <w:tcPr>
            <w:tcW w:w="980" w:type="pct"/>
            <w:tcBorders>
              <w:top w:val="nil"/>
              <w:left w:val="nil"/>
              <w:bottom w:val="nil"/>
              <w:right w:val="nil"/>
            </w:tcBorders>
            <w:hideMark/>
          </w:tcPr>
          <w:p w14:paraId="601A8267" w14:textId="77777777" w:rsidR="00752149" w:rsidRPr="00D326F8" w:rsidRDefault="003E23E4">
            <w:pPr>
              <w:pStyle w:val="Tabletext"/>
              <w:keepNext/>
              <w:jc w:val="center"/>
              <w:rPr>
                <w:lang w:val="de-DE" w:eastAsia="de-DE"/>
              </w:rPr>
            </w:pPr>
            <w:r w:rsidRPr="00D326F8">
              <w:t>[0.886-1.129]</w:t>
            </w:r>
          </w:p>
        </w:tc>
        <w:tc>
          <w:tcPr>
            <w:tcW w:w="912" w:type="pct"/>
            <w:tcBorders>
              <w:top w:val="nil"/>
              <w:left w:val="nil"/>
              <w:bottom w:val="nil"/>
              <w:right w:val="nil"/>
            </w:tcBorders>
            <w:hideMark/>
          </w:tcPr>
          <w:p w14:paraId="601A8268" w14:textId="77777777" w:rsidR="00752149" w:rsidRPr="00D326F8" w:rsidRDefault="003E23E4">
            <w:pPr>
              <w:pStyle w:val="Tabletext"/>
              <w:keepNext/>
              <w:jc w:val="center"/>
              <w:rPr>
                <w:lang w:val="de-DE" w:eastAsia="de-DE"/>
              </w:rPr>
            </w:pPr>
            <w:r w:rsidRPr="00D326F8">
              <w:t>[0.834-1.198]</w:t>
            </w:r>
          </w:p>
        </w:tc>
        <w:tc>
          <w:tcPr>
            <w:tcW w:w="1393" w:type="pct"/>
            <w:tcBorders>
              <w:top w:val="nil"/>
              <w:left w:val="nil"/>
              <w:bottom w:val="nil"/>
              <w:right w:val="nil"/>
            </w:tcBorders>
            <w:noWrap/>
            <w:hideMark/>
          </w:tcPr>
          <w:p w14:paraId="601A8269" w14:textId="77777777" w:rsidR="00752149" w:rsidRPr="00D326F8" w:rsidRDefault="003E23E4">
            <w:pPr>
              <w:pStyle w:val="Tabletext"/>
              <w:keepNext/>
              <w:jc w:val="center"/>
              <w:rPr>
                <w:lang w:val="de-DE" w:eastAsia="de-DE"/>
              </w:rPr>
            </w:pPr>
            <w:r w:rsidRPr="00D326F8">
              <w:t>[0.786-1.272]</w:t>
            </w:r>
          </w:p>
        </w:tc>
      </w:tr>
      <w:tr w:rsidR="003B74AE" w:rsidRPr="00D326F8" w14:paraId="601A8270" w14:textId="77777777" w:rsidTr="00752149">
        <w:trPr>
          <w:trHeight w:val="254"/>
        </w:trPr>
        <w:tc>
          <w:tcPr>
            <w:tcW w:w="1277" w:type="pct"/>
            <w:tcBorders>
              <w:top w:val="nil"/>
              <w:left w:val="nil"/>
              <w:bottom w:val="nil"/>
              <w:right w:val="nil"/>
            </w:tcBorders>
            <w:noWrap/>
          </w:tcPr>
          <w:p w14:paraId="601A826B"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6C" w14:textId="77777777" w:rsidR="00752149" w:rsidRPr="00D326F8" w:rsidRDefault="003E23E4">
            <w:pPr>
              <w:pStyle w:val="Tabletext"/>
              <w:keepNext/>
              <w:jc w:val="center"/>
              <w:rPr>
                <w:lang w:val="de-DE" w:eastAsia="de-DE"/>
              </w:rPr>
            </w:pPr>
            <w:r w:rsidRPr="00D326F8">
              <w:t>14</w:t>
            </w:r>
          </w:p>
        </w:tc>
        <w:tc>
          <w:tcPr>
            <w:tcW w:w="980" w:type="pct"/>
            <w:tcBorders>
              <w:top w:val="nil"/>
              <w:left w:val="nil"/>
              <w:bottom w:val="nil"/>
              <w:right w:val="nil"/>
            </w:tcBorders>
            <w:hideMark/>
          </w:tcPr>
          <w:p w14:paraId="601A826D" w14:textId="77777777" w:rsidR="00752149" w:rsidRPr="00D326F8" w:rsidRDefault="003E23E4">
            <w:pPr>
              <w:pStyle w:val="Tabletext"/>
              <w:keepNext/>
              <w:jc w:val="center"/>
              <w:rPr>
                <w:lang w:val="de-DE" w:eastAsia="de-DE"/>
              </w:rPr>
            </w:pPr>
            <w:r w:rsidRPr="00D326F8">
              <w:t>[0.897-1.115]</w:t>
            </w:r>
          </w:p>
        </w:tc>
        <w:tc>
          <w:tcPr>
            <w:tcW w:w="912" w:type="pct"/>
            <w:tcBorders>
              <w:top w:val="nil"/>
              <w:left w:val="nil"/>
              <w:bottom w:val="nil"/>
              <w:right w:val="nil"/>
            </w:tcBorders>
            <w:hideMark/>
          </w:tcPr>
          <w:p w14:paraId="601A826E" w14:textId="77777777" w:rsidR="00752149" w:rsidRPr="00D326F8" w:rsidRDefault="003E23E4">
            <w:pPr>
              <w:pStyle w:val="Tabletext"/>
              <w:keepNext/>
              <w:jc w:val="center"/>
              <w:rPr>
                <w:lang w:val="de-DE" w:eastAsia="de-DE"/>
              </w:rPr>
            </w:pPr>
            <w:r w:rsidRPr="00D326F8">
              <w:t>[0.849-1.177]</w:t>
            </w:r>
          </w:p>
        </w:tc>
        <w:tc>
          <w:tcPr>
            <w:tcW w:w="1393" w:type="pct"/>
            <w:tcBorders>
              <w:top w:val="nil"/>
              <w:left w:val="nil"/>
              <w:bottom w:val="nil"/>
              <w:right w:val="nil"/>
            </w:tcBorders>
            <w:noWrap/>
            <w:hideMark/>
          </w:tcPr>
          <w:p w14:paraId="601A826F" w14:textId="77777777" w:rsidR="00752149" w:rsidRPr="00D326F8" w:rsidRDefault="003E23E4">
            <w:pPr>
              <w:pStyle w:val="Tabletext"/>
              <w:keepNext/>
              <w:jc w:val="center"/>
              <w:rPr>
                <w:lang w:val="de-DE" w:eastAsia="de-DE"/>
              </w:rPr>
            </w:pPr>
            <w:r w:rsidRPr="00D326F8">
              <w:t>[0.805-1.242]</w:t>
            </w:r>
          </w:p>
        </w:tc>
      </w:tr>
      <w:tr w:rsidR="003B74AE" w:rsidRPr="00D326F8" w14:paraId="601A8276" w14:textId="77777777" w:rsidTr="00752149">
        <w:trPr>
          <w:trHeight w:val="254"/>
        </w:trPr>
        <w:tc>
          <w:tcPr>
            <w:tcW w:w="1277" w:type="pct"/>
            <w:tcBorders>
              <w:top w:val="nil"/>
              <w:left w:val="nil"/>
              <w:bottom w:val="nil"/>
              <w:right w:val="nil"/>
            </w:tcBorders>
            <w:noWrap/>
          </w:tcPr>
          <w:p w14:paraId="601A8271" w14:textId="77777777" w:rsidR="00752149" w:rsidRPr="00D326F8" w:rsidRDefault="00752149">
            <w:pPr>
              <w:pStyle w:val="Tabletext"/>
              <w:keepNext/>
              <w:rPr>
                <w:lang w:val="de-DE" w:eastAsia="de-DE"/>
              </w:rPr>
            </w:pPr>
          </w:p>
        </w:tc>
        <w:tc>
          <w:tcPr>
            <w:tcW w:w="438" w:type="pct"/>
            <w:tcBorders>
              <w:top w:val="nil"/>
              <w:left w:val="nil"/>
              <w:bottom w:val="nil"/>
              <w:right w:val="nil"/>
            </w:tcBorders>
            <w:noWrap/>
            <w:hideMark/>
          </w:tcPr>
          <w:p w14:paraId="601A8272" w14:textId="77777777" w:rsidR="00752149" w:rsidRPr="00D326F8" w:rsidRDefault="003E23E4">
            <w:pPr>
              <w:pStyle w:val="Tabletext"/>
              <w:keepNext/>
              <w:jc w:val="center"/>
              <w:rPr>
                <w:lang w:val="de-DE" w:eastAsia="de-DE"/>
              </w:rPr>
            </w:pPr>
            <w:r w:rsidRPr="00D326F8">
              <w:t>16</w:t>
            </w:r>
          </w:p>
        </w:tc>
        <w:tc>
          <w:tcPr>
            <w:tcW w:w="980" w:type="pct"/>
            <w:tcBorders>
              <w:top w:val="nil"/>
              <w:left w:val="nil"/>
              <w:bottom w:val="nil"/>
              <w:right w:val="nil"/>
            </w:tcBorders>
            <w:hideMark/>
          </w:tcPr>
          <w:p w14:paraId="601A8273" w14:textId="77777777" w:rsidR="00752149" w:rsidRPr="00D326F8" w:rsidRDefault="003E23E4">
            <w:pPr>
              <w:pStyle w:val="Tabletext"/>
              <w:keepNext/>
              <w:jc w:val="center"/>
              <w:rPr>
                <w:lang w:val="de-DE" w:eastAsia="de-DE"/>
              </w:rPr>
            </w:pPr>
            <w:r w:rsidRPr="00D326F8">
              <w:t>[0.905-1.105]</w:t>
            </w:r>
          </w:p>
        </w:tc>
        <w:tc>
          <w:tcPr>
            <w:tcW w:w="912" w:type="pct"/>
            <w:tcBorders>
              <w:top w:val="nil"/>
              <w:left w:val="nil"/>
              <w:bottom w:val="nil"/>
              <w:right w:val="nil"/>
            </w:tcBorders>
            <w:hideMark/>
          </w:tcPr>
          <w:p w14:paraId="601A8274" w14:textId="77777777" w:rsidR="00752149" w:rsidRPr="00D326F8" w:rsidRDefault="003E23E4">
            <w:pPr>
              <w:pStyle w:val="Tabletext"/>
              <w:keepNext/>
              <w:jc w:val="center"/>
              <w:rPr>
                <w:lang w:val="de-DE" w:eastAsia="de-DE"/>
              </w:rPr>
            </w:pPr>
            <w:r w:rsidRPr="00D326F8">
              <w:t>[0.861-1.161]</w:t>
            </w:r>
          </w:p>
        </w:tc>
        <w:tc>
          <w:tcPr>
            <w:tcW w:w="1393" w:type="pct"/>
            <w:tcBorders>
              <w:top w:val="nil"/>
              <w:left w:val="nil"/>
              <w:bottom w:val="nil"/>
              <w:right w:val="nil"/>
            </w:tcBorders>
            <w:noWrap/>
            <w:hideMark/>
          </w:tcPr>
          <w:p w14:paraId="601A8275" w14:textId="77777777" w:rsidR="00752149" w:rsidRPr="00D326F8" w:rsidRDefault="003E23E4">
            <w:pPr>
              <w:pStyle w:val="Tabletext"/>
              <w:keepNext/>
              <w:jc w:val="center"/>
              <w:rPr>
                <w:lang w:val="de-DE" w:eastAsia="de-DE"/>
              </w:rPr>
            </w:pPr>
            <w:r w:rsidRPr="00D326F8">
              <w:t>[0.820-1.220]</w:t>
            </w:r>
          </w:p>
        </w:tc>
      </w:tr>
      <w:tr w:rsidR="003B74AE" w:rsidRPr="00D326F8" w14:paraId="601A827C" w14:textId="77777777" w:rsidTr="00752149">
        <w:trPr>
          <w:trHeight w:val="254"/>
        </w:trPr>
        <w:tc>
          <w:tcPr>
            <w:tcW w:w="1277" w:type="pct"/>
            <w:tcBorders>
              <w:top w:val="nil"/>
              <w:left w:val="nil"/>
              <w:bottom w:val="single" w:sz="4" w:space="0" w:color="auto"/>
              <w:right w:val="nil"/>
            </w:tcBorders>
            <w:noWrap/>
          </w:tcPr>
          <w:p w14:paraId="601A8277" w14:textId="77777777" w:rsidR="00752149" w:rsidRPr="00D326F8" w:rsidRDefault="00752149">
            <w:pPr>
              <w:pStyle w:val="Tabletext"/>
              <w:keepNext/>
              <w:rPr>
                <w:lang w:val="de-DE" w:eastAsia="de-DE"/>
              </w:rPr>
            </w:pPr>
          </w:p>
        </w:tc>
        <w:tc>
          <w:tcPr>
            <w:tcW w:w="438" w:type="pct"/>
            <w:tcBorders>
              <w:top w:val="nil"/>
              <w:left w:val="nil"/>
              <w:bottom w:val="single" w:sz="4" w:space="0" w:color="auto"/>
              <w:right w:val="nil"/>
            </w:tcBorders>
            <w:noWrap/>
            <w:hideMark/>
          </w:tcPr>
          <w:p w14:paraId="601A8278" w14:textId="77777777" w:rsidR="00752149" w:rsidRPr="00D326F8" w:rsidRDefault="003E23E4">
            <w:pPr>
              <w:pStyle w:val="Tabletext"/>
              <w:keepNext/>
              <w:jc w:val="center"/>
              <w:rPr>
                <w:lang w:val="de-DE" w:eastAsia="de-DE"/>
              </w:rPr>
            </w:pPr>
            <w:r w:rsidRPr="00D326F8">
              <w:t>18</w:t>
            </w:r>
          </w:p>
        </w:tc>
        <w:tc>
          <w:tcPr>
            <w:tcW w:w="980" w:type="pct"/>
            <w:tcBorders>
              <w:top w:val="nil"/>
              <w:left w:val="nil"/>
              <w:bottom w:val="single" w:sz="4" w:space="0" w:color="auto"/>
              <w:right w:val="nil"/>
            </w:tcBorders>
            <w:hideMark/>
          </w:tcPr>
          <w:p w14:paraId="601A8279" w14:textId="77777777" w:rsidR="00752149" w:rsidRPr="00D326F8" w:rsidRDefault="003E23E4">
            <w:pPr>
              <w:pStyle w:val="Tabletext"/>
              <w:keepNext/>
              <w:jc w:val="center"/>
              <w:rPr>
                <w:lang w:val="de-DE" w:eastAsia="de-DE"/>
              </w:rPr>
            </w:pPr>
            <w:r w:rsidRPr="00D326F8">
              <w:t>[0.911-1.097]</w:t>
            </w:r>
          </w:p>
        </w:tc>
        <w:tc>
          <w:tcPr>
            <w:tcW w:w="912" w:type="pct"/>
            <w:tcBorders>
              <w:top w:val="nil"/>
              <w:left w:val="nil"/>
              <w:bottom w:val="single" w:sz="4" w:space="0" w:color="auto"/>
              <w:right w:val="nil"/>
            </w:tcBorders>
            <w:hideMark/>
          </w:tcPr>
          <w:p w14:paraId="601A827A" w14:textId="77777777" w:rsidR="00752149" w:rsidRPr="00D326F8" w:rsidRDefault="003E23E4">
            <w:pPr>
              <w:pStyle w:val="Tabletext"/>
              <w:keepNext/>
              <w:jc w:val="center"/>
              <w:rPr>
                <w:lang w:val="de-DE" w:eastAsia="de-DE"/>
              </w:rPr>
            </w:pPr>
            <w:r w:rsidRPr="00D326F8">
              <w:t>[0.870-1.149]</w:t>
            </w:r>
          </w:p>
        </w:tc>
        <w:tc>
          <w:tcPr>
            <w:tcW w:w="1393" w:type="pct"/>
            <w:tcBorders>
              <w:top w:val="nil"/>
              <w:left w:val="nil"/>
              <w:bottom w:val="single" w:sz="4" w:space="0" w:color="auto"/>
              <w:right w:val="nil"/>
            </w:tcBorders>
            <w:noWrap/>
            <w:hideMark/>
          </w:tcPr>
          <w:p w14:paraId="601A827B" w14:textId="77777777" w:rsidR="00752149" w:rsidRPr="00D326F8" w:rsidRDefault="003E23E4">
            <w:pPr>
              <w:pStyle w:val="Tabletext"/>
              <w:keepNext/>
              <w:jc w:val="center"/>
              <w:rPr>
                <w:lang w:val="de-DE" w:eastAsia="de-DE"/>
              </w:rPr>
            </w:pPr>
            <w:r w:rsidRPr="00D326F8">
              <w:t>[0.832-1.202]</w:t>
            </w:r>
          </w:p>
        </w:tc>
      </w:tr>
    </w:tbl>
    <w:p w14:paraId="601A827E" w14:textId="515A691E" w:rsidR="00752149" w:rsidRPr="00D326F8" w:rsidRDefault="003E23E4" w:rsidP="00ED5097">
      <w:pPr>
        <w:pStyle w:val="Tablefootnote"/>
      </w:pPr>
      <w:r w:rsidRPr="00D326F8">
        <w:t>Calculation performed in R version 3.5.1.</w:t>
      </w:r>
    </w:p>
    <w:p w14:paraId="147F7F04" w14:textId="25174DD1" w:rsidR="00E27D2E" w:rsidRPr="00D326F8" w:rsidRDefault="00E27D2E" w:rsidP="00E27D2E">
      <w:pPr>
        <w:pStyle w:val="Tablefootnote"/>
      </w:pPr>
      <w:r w:rsidRPr="00D326F8">
        <w:t>CV=coefficient of variation, N=number of participants.</w:t>
      </w:r>
    </w:p>
    <w:p w14:paraId="601A827F" w14:textId="77777777" w:rsidR="002D5216" w:rsidRPr="00D326F8" w:rsidRDefault="003E23E4" w:rsidP="0023673D">
      <w:pPr>
        <w:pStyle w:val="Heading2"/>
        <w:tabs>
          <w:tab w:val="clear" w:pos="4896"/>
          <w:tab w:val="num" w:pos="5130"/>
        </w:tabs>
        <w:ind w:left="1980" w:hanging="1980"/>
      </w:pPr>
      <w:bookmarkStart w:id="271" w:name="_Toc77839783"/>
      <w:r w:rsidRPr="00D326F8">
        <w:t>Analyses</w:t>
      </w:r>
      <w:r w:rsidR="00F800D3" w:rsidRPr="00D326F8">
        <w:t xml:space="preserve"> Sets</w:t>
      </w:r>
      <w:bookmarkEnd w:id="271"/>
    </w:p>
    <w:p w14:paraId="601A8280" w14:textId="77777777" w:rsidR="00DC59A0" w:rsidRPr="00D326F8" w:rsidRDefault="003E23E4" w:rsidP="00D05442">
      <w:pPr>
        <w:pStyle w:val="List1withoutbullet"/>
        <w:spacing w:after="120"/>
        <w:ind w:left="0"/>
      </w:pPr>
      <w:r w:rsidRPr="00D326F8">
        <w:t xml:space="preserve">The analysis </w:t>
      </w:r>
      <w:r w:rsidR="007D38D2" w:rsidRPr="00D326F8">
        <w:t xml:space="preserve">sets </w:t>
      </w:r>
      <w:r w:rsidRPr="00D326F8">
        <w:t>are specified below.</w:t>
      </w:r>
      <w:r w:rsidR="00211745" w:rsidRPr="00D326F8">
        <w:t xml:space="preserve"> </w:t>
      </w:r>
      <w:bookmarkStart w:id="272" w:name="_Hlk77769723"/>
      <w:r w:rsidR="00211745" w:rsidRPr="00D326F8">
        <w:t>The final decision to exclude participants from any analysis sets will be made during a data review meeting prior to database lock.</w:t>
      </w:r>
      <w:bookmarkEnd w:id="272"/>
    </w:p>
    <w:tbl>
      <w:tblPr>
        <w:tblW w:w="5000" w:type="pct"/>
        <w:tblLook w:val="04A0" w:firstRow="1" w:lastRow="0" w:firstColumn="1" w:lastColumn="0" w:noHBand="0" w:noVBand="1"/>
      </w:tblPr>
      <w:tblGrid>
        <w:gridCol w:w="2154"/>
        <w:gridCol w:w="7018"/>
      </w:tblGrid>
      <w:tr w:rsidR="003B74AE" w:rsidRPr="00D326F8" w14:paraId="601A8283" w14:textId="77777777" w:rsidTr="00211745">
        <w:trPr>
          <w:cantSplit/>
          <w:tblHeader/>
        </w:trPr>
        <w:tc>
          <w:tcPr>
            <w:tcW w:w="1174" w:type="pct"/>
            <w:tcBorders>
              <w:top w:val="single" w:sz="4" w:space="0" w:color="auto"/>
              <w:left w:val="single" w:sz="4" w:space="0" w:color="auto"/>
              <w:bottom w:val="single" w:sz="4" w:space="0" w:color="auto"/>
              <w:right w:val="single" w:sz="4" w:space="0" w:color="auto"/>
            </w:tcBorders>
            <w:hideMark/>
          </w:tcPr>
          <w:p w14:paraId="601A8281" w14:textId="77777777" w:rsidR="00211745" w:rsidRPr="00D326F8" w:rsidRDefault="003E23E4" w:rsidP="00655757">
            <w:pPr>
              <w:pStyle w:val="Tableheading"/>
              <w:keepNext w:val="0"/>
              <w:keepLines w:val="0"/>
              <w:rPr>
                <w:rFonts w:eastAsia="MS Mincho"/>
              </w:rPr>
            </w:pPr>
            <w:r w:rsidRPr="00D326F8">
              <w:rPr>
                <w:rFonts w:eastAsia="MS Mincho"/>
              </w:rPr>
              <w:t>Analysis Set</w:t>
            </w:r>
          </w:p>
        </w:tc>
        <w:tc>
          <w:tcPr>
            <w:tcW w:w="3826" w:type="pct"/>
            <w:tcBorders>
              <w:top w:val="single" w:sz="4" w:space="0" w:color="auto"/>
              <w:left w:val="single" w:sz="4" w:space="0" w:color="auto"/>
              <w:bottom w:val="single" w:sz="4" w:space="0" w:color="auto"/>
              <w:right w:val="single" w:sz="4" w:space="0" w:color="auto"/>
            </w:tcBorders>
            <w:hideMark/>
          </w:tcPr>
          <w:p w14:paraId="601A8282" w14:textId="77777777" w:rsidR="00211745" w:rsidRPr="00D326F8" w:rsidRDefault="003E23E4" w:rsidP="00655757">
            <w:pPr>
              <w:pStyle w:val="Tableheading"/>
              <w:keepNext w:val="0"/>
              <w:keepLines w:val="0"/>
              <w:rPr>
                <w:rFonts w:eastAsia="MS Mincho"/>
              </w:rPr>
            </w:pPr>
            <w:r w:rsidRPr="00D326F8">
              <w:rPr>
                <w:rFonts w:eastAsia="MS Mincho"/>
              </w:rPr>
              <w:t>Description</w:t>
            </w:r>
          </w:p>
        </w:tc>
      </w:tr>
      <w:tr w:rsidR="003B74AE" w:rsidRPr="00D326F8" w14:paraId="601A8286" w14:textId="77777777" w:rsidTr="00211745">
        <w:trPr>
          <w:cantSplit/>
        </w:trPr>
        <w:tc>
          <w:tcPr>
            <w:tcW w:w="1174" w:type="pct"/>
            <w:tcBorders>
              <w:top w:val="single" w:sz="4" w:space="0" w:color="auto"/>
              <w:left w:val="single" w:sz="4" w:space="0" w:color="auto"/>
              <w:bottom w:val="single" w:sz="4" w:space="0" w:color="auto"/>
              <w:right w:val="single" w:sz="4" w:space="0" w:color="auto"/>
            </w:tcBorders>
            <w:hideMark/>
          </w:tcPr>
          <w:p w14:paraId="601A8284"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 xml:space="preserve">Screening (SCR) </w:t>
            </w:r>
          </w:p>
        </w:tc>
        <w:tc>
          <w:tcPr>
            <w:tcW w:w="3826" w:type="pct"/>
            <w:tcBorders>
              <w:top w:val="single" w:sz="4" w:space="0" w:color="auto"/>
              <w:left w:val="single" w:sz="4" w:space="0" w:color="auto"/>
              <w:bottom w:val="single" w:sz="4" w:space="0" w:color="auto"/>
              <w:right w:val="single" w:sz="4" w:space="0" w:color="auto"/>
            </w:tcBorders>
            <w:hideMark/>
          </w:tcPr>
          <w:p w14:paraId="601A8285"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All participants, who provided informed consent, regardless of the participant’s enrollment and study intervention status in the study.</w:t>
            </w:r>
          </w:p>
        </w:tc>
      </w:tr>
      <w:tr w:rsidR="003B74AE" w:rsidRPr="00D326F8" w14:paraId="601A828A" w14:textId="77777777" w:rsidTr="00211745">
        <w:trPr>
          <w:cantSplit/>
        </w:trPr>
        <w:tc>
          <w:tcPr>
            <w:tcW w:w="1174" w:type="pct"/>
            <w:tcBorders>
              <w:top w:val="single" w:sz="4" w:space="0" w:color="auto"/>
              <w:left w:val="single" w:sz="4" w:space="0" w:color="auto"/>
              <w:bottom w:val="single" w:sz="4" w:space="0" w:color="auto"/>
              <w:right w:val="single" w:sz="4" w:space="0" w:color="auto"/>
            </w:tcBorders>
            <w:hideMark/>
          </w:tcPr>
          <w:p w14:paraId="601A8287"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Safety (SAF)</w:t>
            </w:r>
          </w:p>
        </w:tc>
        <w:tc>
          <w:tcPr>
            <w:tcW w:w="3826" w:type="pct"/>
            <w:tcBorders>
              <w:top w:val="single" w:sz="4" w:space="0" w:color="auto"/>
              <w:left w:val="single" w:sz="4" w:space="0" w:color="auto"/>
              <w:bottom w:val="single" w:sz="4" w:space="0" w:color="auto"/>
              <w:right w:val="single" w:sz="4" w:space="0" w:color="auto"/>
            </w:tcBorders>
            <w:hideMark/>
          </w:tcPr>
          <w:p w14:paraId="601A8288"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 xml:space="preserve">All participants, who were administered any dose of any study intervention. </w:t>
            </w:r>
          </w:p>
          <w:p w14:paraId="601A8289"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Analyses will consider participants as treated.</w:t>
            </w:r>
          </w:p>
        </w:tc>
      </w:tr>
      <w:tr w:rsidR="003B74AE" w:rsidRPr="00D326F8" w14:paraId="601A8292" w14:textId="77777777" w:rsidTr="00211745">
        <w:trPr>
          <w:cantSplit/>
        </w:trPr>
        <w:tc>
          <w:tcPr>
            <w:tcW w:w="1174" w:type="pct"/>
            <w:tcBorders>
              <w:top w:val="single" w:sz="4" w:space="0" w:color="auto"/>
              <w:left w:val="single" w:sz="4" w:space="0" w:color="auto"/>
              <w:bottom w:val="single" w:sz="4" w:space="0" w:color="auto"/>
              <w:right w:val="single" w:sz="4" w:space="0" w:color="auto"/>
            </w:tcBorders>
            <w:hideMark/>
          </w:tcPr>
          <w:p w14:paraId="601A828B"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Pharmacokinetic (PK)</w:t>
            </w:r>
          </w:p>
        </w:tc>
        <w:tc>
          <w:tcPr>
            <w:tcW w:w="3826" w:type="pct"/>
            <w:tcBorders>
              <w:top w:val="single" w:sz="4" w:space="0" w:color="auto"/>
              <w:left w:val="single" w:sz="4" w:space="0" w:color="auto"/>
              <w:bottom w:val="single" w:sz="4" w:space="0" w:color="auto"/>
              <w:right w:val="single" w:sz="4" w:space="0" w:color="auto"/>
            </w:tcBorders>
            <w:hideMark/>
          </w:tcPr>
          <w:p w14:paraId="601A828C"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The PK Analysis Set is a subset of the SAF, and the PK population will include all participants:</w:t>
            </w:r>
          </w:p>
          <w:p w14:paraId="601A828D"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 xml:space="preserve">Who have completed the study without any relevant protocol deviations and factors likely to affect the comparability of PK </w:t>
            </w:r>
            <w:proofErr w:type="gramStart"/>
            <w:r w:rsidRPr="00D326F8">
              <w:rPr>
                <w:rFonts w:ascii="Arial" w:eastAsia="MS Mincho" w:hAnsi="Arial" w:cs="Arial"/>
                <w:sz w:val="18"/>
              </w:rPr>
              <w:t>results.</w:t>
            </w:r>
            <w:proofErr w:type="gramEnd"/>
          </w:p>
          <w:p w14:paraId="601A828E"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With adequate study intervention compliance.</w:t>
            </w:r>
          </w:p>
          <w:p w14:paraId="601A828F"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With evaluable PK data, i.e., non-missing values for primary endpoints.</w:t>
            </w:r>
          </w:p>
          <w:p w14:paraId="601A8290" w14:textId="0ABC8741"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If participants received prohibited concomitant therapy or medicines, as specified in Section</w:t>
            </w:r>
            <w:r w:rsidR="000259B1" w:rsidRPr="00D326F8">
              <w:rPr>
                <w:rFonts w:ascii="Arial" w:eastAsia="MS Mincho" w:hAnsi="Arial" w:cs="Arial"/>
                <w:sz w:val="18"/>
              </w:rPr>
              <w:t> </w:t>
            </w:r>
            <w:r w:rsidR="000259B1" w:rsidRPr="00D326F8">
              <w:rPr>
                <w:rFonts w:ascii="Arial" w:eastAsia="MS Mincho" w:hAnsi="Arial" w:cs="Arial"/>
                <w:sz w:val="18"/>
              </w:rPr>
              <w:fldChar w:fldCharType="begin"/>
            </w:r>
            <w:r w:rsidR="000259B1" w:rsidRPr="00D326F8">
              <w:rPr>
                <w:rFonts w:ascii="Arial" w:eastAsia="MS Mincho" w:hAnsi="Arial" w:cs="Arial"/>
                <w:sz w:val="18"/>
              </w:rPr>
              <w:instrText xml:space="preserve"> REF _Ref77682418 \r \h </w:instrText>
            </w:r>
            <w:r w:rsidR="008D37C0" w:rsidRPr="00D326F8">
              <w:rPr>
                <w:rFonts w:ascii="Arial" w:eastAsia="MS Mincho" w:hAnsi="Arial" w:cs="Arial"/>
                <w:sz w:val="18"/>
              </w:rPr>
              <w:instrText xml:space="preserve"> \* MERGEFORMAT </w:instrText>
            </w:r>
            <w:r w:rsidR="000259B1" w:rsidRPr="00D326F8">
              <w:rPr>
                <w:rFonts w:ascii="Arial" w:eastAsia="MS Mincho" w:hAnsi="Arial" w:cs="Arial"/>
                <w:sz w:val="18"/>
              </w:rPr>
            </w:r>
            <w:r w:rsidR="000259B1" w:rsidRPr="00D326F8">
              <w:rPr>
                <w:rFonts w:ascii="Arial" w:eastAsia="MS Mincho" w:hAnsi="Arial" w:cs="Arial"/>
                <w:sz w:val="18"/>
              </w:rPr>
              <w:fldChar w:fldCharType="separate"/>
            </w:r>
            <w:r w:rsidR="00173A27">
              <w:rPr>
                <w:rFonts w:ascii="Arial" w:eastAsia="MS Mincho" w:hAnsi="Arial" w:cs="Arial"/>
                <w:sz w:val="18"/>
              </w:rPr>
              <w:t>6.8.3</w:t>
            </w:r>
            <w:r w:rsidR="000259B1" w:rsidRPr="00D326F8">
              <w:rPr>
                <w:rFonts w:ascii="Arial" w:eastAsia="MS Mincho" w:hAnsi="Arial" w:cs="Arial"/>
                <w:sz w:val="18"/>
              </w:rPr>
              <w:fldChar w:fldCharType="end"/>
            </w:r>
            <w:r w:rsidRPr="00D326F8">
              <w:rPr>
                <w:rFonts w:ascii="Arial" w:eastAsia="MS Mincho" w:hAnsi="Arial" w:cs="Arial"/>
                <w:sz w:val="18"/>
              </w:rPr>
              <w:t>, they will be excluded from the PK population.</w:t>
            </w:r>
          </w:p>
          <w:p w14:paraId="601A8291" w14:textId="77777777" w:rsidR="00211745" w:rsidRPr="00D326F8" w:rsidRDefault="003E23E4" w:rsidP="00655757">
            <w:pPr>
              <w:spacing w:before="40" w:after="40"/>
              <w:jc w:val="left"/>
              <w:rPr>
                <w:rFonts w:ascii="Arial" w:eastAsia="MS Mincho" w:hAnsi="Arial" w:cs="Arial"/>
                <w:sz w:val="18"/>
              </w:rPr>
            </w:pPr>
            <w:r w:rsidRPr="00D326F8">
              <w:rPr>
                <w:rFonts w:ascii="Arial" w:eastAsia="MS Mincho" w:hAnsi="Arial" w:cs="Arial"/>
                <w:sz w:val="18"/>
              </w:rPr>
              <w:t>All PK analyses will be based on this analysis set.</w:t>
            </w:r>
          </w:p>
        </w:tc>
      </w:tr>
    </w:tbl>
    <w:p w14:paraId="601A8293" w14:textId="77777777" w:rsidR="003E1E9B" w:rsidRPr="00D326F8" w:rsidRDefault="003E23E4" w:rsidP="00655757">
      <w:pPr>
        <w:pStyle w:val="Heading2"/>
        <w:tabs>
          <w:tab w:val="clear" w:pos="4896"/>
          <w:tab w:val="num" w:pos="5130"/>
        </w:tabs>
        <w:ind w:left="1980" w:hanging="1980"/>
      </w:pPr>
      <w:bookmarkStart w:id="273" w:name="_Ref41078970"/>
      <w:bookmarkStart w:id="274" w:name="_Ref41078991"/>
      <w:bookmarkStart w:id="275" w:name="_Toc77839784"/>
      <w:r w:rsidRPr="00D326F8">
        <w:lastRenderedPageBreak/>
        <w:t>Statistical Analyses</w:t>
      </w:r>
      <w:bookmarkEnd w:id="273"/>
      <w:bookmarkEnd w:id="274"/>
      <w:bookmarkEnd w:id="275"/>
    </w:p>
    <w:p w14:paraId="601A8294" w14:textId="77777777" w:rsidR="00211745" w:rsidRPr="00D326F8" w:rsidRDefault="003E23E4" w:rsidP="00655757">
      <w:pPr>
        <w:pStyle w:val="BodyText"/>
        <w:keepNext/>
        <w:keepLines/>
      </w:pPr>
      <w:r w:rsidRPr="00D326F8">
        <w:t xml:space="preserve">Statistical analysis will be performed using the computer program package SAS®. More details on the statistical analysis will be presented in the IAP prior to database lock. </w:t>
      </w:r>
    </w:p>
    <w:p w14:paraId="601A8295" w14:textId="77777777" w:rsidR="00211745" w:rsidRPr="00D326F8" w:rsidRDefault="003E23E4" w:rsidP="00EB1635">
      <w:pPr>
        <w:pStyle w:val="BodyText"/>
      </w:pPr>
      <w:r w:rsidRPr="00D326F8">
        <w:t xml:space="preserve">The statistical analysis will not be started until all data have been corrected and checked for plausibility, and until all necessary coding and assessments have been completed. </w:t>
      </w:r>
    </w:p>
    <w:p w14:paraId="601A8296" w14:textId="77777777" w:rsidR="00211745" w:rsidRPr="00D326F8" w:rsidRDefault="003E23E4" w:rsidP="00211745">
      <w:pPr>
        <w:pStyle w:val="BodyText"/>
      </w:pPr>
      <w:r w:rsidRPr="00D326F8">
        <w:t>Medical history and AE terms will be coded with the latest version of MedDRA (Version</w:t>
      </w:r>
      <w:r w:rsidR="00A217CD" w:rsidRPr="00D326F8">
        <w:t> </w:t>
      </w:r>
      <w:r w:rsidRPr="00D326F8">
        <w:t xml:space="preserve">23.0 or later); concomitant medication will be coded with WHO Drug Dictionary, WHO Drug Reference List and Anatomical Therapeutic Chemical Classification System, latest versions. Versions of dictionaries used for coding will be defined in the Data Management Plan. </w:t>
      </w:r>
    </w:p>
    <w:p w14:paraId="601A8297" w14:textId="77777777" w:rsidR="00211745" w:rsidRPr="00D326F8" w:rsidRDefault="003E23E4" w:rsidP="00211745">
      <w:pPr>
        <w:pStyle w:val="BodyText"/>
      </w:pPr>
      <w:r w:rsidRPr="00D326F8">
        <w:t xml:space="preserve">All data recorded during the study will be presented in individual data listings. </w:t>
      </w:r>
    </w:p>
    <w:p w14:paraId="601A8298" w14:textId="5C39C87E" w:rsidR="00211745" w:rsidRPr="00D326F8" w:rsidRDefault="003E23E4" w:rsidP="00211745">
      <w:pPr>
        <w:pStyle w:val="BodyText"/>
      </w:pPr>
      <w:r w:rsidRPr="00D326F8">
        <w:t xml:space="preserve">For demographic (e.g., age, sex, race, etc.), </w:t>
      </w:r>
      <w:r w:rsidR="00A86951" w:rsidRPr="00D326F8">
        <w:t>B</w:t>
      </w:r>
      <w:r w:rsidRPr="00D326F8">
        <w:t>aseline and safety assessments, continuous measurements will be summarized by means of descriptive statistics (i.e.</w:t>
      </w:r>
      <w:r w:rsidR="00B617D3" w:rsidRPr="00D326F8">
        <w:t>,</w:t>
      </w:r>
      <w:r w:rsidRPr="00D326F8">
        <w:t xml:space="preserve"> number and percentage of observations, </w:t>
      </w:r>
      <w:proofErr w:type="gramStart"/>
      <w:r w:rsidRPr="00D326F8">
        <w:t>number</w:t>
      </w:r>
      <w:proofErr w:type="gramEnd"/>
      <w:r w:rsidRPr="00D326F8">
        <w:t xml:space="preserve"> and percentage of missing observations, mean, SD, median, the Q1 and Q3, Min, and Max) and categorical data will be summarized by means of frequency tables (i.e., count and percentages), if not stated otherwise. </w:t>
      </w:r>
    </w:p>
    <w:p w14:paraId="601A8299" w14:textId="77777777" w:rsidR="00211745" w:rsidRPr="00D326F8" w:rsidRDefault="003E23E4" w:rsidP="00211745">
      <w:pPr>
        <w:pStyle w:val="BodyText"/>
      </w:pPr>
      <w:r w:rsidRPr="00D326F8">
        <w:t>All data will be evaluated as observed, no imputation method for missing values. The handling of concentration values below the limit of quantification will be described in the IAP.</w:t>
      </w:r>
    </w:p>
    <w:p w14:paraId="601A829A" w14:textId="77777777" w:rsidR="003E1E9B" w:rsidRPr="00D326F8" w:rsidRDefault="003E23E4" w:rsidP="00303B24">
      <w:pPr>
        <w:pStyle w:val="Heading3"/>
      </w:pPr>
      <w:bookmarkStart w:id="276" w:name="_Toc77839785"/>
      <w:r w:rsidRPr="00D326F8">
        <w:t>Efficacy Analyses</w:t>
      </w:r>
      <w:bookmarkEnd w:id="276"/>
    </w:p>
    <w:p w14:paraId="601A829B" w14:textId="77777777" w:rsidR="00211745" w:rsidRPr="00D326F8" w:rsidRDefault="003E23E4" w:rsidP="00211745">
      <w:pPr>
        <w:pStyle w:val="BodyText"/>
      </w:pPr>
      <w:r w:rsidRPr="00D326F8">
        <w:t>Not applicable.</w:t>
      </w:r>
    </w:p>
    <w:p w14:paraId="601A829C" w14:textId="77777777" w:rsidR="003E1E9B" w:rsidRPr="00D326F8" w:rsidRDefault="003E23E4" w:rsidP="007D5243">
      <w:pPr>
        <w:pStyle w:val="Heading3"/>
      </w:pPr>
      <w:bookmarkStart w:id="277" w:name="_Toc77839786"/>
      <w:r w:rsidRPr="00D326F8">
        <w:lastRenderedPageBreak/>
        <w:t>Safety Analyses</w:t>
      </w:r>
      <w:bookmarkEnd w:id="277"/>
    </w:p>
    <w:p w14:paraId="601A829D" w14:textId="0BAF7505" w:rsidR="00A217CD" w:rsidRPr="00D326F8" w:rsidRDefault="003E23E4" w:rsidP="007D5243">
      <w:pPr>
        <w:pStyle w:val="List1withoutbullet"/>
        <w:keepNext/>
        <w:keepLines/>
        <w:spacing w:after="120"/>
        <w:ind w:left="0"/>
      </w:pPr>
      <w:r w:rsidRPr="00D326F8">
        <w:t xml:space="preserve">All safety analyses will be performed on the Safety Analysis </w:t>
      </w:r>
      <w:r w:rsidR="00087608">
        <w:t>S</w:t>
      </w:r>
      <w:r w:rsidR="006D5221" w:rsidRPr="00D326F8">
        <w:t>et</w:t>
      </w:r>
      <w:r w:rsidRPr="00D326F8">
        <w:t>.</w:t>
      </w:r>
      <w:bookmarkStart w:id="278" w:name="_Toc63944507"/>
      <w:bookmarkStart w:id="279" w:name="_Hlk517347488"/>
      <w:bookmarkEnd w:id="278"/>
      <w:r w:rsidR="00176A88" w:rsidRPr="00D326F8">
        <w:t xml:space="preserve"> </w:t>
      </w:r>
    </w:p>
    <w:tbl>
      <w:tblPr>
        <w:tblW w:w="5000" w:type="pct"/>
        <w:tblLook w:val="04A0" w:firstRow="1" w:lastRow="0" w:firstColumn="1" w:lastColumn="0" w:noHBand="0" w:noVBand="1"/>
      </w:tblPr>
      <w:tblGrid>
        <w:gridCol w:w="1345"/>
        <w:gridCol w:w="2880"/>
        <w:gridCol w:w="4947"/>
      </w:tblGrid>
      <w:tr w:rsidR="003B74AE" w:rsidRPr="00D326F8" w14:paraId="601A82A1" w14:textId="77777777" w:rsidTr="0075273A">
        <w:tc>
          <w:tcPr>
            <w:tcW w:w="733" w:type="pct"/>
            <w:tcBorders>
              <w:top w:val="single" w:sz="4" w:space="0" w:color="auto"/>
              <w:left w:val="single" w:sz="4" w:space="0" w:color="auto"/>
              <w:bottom w:val="single" w:sz="4" w:space="0" w:color="auto"/>
              <w:right w:val="single" w:sz="4" w:space="0" w:color="auto"/>
            </w:tcBorders>
          </w:tcPr>
          <w:p w14:paraId="601A829E" w14:textId="77777777" w:rsidR="00A217CD" w:rsidRPr="00D326F8" w:rsidRDefault="003E23E4" w:rsidP="007D5243">
            <w:pPr>
              <w:keepNext/>
              <w:keepLines/>
              <w:spacing w:before="80" w:after="80"/>
              <w:jc w:val="center"/>
              <w:rPr>
                <w:rFonts w:ascii="Arial" w:hAnsi="Arial"/>
                <w:b/>
                <w:sz w:val="18"/>
              </w:rPr>
            </w:pPr>
            <w:r w:rsidRPr="00D326F8">
              <w:rPr>
                <w:rFonts w:ascii="Arial" w:hAnsi="Arial"/>
                <w:b/>
                <w:sz w:val="18"/>
              </w:rPr>
              <w:t>Reference #</w:t>
            </w:r>
          </w:p>
        </w:tc>
        <w:tc>
          <w:tcPr>
            <w:tcW w:w="1570" w:type="pct"/>
            <w:tcBorders>
              <w:top w:val="single" w:sz="4" w:space="0" w:color="auto"/>
              <w:left w:val="single" w:sz="4" w:space="0" w:color="auto"/>
              <w:bottom w:val="single" w:sz="4" w:space="0" w:color="auto"/>
              <w:right w:val="single" w:sz="4" w:space="0" w:color="auto"/>
            </w:tcBorders>
          </w:tcPr>
          <w:p w14:paraId="601A829F" w14:textId="77777777" w:rsidR="00A217CD" w:rsidRPr="00D326F8" w:rsidRDefault="003E23E4" w:rsidP="007D5243">
            <w:pPr>
              <w:keepNext/>
              <w:keepLines/>
              <w:spacing w:before="80" w:after="80"/>
              <w:jc w:val="center"/>
              <w:rPr>
                <w:rFonts w:ascii="Arial" w:hAnsi="Arial"/>
                <w:b/>
                <w:sz w:val="18"/>
              </w:rPr>
            </w:pPr>
            <w:r w:rsidRPr="00D326F8">
              <w:rPr>
                <w:rFonts w:ascii="Arial" w:hAnsi="Arial"/>
                <w:b/>
                <w:sz w:val="18"/>
              </w:rPr>
              <w:t>Endpoint</w:t>
            </w:r>
          </w:p>
        </w:tc>
        <w:tc>
          <w:tcPr>
            <w:tcW w:w="2697" w:type="pct"/>
            <w:tcBorders>
              <w:top w:val="single" w:sz="4" w:space="0" w:color="auto"/>
              <w:left w:val="single" w:sz="4" w:space="0" w:color="auto"/>
              <w:bottom w:val="single" w:sz="4" w:space="0" w:color="auto"/>
              <w:right w:val="single" w:sz="4" w:space="0" w:color="auto"/>
            </w:tcBorders>
          </w:tcPr>
          <w:p w14:paraId="601A82A0" w14:textId="77777777" w:rsidR="00A217CD" w:rsidRPr="00D326F8" w:rsidRDefault="003E23E4" w:rsidP="007D5243">
            <w:pPr>
              <w:keepNext/>
              <w:keepLines/>
              <w:spacing w:before="80" w:after="80"/>
              <w:jc w:val="center"/>
              <w:rPr>
                <w:rFonts w:ascii="Arial" w:hAnsi="Arial"/>
                <w:b/>
                <w:sz w:val="18"/>
              </w:rPr>
            </w:pPr>
            <w:r w:rsidRPr="00D326F8">
              <w:rPr>
                <w:rFonts w:ascii="Arial" w:hAnsi="Arial"/>
                <w:b/>
                <w:sz w:val="18"/>
              </w:rPr>
              <w:t>Statistical Analysis</w:t>
            </w:r>
          </w:p>
        </w:tc>
      </w:tr>
      <w:tr w:rsidR="003B74AE" w:rsidRPr="00D326F8" w14:paraId="601A82A5" w14:textId="77777777" w:rsidTr="0075273A">
        <w:tc>
          <w:tcPr>
            <w:tcW w:w="733" w:type="pct"/>
            <w:tcBorders>
              <w:top w:val="single" w:sz="4" w:space="0" w:color="auto"/>
              <w:left w:val="single" w:sz="4" w:space="0" w:color="auto"/>
              <w:bottom w:val="single" w:sz="4" w:space="0" w:color="auto"/>
              <w:right w:val="single" w:sz="4" w:space="0" w:color="auto"/>
            </w:tcBorders>
            <w:hideMark/>
          </w:tcPr>
          <w:p w14:paraId="601A82A2"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Primary</w:t>
            </w:r>
          </w:p>
        </w:tc>
        <w:tc>
          <w:tcPr>
            <w:tcW w:w="1570" w:type="pct"/>
            <w:tcBorders>
              <w:top w:val="single" w:sz="4" w:space="0" w:color="auto"/>
              <w:left w:val="single" w:sz="4" w:space="0" w:color="auto"/>
              <w:bottom w:val="single" w:sz="4" w:space="0" w:color="auto"/>
              <w:right w:val="single" w:sz="4" w:space="0" w:color="auto"/>
            </w:tcBorders>
          </w:tcPr>
          <w:p w14:paraId="601A82A3" w14:textId="77777777" w:rsidR="00A217CD" w:rsidRPr="00D326F8" w:rsidRDefault="00A217CD" w:rsidP="007D5243">
            <w:pPr>
              <w:keepNext/>
              <w:keepLines/>
              <w:spacing w:before="40" w:after="40"/>
              <w:jc w:val="left"/>
              <w:rPr>
                <w:rFonts w:ascii="Arial" w:hAnsi="Arial"/>
                <w:sz w:val="18"/>
              </w:rPr>
            </w:pPr>
          </w:p>
        </w:tc>
        <w:tc>
          <w:tcPr>
            <w:tcW w:w="2697" w:type="pct"/>
            <w:tcBorders>
              <w:top w:val="single" w:sz="4" w:space="0" w:color="auto"/>
              <w:left w:val="single" w:sz="4" w:space="0" w:color="auto"/>
              <w:bottom w:val="single" w:sz="4" w:space="0" w:color="auto"/>
              <w:right w:val="single" w:sz="4" w:space="0" w:color="auto"/>
            </w:tcBorders>
          </w:tcPr>
          <w:p w14:paraId="601A82A4"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Not applicable</w:t>
            </w:r>
          </w:p>
        </w:tc>
      </w:tr>
      <w:tr w:rsidR="003B74AE" w:rsidRPr="00D326F8" w14:paraId="601A82A9" w14:textId="77777777" w:rsidTr="0075273A">
        <w:tc>
          <w:tcPr>
            <w:tcW w:w="733" w:type="pct"/>
            <w:tcBorders>
              <w:top w:val="single" w:sz="4" w:space="0" w:color="auto"/>
              <w:left w:val="single" w:sz="4" w:space="0" w:color="auto"/>
              <w:bottom w:val="single" w:sz="4" w:space="0" w:color="auto"/>
              <w:right w:val="single" w:sz="4" w:space="0" w:color="auto"/>
            </w:tcBorders>
            <w:hideMark/>
          </w:tcPr>
          <w:p w14:paraId="601A82A6"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Secondary</w:t>
            </w:r>
          </w:p>
        </w:tc>
        <w:tc>
          <w:tcPr>
            <w:tcW w:w="1570" w:type="pct"/>
            <w:tcBorders>
              <w:top w:val="single" w:sz="4" w:space="0" w:color="auto"/>
              <w:left w:val="single" w:sz="4" w:space="0" w:color="auto"/>
              <w:bottom w:val="single" w:sz="4" w:space="0" w:color="auto"/>
              <w:right w:val="single" w:sz="4" w:space="0" w:color="auto"/>
            </w:tcBorders>
          </w:tcPr>
          <w:p w14:paraId="601A82A7" w14:textId="77777777" w:rsidR="00A217CD" w:rsidRPr="00D326F8" w:rsidRDefault="00A217CD" w:rsidP="007D5243">
            <w:pPr>
              <w:keepNext/>
              <w:keepLines/>
              <w:spacing w:before="40" w:after="40"/>
              <w:jc w:val="left"/>
              <w:rPr>
                <w:rFonts w:ascii="Arial" w:hAnsi="Arial"/>
                <w:sz w:val="18"/>
              </w:rPr>
            </w:pPr>
          </w:p>
        </w:tc>
        <w:tc>
          <w:tcPr>
            <w:tcW w:w="2697" w:type="pct"/>
            <w:tcBorders>
              <w:top w:val="single" w:sz="4" w:space="0" w:color="auto"/>
              <w:left w:val="single" w:sz="4" w:space="0" w:color="auto"/>
              <w:bottom w:val="single" w:sz="4" w:space="0" w:color="auto"/>
              <w:right w:val="single" w:sz="4" w:space="0" w:color="auto"/>
            </w:tcBorders>
          </w:tcPr>
          <w:p w14:paraId="601A82A8" w14:textId="77777777" w:rsidR="00A217CD" w:rsidRPr="00D326F8" w:rsidRDefault="00A217CD" w:rsidP="007D5243">
            <w:pPr>
              <w:keepNext/>
              <w:keepLines/>
              <w:spacing w:before="40" w:after="40"/>
              <w:jc w:val="left"/>
              <w:rPr>
                <w:rFonts w:ascii="Arial" w:hAnsi="Arial"/>
                <w:sz w:val="18"/>
              </w:rPr>
            </w:pPr>
          </w:p>
        </w:tc>
      </w:tr>
      <w:tr w:rsidR="003B74AE" w:rsidRPr="00D326F8" w14:paraId="601A82AE" w14:textId="77777777" w:rsidTr="0075273A">
        <w:tc>
          <w:tcPr>
            <w:tcW w:w="733" w:type="pct"/>
            <w:tcBorders>
              <w:top w:val="single" w:sz="4" w:space="0" w:color="auto"/>
              <w:left w:val="single" w:sz="4" w:space="0" w:color="auto"/>
              <w:bottom w:val="single" w:sz="4" w:space="0" w:color="auto"/>
              <w:right w:val="single" w:sz="4" w:space="0" w:color="auto"/>
            </w:tcBorders>
          </w:tcPr>
          <w:p w14:paraId="601A82AA"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2 - Safety</w:t>
            </w:r>
          </w:p>
        </w:tc>
        <w:tc>
          <w:tcPr>
            <w:tcW w:w="1570" w:type="pct"/>
            <w:tcBorders>
              <w:top w:val="single" w:sz="4" w:space="0" w:color="auto"/>
              <w:left w:val="single" w:sz="4" w:space="0" w:color="auto"/>
              <w:bottom w:val="single" w:sz="4" w:space="0" w:color="auto"/>
              <w:right w:val="single" w:sz="4" w:space="0" w:color="auto"/>
            </w:tcBorders>
          </w:tcPr>
          <w:p w14:paraId="601A82AB" w14:textId="403362D1" w:rsidR="00A217CD" w:rsidRPr="00D326F8" w:rsidRDefault="003E23E4" w:rsidP="007D5243">
            <w:pPr>
              <w:keepNext/>
              <w:keepLines/>
              <w:spacing w:before="40" w:after="40"/>
              <w:jc w:val="left"/>
              <w:rPr>
                <w:rFonts w:ascii="Arial" w:hAnsi="Arial"/>
                <w:sz w:val="18"/>
              </w:rPr>
            </w:pPr>
            <w:r w:rsidRPr="00D326F8">
              <w:rPr>
                <w:rFonts w:ascii="Arial" w:hAnsi="Arial"/>
                <w:sz w:val="18"/>
              </w:rPr>
              <w:t>Nature, occurrence, severity</w:t>
            </w:r>
            <w:r w:rsidR="00CC2EB1" w:rsidRPr="00D326F8">
              <w:rPr>
                <w:rFonts w:ascii="Arial" w:hAnsi="Arial"/>
                <w:sz w:val="18"/>
              </w:rPr>
              <w:t>, and seriousness</w:t>
            </w:r>
            <w:r w:rsidRPr="00D326F8">
              <w:rPr>
                <w:rFonts w:ascii="Arial" w:hAnsi="Arial"/>
                <w:sz w:val="18"/>
              </w:rPr>
              <w:t xml:space="preserve"> of TEAEs </w:t>
            </w:r>
          </w:p>
        </w:tc>
        <w:tc>
          <w:tcPr>
            <w:tcW w:w="2697" w:type="pct"/>
            <w:tcBorders>
              <w:top w:val="single" w:sz="4" w:space="0" w:color="auto"/>
              <w:left w:val="single" w:sz="4" w:space="0" w:color="auto"/>
              <w:bottom w:val="single" w:sz="4" w:space="0" w:color="auto"/>
              <w:right w:val="single" w:sz="4" w:space="0" w:color="auto"/>
            </w:tcBorders>
          </w:tcPr>
          <w:p w14:paraId="601A82AC"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 xml:space="preserve">AE counts and participants with AEs will be summarized for each treatment by SOC and PT. </w:t>
            </w:r>
          </w:p>
          <w:p w14:paraId="601A82AD"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In addition, AEs will be tabulated and listed per participant and analyzed by severity and relationship to study intervention.</w:t>
            </w:r>
          </w:p>
        </w:tc>
      </w:tr>
      <w:tr w:rsidR="003B74AE" w:rsidRPr="00D326F8" w14:paraId="601A82B3" w14:textId="77777777" w:rsidTr="0075273A">
        <w:tc>
          <w:tcPr>
            <w:tcW w:w="733" w:type="pct"/>
            <w:tcBorders>
              <w:top w:val="single" w:sz="4" w:space="0" w:color="auto"/>
              <w:left w:val="single" w:sz="4" w:space="0" w:color="auto"/>
              <w:bottom w:val="single" w:sz="4" w:space="0" w:color="auto"/>
              <w:right w:val="single" w:sz="4" w:space="0" w:color="auto"/>
            </w:tcBorders>
          </w:tcPr>
          <w:p w14:paraId="601A82AF" w14:textId="77777777" w:rsidR="00A217CD" w:rsidRPr="00D326F8" w:rsidRDefault="00A217CD" w:rsidP="007D5243">
            <w:pPr>
              <w:keepNext/>
              <w:keepLines/>
              <w:spacing w:before="40" w:after="40"/>
              <w:jc w:val="left"/>
              <w:rPr>
                <w:rFonts w:ascii="Arial" w:hAnsi="Arial"/>
                <w:sz w:val="18"/>
              </w:rPr>
            </w:pPr>
          </w:p>
        </w:tc>
        <w:tc>
          <w:tcPr>
            <w:tcW w:w="1570" w:type="pct"/>
            <w:tcBorders>
              <w:top w:val="single" w:sz="4" w:space="0" w:color="auto"/>
              <w:left w:val="single" w:sz="4" w:space="0" w:color="auto"/>
              <w:bottom w:val="single" w:sz="4" w:space="0" w:color="auto"/>
              <w:right w:val="single" w:sz="4" w:space="0" w:color="auto"/>
            </w:tcBorders>
          </w:tcPr>
          <w:p w14:paraId="601A82B0"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Absolute values and changes in safety laboratory tests from time of first dose to end of study participation</w:t>
            </w:r>
          </w:p>
        </w:tc>
        <w:tc>
          <w:tcPr>
            <w:tcW w:w="2697" w:type="pct"/>
            <w:tcBorders>
              <w:top w:val="single" w:sz="4" w:space="0" w:color="auto"/>
              <w:left w:val="single" w:sz="4" w:space="0" w:color="auto"/>
              <w:bottom w:val="single" w:sz="4" w:space="0" w:color="auto"/>
              <w:right w:val="single" w:sz="4" w:space="0" w:color="auto"/>
            </w:tcBorders>
          </w:tcPr>
          <w:p w14:paraId="601A82B1"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 xml:space="preserve">Safety laboratory parameters will be listed for each participant including changes from Baseline and flags for measurements outside the reference ranges, where applicable. </w:t>
            </w:r>
          </w:p>
          <w:p w14:paraId="601A82B2"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Laboratory parameters (hematology and clinical chemistry) will be summarized by time point including both absolute values and changes from Baseline.</w:t>
            </w:r>
          </w:p>
        </w:tc>
      </w:tr>
      <w:tr w:rsidR="003B74AE" w:rsidRPr="00D326F8" w14:paraId="601A82B7" w14:textId="77777777" w:rsidTr="0075273A">
        <w:tc>
          <w:tcPr>
            <w:tcW w:w="733" w:type="pct"/>
            <w:tcBorders>
              <w:top w:val="single" w:sz="4" w:space="0" w:color="auto"/>
              <w:left w:val="single" w:sz="4" w:space="0" w:color="auto"/>
              <w:bottom w:val="single" w:sz="4" w:space="0" w:color="auto"/>
              <w:right w:val="single" w:sz="4" w:space="0" w:color="auto"/>
            </w:tcBorders>
          </w:tcPr>
          <w:p w14:paraId="601A82B4" w14:textId="77777777" w:rsidR="00A217CD" w:rsidRPr="00D326F8" w:rsidRDefault="00A217CD" w:rsidP="007D5243">
            <w:pPr>
              <w:keepNext/>
              <w:keepLines/>
              <w:spacing w:before="40" w:after="40"/>
              <w:jc w:val="left"/>
              <w:rPr>
                <w:rFonts w:ascii="Arial" w:hAnsi="Arial"/>
                <w:sz w:val="18"/>
              </w:rPr>
            </w:pPr>
          </w:p>
        </w:tc>
        <w:tc>
          <w:tcPr>
            <w:tcW w:w="1570" w:type="pct"/>
            <w:tcBorders>
              <w:top w:val="single" w:sz="4" w:space="0" w:color="auto"/>
              <w:left w:val="single" w:sz="4" w:space="0" w:color="auto"/>
              <w:bottom w:val="single" w:sz="4" w:space="0" w:color="auto"/>
              <w:right w:val="single" w:sz="4" w:space="0" w:color="auto"/>
            </w:tcBorders>
          </w:tcPr>
          <w:p w14:paraId="601A82B5"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Single 12-lead ECGs evaluated by Investigator from time of first dose to end of study participation</w:t>
            </w:r>
          </w:p>
        </w:tc>
        <w:tc>
          <w:tcPr>
            <w:tcW w:w="2697" w:type="pct"/>
            <w:tcBorders>
              <w:top w:val="single" w:sz="4" w:space="0" w:color="auto"/>
              <w:left w:val="single" w:sz="4" w:space="0" w:color="auto"/>
              <w:bottom w:val="single" w:sz="4" w:space="0" w:color="auto"/>
              <w:right w:val="single" w:sz="4" w:space="0" w:color="auto"/>
            </w:tcBorders>
          </w:tcPr>
          <w:p w14:paraId="601A82B6"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ECG data will be summarized by absolute and changes from Baseline values by treatment using descriptive statistics. Clinical noteworthy ECG findings for individual participants will be listed and summarized as appropriate.</w:t>
            </w:r>
          </w:p>
        </w:tc>
      </w:tr>
      <w:tr w:rsidR="003B74AE" w:rsidRPr="00D326F8" w14:paraId="601A82BB" w14:textId="77777777" w:rsidTr="0075273A">
        <w:tc>
          <w:tcPr>
            <w:tcW w:w="733" w:type="pct"/>
            <w:tcBorders>
              <w:top w:val="single" w:sz="4" w:space="0" w:color="auto"/>
              <w:left w:val="single" w:sz="4" w:space="0" w:color="auto"/>
              <w:bottom w:val="single" w:sz="4" w:space="0" w:color="auto"/>
              <w:right w:val="single" w:sz="4" w:space="0" w:color="auto"/>
            </w:tcBorders>
          </w:tcPr>
          <w:p w14:paraId="601A82B8" w14:textId="77777777" w:rsidR="00A217CD" w:rsidRPr="00D326F8" w:rsidRDefault="00A217CD" w:rsidP="007D5243">
            <w:pPr>
              <w:keepNext/>
              <w:keepLines/>
              <w:spacing w:before="40" w:after="40"/>
              <w:jc w:val="left"/>
              <w:rPr>
                <w:rFonts w:ascii="Arial" w:hAnsi="Arial"/>
                <w:sz w:val="18"/>
              </w:rPr>
            </w:pPr>
          </w:p>
        </w:tc>
        <w:tc>
          <w:tcPr>
            <w:tcW w:w="1570" w:type="pct"/>
            <w:tcBorders>
              <w:top w:val="single" w:sz="4" w:space="0" w:color="auto"/>
              <w:left w:val="single" w:sz="4" w:space="0" w:color="auto"/>
              <w:bottom w:val="single" w:sz="4" w:space="0" w:color="auto"/>
              <w:right w:val="single" w:sz="4" w:space="0" w:color="auto"/>
            </w:tcBorders>
          </w:tcPr>
          <w:p w14:paraId="601A82B9"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Vital signs assessed from time of first dose to end of study participation</w:t>
            </w:r>
          </w:p>
        </w:tc>
        <w:tc>
          <w:tcPr>
            <w:tcW w:w="2697" w:type="pct"/>
            <w:tcBorders>
              <w:top w:val="single" w:sz="4" w:space="0" w:color="auto"/>
              <w:left w:val="single" w:sz="4" w:space="0" w:color="auto"/>
              <w:bottom w:val="single" w:sz="4" w:space="0" w:color="auto"/>
              <w:right w:val="single" w:sz="4" w:space="0" w:color="auto"/>
            </w:tcBorders>
          </w:tcPr>
          <w:p w14:paraId="601A82BA"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 xml:space="preserve">Vital signs by participant, including changes from Baseline, will be </w:t>
            </w:r>
            <w:proofErr w:type="gramStart"/>
            <w:r w:rsidRPr="00D326F8">
              <w:rPr>
                <w:rFonts w:ascii="Arial" w:hAnsi="Arial"/>
                <w:sz w:val="18"/>
              </w:rPr>
              <w:t>listed</w:t>
            </w:r>
            <w:proofErr w:type="gramEnd"/>
            <w:r w:rsidRPr="00D326F8">
              <w:rPr>
                <w:rFonts w:ascii="Arial" w:hAnsi="Arial"/>
                <w:sz w:val="18"/>
              </w:rPr>
              <w:t xml:space="preserve"> and summarized by treatment and time point using descriptive statistics.</w:t>
            </w:r>
          </w:p>
        </w:tc>
      </w:tr>
      <w:tr w:rsidR="003B74AE" w:rsidRPr="00D326F8" w14:paraId="601A82BF" w14:textId="77777777" w:rsidTr="0075273A">
        <w:tc>
          <w:tcPr>
            <w:tcW w:w="733" w:type="pct"/>
            <w:tcBorders>
              <w:top w:val="single" w:sz="4" w:space="0" w:color="auto"/>
              <w:left w:val="single" w:sz="4" w:space="0" w:color="auto"/>
              <w:bottom w:val="single" w:sz="4" w:space="0" w:color="auto"/>
              <w:right w:val="single" w:sz="4" w:space="0" w:color="auto"/>
            </w:tcBorders>
            <w:hideMark/>
          </w:tcPr>
          <w:p w14:paraId="601A82BC"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Tertiary/</w:t>
            </w:r>
            <w:r w:rsidRPr="00D326F8">
              <w:rPr>
                <w:rFonts w:ascii="Arial" w:hAnsi="Arial"/>
                <w:sz w:val="18"/>
              </w:rPr>
              <w:br/>
              <w:t>Exploratory</w:t>
            </w:r>
          </w:p>
        </w:tc>
        <w:tc>
          <w:tcPr>
            <w:tcW w:w="1570" w:type="pct"/>
            <w:tcBorders>
              <w:top w:val="single" w:sz="4" w:space="0" w:color="auto"/>
              <w:left w:val="single" w:sz="4" w:space="0" w:color="auto"/>
              <w:bottom w:val="single" w:sz="4" w:space="0" w:color="auto"/>
              <w:right w:val="single" w:sz="4" w:space="0" w:color="auto"/>
            </w:tcBorders>
          </w:tcPr>
          <w:p w14:paraId="601A82BD" w14:textId="77777777" w:rsidR="00A217CD" w:rsidRPr="00D326F8" w:rsidRDefault="00A217CD" w:rsidP="007D5243">
            <w:pPr>
              <w:keepNext/>
              <w:keepLines/>
              <w:spacing w:before="40" w:after="40"/>
              <w:jc w:val="left"/>
              <w:rPr>
                <w:rFonts w:ascii="Arial" w:hAnsi="Arial"/>
                <w:sz w:val="18"/>
              </w:rPr>
            </w:pPr>
          </w:p>
        </w:tc>
        <w:tc>
          <w:tcPr>
            <w:tcW w:w="2697" w:type="pct"/>
            <w:tcBorders>
              <w:top w:val="single" w:sz="4" w:space="0" w:color="auto"/>
              <w:left w:val="single" w:sz="4" w:space="0" w:color="auto"/>
              <w:bottom w:val="single" w:sz="4" w:space="0" w:color="auto"/>
              <w:right w:val="single" w:sz="4" w:space="0" w:color="auto"/>
            </w:tcBorders>
          </w:tcPr>
          <w:p w14:paraId="601A82BE"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Not applicable.</w:t>
            </w:r>
          </w:p>
        </w:tc>
      </w:tr>
      <w:tr w:rsidR="003B74AE" w:rsidRPr="00D326F8" w14:paraId="601A82C1" w14:textId="77777777" w:rsidTr="0075273A">
        <w:tc>
          <w:tcPr>
            <w:tcW w:w="5000" w:type="pct"/>
            <w:gridSpan w:val="3"/>
            <w:tcBorders>
              <w:top w:val="single" w:sz="4" w:space="0" w:color="auto"/>
            </w:tcBorders>
          </w:tcPr>
          <w:p w14:paraId="601A82C0" w14:textId="77777777" w:rsidR="00A217CD" w:rsidRPr="00D326F8" w:rsidRDefault="003E23E4" w:rsidP="007D5243">
            <w:pPr>
              <w:keepNext/>
              <w:keepLines/>
              <w:spacing w:before="40" w:after="40"/>
              <w:jc w:val="left"/>
              <w:rPr>
                <w:rFonts w:ascii="Arial" w:hAnsi="Arial"/>
                <w:sz w:val="18"/>
              </w:rPr>
            </w:pPr>
            <w:r w:rsidRPr="00D326F8">
              <w:rPr>
                <w:rFonts w:ascii="Arial" w:hAnsi="Arial"/>
                <w:sz w:val="18"/>
              </w:rPr>
              <w:t>AE=adverse event; ECG=electrocardiogram; PR=preferred term; SOC=system organ class; TEAE=treatment-emergent adverse event.</w:t>
            </w:r>
          </w:p>
        </w:tc>
      </w:tr>
    </w:tbl>
    <w:p w14:paraId="601A82C2" w14:textId="0BA09938" w:rsidR="005E1E9B" w:rsidRPr="00D326F8" w:rsidRDefault="003E23E4" w:rsidP="005F27BC">
      <w:pPr>
        <w:pStyle w:val="Heading3"/>
      </w:pPr>
      <w:bookmarkStart w:id="280" w:name="_Toc77839787"/>
      <w:r w:rsidRPr="00D326F8">
        <w:t>Other Analyses</w:t>
      </w:r>
      <w:bookmarkEnd w:id="280"/>
    </w:p>
    <w:p w14:paraId="601A82C3" w14:textId="77777777" w:rsidR="00117AB0" w:rsidRPr="00D326F8" w:rsidRDefault="003E23E4" w:rsidP="00117AB0">
      <w:pPr>
        <w:pStyle w:val="BodyText"/>
        <w:keepNext/>
        <w:rPr>
          <w:b/>
          <w:bCs/>
          <w:lang w:eastAsia="ja-JP"/>
        </w:rPr>
      </w:pPr>
      <w:r w:rsidRPr="00D326F8">
        <w:rPr>
          <w:b/>
          <w:bCs/>
          <w:lang w:eastAsia="ja-JP"/>
        </w:rPr>
        <w:t>Analysis of Primary Endpoints</w:t>
      </w:r>
    </w:p>
    <w:p w14:paraId="601A82C4" w14:textId="5AD055C1" w:rsidR="00117AB0" w:rsidRPr="00D326F8" w:rsidRDefault="003E23E4" w:rsidP="00117AB0">
      <w:pPr>
        <w:pStyle w:val="BodyText"/>
      </w:pPr>
      <w:r w:rsidRPr="00D326F8">
        <w:t xml:space="preserve">The effect of coadministration of carbamazepine on tepotinib exposure will be assessed. A general linear </w:t>
      </w:r>
      <w:r w:rsidRPr="00D326F8">
        <w:rPr>
          <w:lang w:eastAsia="ja-JP"/>
        </w:rPr>
        <w:t>model with a fixed effect for TREATMENT and a random effect for SUBJECT will be applied to the log-transformed PK parameters C</w:t>
      </w:r>
      <w:r w:rsidRPr="00D326F8">
        <w:rPr>
          <w:vertAlign w:val="subscript"/>
          <w:lang w:eastAsia="ja-JP"/>
        </w:rPr>
        <w:t>max</w:t>
      </w:r>
      <w:r w:rsidRPr="00D326F8">
        <w:rPr>
          <w:lang w:eastAsia="ja-JP"/>
        </w:rPr>
        <w:t>, AUC</w:t>
      </w:r>
      <w:r w:rsidRPr="00D326F8">
        <w:rPr>
          <w:vertAlign w:val="subscript"/>
          <w:lang w:eastAsia="ja-JP"/>
        </w:rPr>
        <w:t>0-tlast</w:t>
      </w:r>
      <w:r w:rsidRPr="00D326F8">
        <w:rPr>
          <w:lang w:eastAsia="ja-JP"/>
        </w:rPr>
        <w:t xml:space="preserve"> and AUC</w:t>
      </w:r>
      <w:r w:rsidRPr="00D326F8">
        <w:rPr>
          <w:vertAlign w:val="subscript"/>
          <w:lang w:eastAsia="ja-JP"/>
        </w:rPr>
        <w:t>0-∞</w:t>
      </w:r>
      <w:r w:rsidRPr="00D326F8">
        <w:rPr>
          <w:lang w:eastAsia="ja-JP"/>
        </w:rPr>
        <w:t xml:space="preserve"> based on the PK analysis set</w:t>
      </w:r>
      <w:r w:rsidRPr="00D326F8">
        <w:t xml:space="preserve">. Treatment differences on the log scale of tepotinib with carbamazepine versus tepotinib alone (Day 26 versus Day 1) will be estimated for the </w:t>
      </w:r>
      <w:r w:rsidRPr="00D326F8">
        <w:rPr>
          <w:lang w:eastAsia="ja-JP"/>
        </w:rPr>
        <w:t>C</w:t>
      </w:r>
      <w:r w:rsidRPr="00D326F8">
        <w:rPr>
          <w:vertAlign w:val="subscript"/>
          <w:lang w:eastAsia="ja-JP"/>
        </w:rPr>
        <w:t>max</w:t>
      </w:r>
      <w:r w:rsidRPr="00D326F8">
        <w:rPr>
          <w:lang w:eastAsia="ja-JP"/>
        </w:rPr>
        <w:t>, AUC</w:t>
      </w:r>
      <w:r w:rsidRPr="00D326F8">
        <w:rPr>
          <w:vertAlign w:val="subscript"/>
          <w:lang w:eastAsia="ja-JP"/>
        </w:rPr>
        <w:t>0</w:t>
      </w:r>
      <w:r w:rsidR="00C65605" w:rsidRPr="00D326F8">
        <w:rPr>
          <w:vertAlign w:val="subscript"/>
          <w:lang w:eastAsia="ja-JP"/>
        </w:rPr>
        <w:noBreakHyphen/>
      </w:r>
      <w:r w:rsidRPr="00D326F8">
        <w:rPr>
          <w:vertAlign w:val="subscript"/>
          <w:lang w:eastAsia="ja-JP"/>
        </w:rPr>
        <w:t>tlast</w:t>
      </w:r>
      <w:r w:rsidRPr="00D326F8">
        <w:rPr>
          <w:lang w:eastAsia="ja-JP"/>
        </w:rPr>
        <w:t xml:space="preserve"> and AUC</w:t>
      </w:r>
      <w:r w:rsidRPr="00D326F8">
        <w:rPr>
          <w:vertAlign w:val="subscript"/>
          <w:lang w:eastAsia="ja-JP"/>
        </w:rPr>
        <w:t>0</w:t>
      </w:r>
      <w:r w:rsidR="00C65605" w:rsidRPr="00D326F8">
        <w:rPr>
          <w:vertAlign w:val="subscript"/>
          <w:lang w:eastAsia="ja-JP"/>
        </w:rPr>
        <w:noBreakHyphen/>
      </w:r>
      <w:r w:rsidRPr="00D326F8">
        <w:rPr>
          <w:vertAlign w:val="subscript"/>
          <w:lang w:eastAsia="ja-JP"/>
        </w:rPr>
        <w:t>∞</w:t>
      </w:r>
      <w:r w:rsidRPr="00D326F8">
        <w:rPr>
          <w:lang w:eastAsia="ja-JP"/>
        </w:rPr>
        <w:t xml:space="preserve"> </w:t>
      </w:r>
      <w:r w:rsidRPr="00D326F8">
        <w:t>together with their 90% CIs. Point estimates and CIs will be back transformed to the original scale for presentation.</w:t>
      </w:r>
    </w:p>
    <w:p w14:paraId="601A82C5" w14:textId="7821FC15" w:rsidR="00117AB0" w:rsidRPr="00D326F8" w:rsidRDefault="003E23E4" w:rsidP="00117AB0">
      <w:pPr>
        <w:pStyle w:val="BodyText"/>
      </w:pPr>
      <w:r w:rsidRPr="00D326F8">
        <w:t xml:space="preserve">The analysis will be repeated with </w:t>
      </w:r>
      <w:r w:rsidR="00B95575" w:rsidRPr="00D326F8">
        <w:t xml:space="preserve">SUBJECT </w:t>
      </w:r>
      <w:r w:rsidRPr="00D326F8">
        <w:t xml:space="preserve">and </w:t>
      </w:r>
      <w:r w:rsidR="00B95575" w:rsidRPr="00D326F8">
        <w:t xml:space="preserve">TREATMENT </w:t>
      </w:r>
      <w:r w:rsidRPr="00D326F8">
        <w:t>as fixed effects.</w:t>
      </w:r>
    </w:p>
    <w:p w14:paraId="601A82C6" w14:textId="77777777" w:rsidR="00117AB0" w:rsidRPr="00D326F8" w:rsidRDefault="003E23E4" w:rsidP="00117AB0">
      <w:pPr>
        <w:pStyle w:val="BodyText"/>
        <w:rPr>
          <w:b/>
          <w:bCs/>
          <w:lang w:eastAsia="ja-JP"/>
        </w:rPr>
      </w:pPr>
      <w:r w:rsidRPr="00D326F8">
        <w:rPr>
          <w:b/>
          <w:bCs/>
          <w:lang w:eastAsia="ja-JP"/>
        </w:rPr>
        <w:t>Analysis of Tertiary/Exploratory Endpoints</w:t>
      </w:r>
    </w:p>
    <w:p w14:paraId="601A82C7" w14:textId="40211C85" w:rsidR="00117AB0" w:rsidRPr="00D326F8" w:rsidRDefault="003E23E4" w:rsidP="00117AB0">
      <w:pPr>
        <w:pStyle w:val="BodyText"/>
      </w:pPr>
      <w:r w:rsidRPr="00D326F8">
        <w:rPr>
          <w:lang w:eastAsia="ja-JP"/>
        </w:rPr>
        <w:t>The same analysis model as described for the primary endpoints will be provided for the exploratory endpoints C</w:t>
      </w:r>
      <w:r w:rsidRPr="00D326F8">
        <w:rPr>
          <w:vertAlign w:val="subscript"/>
          <w:lang w:eastAsia="ja-JP"/>
        </w:rPr>
        <w:t>max</w:t>
      </w:r>
      <w:r w:rsidRPr="00D326F8">
        <w:rPr>
          <w:lang w:eastAsia="ja-JP"/>
        </w:rPr>
        <w:t>, AUC</w:t>
      </w:r>
      <w:r w:rsidRPr="00D326F8">
        <w:rPr>
          <w:vertAlign w:val="subscript"/>
          <w:lang w:eastAsia="ja-JP"/>
        </w:rPr>
        <w:t>0-tlast</w:t>
      </w:r>
      <w:r w:rsidRPr="00D326F8">
        <w:rPr>
          <w:lang w:eastAsia="ja-JP"/>
        </w:rPr>
        <w:t xml:space="preserve"> and AUC</w:t>
      </w:r>
      <w:r w:rsidRPr="00D326F8">
        <w:rPr>
          <w:vertAlign w:val="subscript"/>
          <w:lang w:eastAsia="ja-JP"/>
        </w:rPr>
        <w:t>0-∞</w:t>
      </w:r>
      <w:r w:rsidRPr="00D326F8">
        <w:rPr>
          <w:lang w:eastAsia="ja-JP"/>
        </w:rPr>
        <w:t xml:space="preserve"> of metabolites MSC2571109A and MSC2571107A in plasma. </w:t>
      </w:r>
    </w:p>
    <w:p w14:paraId="601A82C8" w14:textId="77777777" w:rsidR="003A243D" w:rsidRPr="00D326F8" w:rsidRDefault="003E23E4" w:rsidP="00117AB0">
      <w:pPr>
        <w:pStyle w:val="BodyText"/>
      </w:pPr>
      <w:r w:rsidRPr="00D326F8">
        <w:rPr>
          <w:lang w:eastAsia="ja-JP"/>
        </w:rPr>
        <w:lastRenderedPageBreak/>
        <w:t>Summary statistics will be provided for all PK parameters.</w:t>
      </w:r>
    </w:p>
    <w:p w14:paraId="601A82C9" w14:textId="514FEDC9" w:rsidR="00117AB0" w:rsidRPr="00D326F8" w:rsidRDefault="003E23E4" w:rsidP="00117AB0">
      <w:pPr>
        <w:pStyle w:val="BodyText"/>
      </w:pPr>
      <w:r w:rsidRPr="00D326F8">
        <w:t xml:space="preserve">Details on the </w:t>
      </w:r>
      <w:r w:rsidR="004039AE" w:rsidRPr="00D326F8">
        <w:t>PK</w:t>
      </w:r>
      <w:r w:rsidRPr="00D326F8">
        <w:t xml:space="preserve"> </w:t>
      </w:r>
      <w:r w:rsidR="004039AE" w:rsidRPr="00D326F8">
        <w:t>analys</w:t>
      </w:r>
      <w:r w:rsidRPr="00D326F8">
        <w:t>i</w:t>
      </w:r>
      <w:r w:rsidR="004039AE" w:rsidRPr="00D326F8">
        <w:t xml:space="preserve">s will be in the </w:t>
      </w:r>
      <w:r w:rsidR="00C65605" w:rsidRPr="00D326F8">
        <w:t>IAP</w:t>
      </w:r>
      <w:r w:rsidR="004039AE" w:rsidRPr="00D326F8">
        <w:t xml:space="preserve"> </w:t>
      </w:r>
      <w:r w:rsidR="00C6268B" w:rsidRPr="00D326F8">
        <w:t xml:space="preserve">that will be </w:t>
      </w:r>
      <w:r w:rsidR="004039AE" w:rsidRPr="00D326F8">
        <w:t>finalized before database lock.</w:t>
      </w:r>
    </w:p>
    <w:p w14:paraId="601A82CA" w14:textId="77777777" w:rsidR="005E1E9B" w:rsidRPr="00D326F8" w:rsidRDefault="003E23E4" w:rsidP="00406C93">
      <w:pPr>
        <w:pStyle w:val="Heading3"/>
      </w:pPr>
      <w:bookmarkStart w:id="281" w:name="_Toc77839788"/>
      <w:bookmarkEnd w:id="279"/>
      <w:r w:rsidRPr="00D326F8">
        <w:t>Sequence of Analyses</w:t>
      </w:r>
      <w:bookmarkEnd w:id="281"/>
    </w:p>
    <w:p w14:paraId="601A82CB" w14:textId="77777777" w:rsidR="00117AB0" w:rsidRPr="00D326F8" w:rsidRDefault="003E23E4" w:rsidP="00117AB0">
      <w:pPr>
        <w:pStyle w:val="BodyText"/>
      </w:pPr>
      <w:r w:rsidRPr="00D326F8">
        <w:t xml:space="preserve">All final, planned analyses identified in the clinical study protocol will be performed only after the last participant has completed the last </w:t>
      </w:r>
      <w:proofErr w:type="gramStart"/>
      <w:r w:rsidRPr="00D326F8">
        <w:t>visit;</w:t>
      </w:r>
      <w:proofErr w:type="gramEnd"/>
      <w:r w:rsidRPr="00D326F8">
        <w:t xml:space="preserve"> i.e., Safety Follow </w:t>
      </w:r>
      <w:r w:rsidR="007662C0" w:rsidRPr="00D326F8">
        <w:t xml:space="preserve">Up </w:t>
      </w:r>
      <w:r w:rsidRPr="00D326F8">
        <w:t>with all study data in</w:t>
      </w:r>
      <w:r w:rsidR="007662C0" w:rsidRPr="00D326F8">
        <w:noBreakHyphen/>
      </w:r>
      <w:r w:rsidRPr="00D326F8">
        <w:t>house, all data queries resolved, and the database locked.</w:t>
      </w:r>
    </w:p>
    <w:p w14:paraId="601A82CC" w14:textId="77777777" w:rsidR="005E1E9B" w:rsidRPr="00D326F8" w:rsidRDefault="003E23E4" w:rsidP="00D257F4">
      <w:pPr>
        <w:pStyle w:val="Heading1"/>
        <w:pageBreakBefore/>
      </w:pPr>
      <w:bookmarkStart w:id="282" w:name="_Toc77839789"/>
      <w:r w:rsidRPr="00D326F8">
        <w:lastRenderedPageBreak/>
        <w:t>References</w:t>
      </w:r>
      <w:bookmarkEnd w:id="282"/>
      <w:r w:rsidRPr="00D326F8">
        <w:t xml:space="preserve"> </w:t>
      </w:r>
    </w:p>
    <w:p w14:paraId="601A82CD" w14:textId="77777777" w:rsidR="00117AB0" w:rsidRPr="00D326F8" w:rsidRDefault="003E23E4" w:rsidP="00BC5570">
      <w:pPr>
        <w:pStyle w:val="Heading9"/>
      </w:pPr>
      <w:bookmarkStart w:id="283" w:name="_Bertilsson_L,_Tomson"/>
      <w:bookmarkEnd w:id="283"/>
      <w:proofErr w:type="spellStart"/>
      <w:r w:rsidRPr="00D326F8">
        <w:t>Bertilsson</w:t>
      </w:r>
      <w:proofErr w:type="spellEnd"/>
      <w:r w:rsidRPr="00D326F8">
        <w:t xml:space="preserve"> L, Tomson T. Clinical pharmacokinetics and pharmacological effects of carbamazepine and carbamazepine-10,11-epoxide. An update. Clin </w:t>
      </w:r>
      <w:proofErr w:type="spellStart"/>
      <w:r w:rsidRPr="00D326F8">
        <w:t>Pharmacokinet</w:t>
      </w:r>
      <w:proofErr w:type="spellEnd"/>
      <w:r w:rsidRPr="00D326F8">
        <w:t>. 1986;11(3):177–98.</w:t>
      </w:r>
    </w:p>
    <w:p w14:paraId="601A82CE" w14:textId="77777777" w:rsidR="00117AB0" w:rsidRPr="00D326F8" w:rsidRDefault="003E23E4" w:rsidP="00BC5570">
      <w:pPr>
        <w:pStyle w:val="Heading9"/>
        <w:rPr>
          <w:lang w:val="fr-FR"/>
        </w:rPr>
      </w:pPr>
      <w:bookmarkStart w:id="284" w:name="_Bertilsson_L._Clinical"/>
      <w:bookmarkEnd w:id="284"/>
      <w:proofErr w:type="spellStart"/>
      <w:r w:rsidRPr="00D326F8">
        <w:t>Bertilsson</w:t>
      </w:r>
      <w:proofErr w:type="spellEnd"/>
      <w:r w:rsidRPr="00D326F8">
        <w:t xml:space="preserve"> L. Clinical pharmacokinetics of carbamazepine. Clin </w:t>
      </w:r>
      <w:proofErr w:type="spellStart"/>
      <w:r w:rsidRPr="00D326F8">
        <w:t>Pharmacokinet</w:t>
      </w:r>
      <w:proofErr w:type="spellEnd"/>
      <w:r w:rsidRPr="00D326F8">
        <w:t>. 1978;3(2):128</w:t>
      </w:r>
      <w:r w:rsidRPr="00D326F8">
        <w:noBreakHyphen/>
        <w:t>43.</w:t>
      </w:r>
    </w:p>
    <w:p w14:paraId="601A82CF" w14:textId="09539F94" w:rsidR="00D06D0B" w:rsidRPr="00D326F8" w:rsidRDefault="003E23E4" w:rsidP="00D06D0B">
      <w:pPr>
        <w:pStyle w:val="Heading9"/>
      </w:pPr>
      <w:bookmarkStart w:id="285" w:name="_Carbamazepine_SmPC."/>
      <w:bookmarkStart w:id="286" w:name="_Carbamazepine_SmPC._"/>
      <w:bookmarkStart w:id="287" w:name="_Carbamazepine_SmPC._https://www.med"/>
      <w:bookmarkEnd w:id="285"/>
      <w:bookmarkEnd w:id="286"/>
      <w:bookmarkEnd w:id="287"/>
      <w:r w:rsidRPr="00D326F8">
        <w:t>Carbamazepine SmPC.</w:t>
      </w:r>
      <w:r w:rsidR="00C461D8" w:rsidRPr="00D326F8">
        <w:t xml:space="preserve"> https://www.medicines.org.uk/emc/product/7845/smpc#gref. Last accessed on 07</w:t>
      </w:r>
      <w:r w:rsidR="00F1135F" w:rsidRPr="00D326F8">
        <w:t> </w:t>
      </w:r>
      <w:r w:rsidR="00C461D8" w:rsidRPr="00D326F8">
        <w:t>July</w:t>
      </w:r>
      <w:r w:rsidR="00F1135F" w:rsidRPr="00D326F8">
        <w:t> </w:t>
      </w:r>
      <w:r w:rsidR="00C461D8" w:rsidRPr="00D326F8">
        <w:t>2021.</w:t>
      </w:r>
    </w:p>
    <w:p w14:paraId="601A82D0" w14:textId="0CCD69EB" w:rsidR="00D06D0B" w:rsidRPr="00D326F8" w:rsidRDefault="003E23E4" w:rsidP="00D06D0B">
      <w:pPr>
        <w:pStyle w:val="Heading9"/>
      </w:pPr>
      <w:bookmarkStart w:id="288" w:name="_Carbamazepine_USPI."/>
      <w:bookmarkStart w:id="289" w:name="_Carbamazepine_USPI._https://www.dru"/>
      <w:bookmarkEnd w:id="288"/>
      <w:bookmarkEnd w:id="289"/>
      <w:r w:rsidRPr="00D326F8">
        <w:t>Carbamazepine USPI.</w:t>
      </w:r>
      <w:r w:rsidR="00C22F6F" w:rsidRPr="00D326F8">
        <w:t xml:space="preserve"> https://www.drugs.com/pro/carbamazepine.html. Last accessed on 07 July 2021.</w:t>
      </w:r>
    </w:p>
    <w:p w14:paraId="601A82D1" w14:textId="2081392C" w:rsidR="00117AB0" w:rsidRPr="00D326F8" w:rsidRDefault="003E23E4" w:rsidP="00BC5570">
      <w:pPr>
        <w:pStyle w:val="Heading9"/>
      </w:pPr>
      <w:bookmarkStart w:id="290" w:name="_Chan_KK,_et"/>
      <w:bookmarkEnd w:id="290"/>
      <w:r w:rsidRPr="00D326F8">
        <w:t>Chan KK,</w:t>
      </w:r>
      <w:r w:rsidR="00F1135F" w:rsidRPr="00D326F8">
        <w:t xml:space="preserve"> Sawchuk RJ, Thompson TA</w:t>
      </w:r>
      <w:r w:rsidRPr="00D326F8">
        <w:t xml:space="preserve"> et al. Bioequivalence of carbamazepine chewable and conventional tablets: single</w:t>
      </w:r>
      <w:r w:rsidR="00A57542" w:rsidRPr="00D326F8">
        <w:t> </w:t>
      </w:r>
      <w:r w:rsidRPr="00D326F8">
        <w:t xml:space="preserve">dose and steady-state studies. J Pharm Sci. </w:t>
      </w:r>
      <w:proofErr w:type="gramStart"/>
      <w:r w:rsidRPr="00D326F8">
        <w:t>1985;74:866</w:t>
      </w:r>
      <w:proofErr w:type="gramEnd"/>
      <w:r w:rsidRPr="00D326F8">
        <w:t>–70.</w:t>
      </w:r>
    </w:p>
    <w:p w14:paraId="601A82D2" w14:textId="77777777" w:rsidR="00117AB0" w:rsidRPr="00D326F8" w:rsidRDefault="003E23E4" w:rsidP="00BC5570">
      <w:pPr>
        <w:pStyle w:val="Heading9"/>
        <w:rPr>
          <w:color w:val="000000"/>
          <w:shd w:val="clear" w:color="auto" w:fill="FFFFFF"/>
        </w:rPr>
      </w:pPr>
      <w:bookmarkStart w:id="291" w:name="_Chen_P,_Lin"/>
      <w:bookmarkEnd w:id="291"/>
      <w:r w:rsidRPr="00D326F8">
        <w:rPr>
          <w:color w:val="000000"/>
          <w:shd w:val="clear" w:color="auto" w:fill="FFFFFF"/>
        </w:rPr>
        <w:t xml:space="preserve">Chen P, Lin JJ, Lu CS, et al. Carbamazepine-induced toxic </w:t>
      </w:r>
      <w:proofErr w:type="gramStart"/>
      <w:r w:rsidRPr="00D326F8">
        <w:rPr>
          <w:color w:val="000000"/>
          <w:shd w:val="clear" w:color="auto" w:fill="FFFFFF"/>
        </w:rPr>
        <w:t>effects</w:t>
      </w:r>
      <w:proofErr w:type="gramEnd"/>
      <w:r w:rsidRPr="00D326F8">
        <w:rPr>
          <w:color w:val="000000"/>
          <w:shd w:val="clear" w:color="auto" w:fill="FFFFFF"/>
        </w:rPr>
        <w:t xml:space="preserve"> and HLA-B*1502 screening in Taiwan. N </w:t>
      </w:r>
      <w:proofErr w:type="spellStart"/>
      <w:r w:rsidRPr="00D326F8">
        <w:rPr>
          <w:color w:val="000000"/>
          <w:shd w:val="clear" w:color="auto" w:fill="FFFFFF"/>
        </w:rPr>
        <w:t>Engl</w:t>
      </w:r>
      <w:proofErr w:type="spellEnd"/>
      <w:r w:rsidRPr="00D326F8">
        <w:rPr>
          <w:color w:val="000000"/>
          <w:shd w:val="clear" w:color="auto" w:fill="FFFFFF"/>
        </w:rPr>
        <w:t xml:space="preserve"> J Med. </w:t>
      </w:r>
      <w:proofErr w:type="gramStart"/>
      <w:r w:rsidRPr="00D326F8">
        <w:rPr>
          <w:color w:val="000000"/>
          <w:shd w:val="clear" w:color="auto" w:fill="FFFFFF"/>
        </w:rPr>
        <w:t>2011;364:1126</w:t>
      </w:r>
      <w:proofErr w:type="gramEnd"/>
      <w:r w:rsidRPr="00D326F8">
        <w:rPr>
          <w:color w:val="000000"/>
          <w:shd w:val="clear" w:color="auto" w:fill="FFFFFF"/>
        </w:rPr>
        <w:t>-33</w:t>
      </w:r>
      <w:r w:rsidR="00BC5570" w:rsidRPr="00D326F8">
        <w:rPr>
          <w:color w:val="000000"/>
          <w:shd w:val="clear" w:color="auto" w:fill="FFFFFF"/>
        </w:rPr>
        <w:t>.</w:t>
      </w:r>
    </w:p>
    <w:p w14:paraId="601A82D3" w14:textId="77777777" w:rsidR="00117AB0" w:rsidRPr="00D326F8" w:rsidRDefault="003E23E4" w:rsidP="00BC5570">
      <w:pPr>
        <w:pStyle w:val="Heading9"/>
      </w:pPr>
      <w:bookmarkStart w:id="292" w:name="_Elmeliegy_M,_Vourvahis"/>
      <w:bookmarkEnd w:id="292"/>
      <w:proofErr w:type="spellStart"/>
      <w:r w:rsidRPr="00D326F8">
        <w:t>Elmeliegy</w:t>
      </w:r>
      <w:proofErr w:type="spellEnd"/>
      <w:r w:rsidRPr="00D326F8">
        <w:t xml:space="preserve"> M, </w:t>
      </w:r>
      <w:proofErr w:type="spellStart"/>
      <w:r w:rsidRPr="00D326F8">
        <w:t>Vourvahis</w:t>
      </w:r>
      <w:proofErr w:type="spellEnd"/>
      <w:r w:rsidRPr="00D326F8">
        <w:t xml:space="preserve"> M, Guo C, et al. Effect of P-glycoprotein (P-gp) </w:t>
      </w:r>
      <w:r w:rsidR="006635A2" w:rsidRPr="00D326F8">
        <w:t xml:space="preserve">inducers </w:t>
      </w:r>
      <w:r w:rsidRPr="00D326F8">
        <w:t xml:space="preserve">on </w:t>
      </w:r>
      <w:r w:rsidR="006635A2" w:rsidRPr="00D326F8">
        <w:t>e</w:t>
      </w:r>
      <w:r w:rsidRPr="00D326F8">
        <w:t xml:space="preserve">xposure of P-gp </w:t>
      </w:r>
      <w:r w:rsidR="006635A2" w:rsidRPr="00D326F8">
        <w:t>s</w:t>
      </w:r>
      <w:r w:rsidRPr="00D326F8">
        <w:t xml:space="preserve">ubstrates: </w:t>
      </w:r>
      <w:r w:rsidR="006635A2" w:rsidRPr="00D326F8">
        <w:t>r</w:t>
      </w:r>
      <w:r w:rsidRPr="00D326F8">
        <w:t xml:space="preserve">eview of </w:t>
      </w:r>
      <w:r w:rsidR="006635A2" w:rsidRPr="00D326F8">
        <w:t>c</w:t>
      </w:r>
      <w:r w:rsidRPr="00D326F8">
        <w:t xml:space="preserve">linical </w:t>
      </w:r>
      <w:r w:rsidR="006635A2" w:rsidRPr="00D326F8">
        <w:t>d</w:t>
      </w:r>
      <w:r w:rsidRPr="00D326F8">
        <w:t>rug-</w:t>
      </w:r>
      <w:r w:rsidR="006635A2" w:rsidRPr="00D326F8">
        <w:t>d</w:t>
      </w:r>
      <w:r w:rsidRPr="00D326F8">
        <w:t xml:space="preserve">rug </w:t>
      </w:r>
      <w:r w:rsidR="006635A2" w:rsidRPr="00D326F8">
        <w:t>i</w:t>
      </w:r>
      <w:r w:rsidRPr="00D326F8">
        <w:t xml:space="preserve">nteraction </w:t>
      </w:r>
      <w:r w:rsidR="006635A2" w:rsidRPr="00D326F8">
        <w:t>s</w:t>
      </w:r>
      <w:r w:rsidRPr="00D326F8">
        <w:t>tudies.</w:t>
      </w:r>
      <w:r w:rsidR="006635A2" w:rsidRPr="00D326F8">
        <w:t xml:space="preserve"> </w:t>
      </w:r>
      <w:r w:rsidRPr="00D326F8">
        <w:t xml:space="preserve">Clin </w:t>
      </w:r>
      <w:proofErr w:type="spellStart"/>
      <w:r w:rsidRPr="00D326F8">
        <w:t>Pharmacokinet</w:t>
      </w:r>
      <w:proofErr w:type="spellEnd"/>
      <w:r w:rsidRPr="00D326F8">
        <w:t xml:space="preserve">. </w:t>
      </w:r>
      <w:proofErr w:type="gramStart"/>
      <w:r w:rsidRPr="00D326F8">
        <w:t>2020;59:699</w:t>
      </w:r>
      <w:proofErr w:type="gramEnd"/>
      <w:r w:rsidRPr="00D326F8">
        <w:t>-714.</w:t>
      </w:r>
    </w:p>
    <w:p w14:paraId="601A82D4" w14:textId="02E54DE8" w:rsidR="00117AB0" w:rsidRPr="00D326F8" w:rsidRDefault="003E23E4" w:rsidP="00BC5570">
      <w:pPr>
        <w:pStyle w:val="Heading9"/>
      </w:pPr>
      <w:bookmarkStart w:id="293" w:name="_Faucette_SR,_et"/>
      <w:bookmarkEnd w:id="293"/>
      <w:r w:rsidRPr="00D326F8">
        <w:t xml:space="preserve">Faucette SR, </w:t>
      </w:r>
      <w:r w:rsidR="008B5CF3" w:rsidRPr="00D326F8">
        <w:t xml:space="preserve">Zhang TC, Moore R </w:t>
      </w:r>
      <w:r w:rsidRPr="00D326F8">
        <w:t xml:space="preserve">et al. Relative activation of human pregnane X receptor versus constitutive androstane receptor defines distinct classes of CYP2B6 and CYP3A4 inducers. J </w:t>
      </w:r>
      <w:proofErr w:type="spellStart"/>
      <w:r w:rsidRPr="00D326F8">
        <w:t>Pharmacol</w:t>
      </w:r>
      <w:proofErr w:type="spellEnd"/>
      <w:r w:rsidRPr="00D326F8">
        <w:t xml:space="preserve"> Exp </w:t>
      </w:r>
      <w:proofErr w:type="spellStart"/>
      <w:r w:rsidRPr="00D326F8">
        <w:t>Ther</w:t>
      </w:r>
      <w:proofErr w:type="spellEnd"/>
      <w:r w:rsidRPr="00D326F8">
        <w:t xml:space="preserve">. </w:t>
      </w:r>
      <w:proofErr w:type="gramStart"/>
      <w:r w:rsidRPr="00D326F8">
        <w:t>2007;320:72</w:t>
      </w:r>
      <w:proofErr w:type="gramEnd"/>
      <w:r w:rsidRPr="00D326F8">
        <w:noBreakHyphen/>
        <w:t>80.</w:t>
      </w:r>
    </w:p>
    <w:p w14:paraId="601A82D5" w14:textId="0C0DC1DF" w:rsidR="00117AB0" w:rsidRPr="00D326F8" w:rsidRDefault="003E23E4" w:rsidP="00BC5570">
      <w:pPr>
        <w:pStyle w:val="Heading9"/>
        <w:rPr>
          <w:lang w:val="de-DE"/>
        </w:rPr>
      </w:pPr>
      <w:bookmarkStart w:id="294" w:name="_Giessmann_T,_et"/>
      <w:bookmarkEnd w:id="294"/>
      <w:proofErr w:type="spellStart"/>
      <w:r w:rsidRPr="00D326F8">
        <w:t>Giessmann</w:t>
      </w:r>
      <w:proofErr w:type="spellEnd"/>
      <w:r w:rsidRPr="00D326F8">
        <w:t xml:space="preserve"> T,</w:t>
      </w:r>
      <w:r w:rsidR="00F1135F" w:rsidRPr="00D326F8">
        <w:t xml:space="preserve"> May K, </w:t>
      </w:r>
      <w:proofErr w:type="spellStart"/>
      <w:r w:rsidR="00F1135F" w:rsidRPr="00D326F8">
        <w:t>Modess</w:t>
      </w:r>
      <w:proofErr w:type="spellEnd"/>
      <w:r w:rsidR="00F1135F" w:rsidRPr="00D326F8">
        <w:t xml:space="preserve"> C</w:t>
      </w:r>
      <w:r w:rsidRPr="00D326F8">
        <w:t xml:space="preserve"> et al. Carbamazepine regulates intestinal P-glycoprotein and multidrug resistance protein MRP2 and influences disposition of </w:t>
      </w:r>
      <w:proofErr w:type="spellStart"/>
      <w:r w:rsidRPr="00D326F8">
        <w:t>talinolol</w:t>
      </w:r>
      <w:proofErr w:type="spellEnd"/>
      <w:r w:rsidRPr="00D326F8">
        <w:t xml:space="preserve"> in humans. </w:t>
      </w:r>
      <w:r w:rsidRPr="00D326F8">
        <w:rPr>
          <w:lang w:val="de-DE"/>
        </w:rPr>
        <w:t xml:space="preserve">Clin </w:t>
      </w:r>
      <w:proofErr w:type="spellStart"/>
      <w:r w:rsidRPr="00D326F8">
        <w:rPr>
          <w:lang w:val="de-DE"/>
        </w:rPr>
        <w:t>Pharmacol</w:t>
      </w:r>
      <w:proofErr w:type="spellEnd"/>
      <w:r w:rsidRPr="00D326F8">
        <w:rPr>
          <w:lang w:val="de-DE"/>
        </w:rPr>
        <w:t xml:space="preserve"> </w:t>
      </w:r>
      <w:proofErr w:type="spellStart"/>
      <w:r w:rsidRPr="00D326F8">
        <w:rPr>
          <w:lang w:val="de-DE"/>
        </w:rPr>
        <w:t>Ther</w:t>
      </w:r>
      <w:proofErr w:type="spellEnd"/>
      <w:r w:rsidRPr="00D326F8">
        <w:rPr>
          <w:lang w:val="de-DE"/>
        </w:rPr>
        <w:t>. 2004;76</w:t>
      </w:r>
      <w:r w:rsidR="00F1135F" w:rsidRPr="00D326F8">
        <w:rPr>
          <w:lang w:val="de-DE"/>
        </w:rPr>
        <w:t>(3)</w:t>
      </w:r>
      <w:r w:rsidRPr="00D326F8">
        <w:rPr>
          <w:lang w:val="de-DE"/>
        </w:rPr>
        <w:t>:192</w:t>
      </w:r>
      <w:r w:rsidRPr="00D326F8">
        <w:rPr>
          <w:lang w:val="de-DE"/>
        </w:rPr>
        <w:noBreakHyphen/>
        <w:t>200.</w:t>
      </w:r>
    </w:p>
    <w:p w14:paraId="7F9FCB50" w14:textId="1E8DAE45" w:rsidR="00F1135F" w:rsidRPr="00D326F8" w:rsidRDefault="003E23E4" w:rsidP="00BC5570">
      <w:pPr>
        <w:pStyle w:val="Heading9"/>
      </w:pPr>
      <w:bookmarkStart w:id="295" w:name="_Hakkola_J,_Hukkanen"/>
      <w:bookmarkEnd w:id="295"/>
      <w:proofErr w:type="spellStart"/>
      <w:r w:rsidRPr="00D326F8">
        <w:rPr>
          <w:lang w:val="de-DE"/>
        </w:rPr>
        <w:t>Hakkola</w:t>
      </w:r>
      <w:proofErr w:type="spellEnd"/>
      <w:r w:rsidRPr="00D326F8">
        <w:rPr>
          <w:lang w:val="de-DE"/>
        </w:rPr>
        <w:t xml:space="preserve"> J, </w:t>
      </w:r>
      <w:proofErr w:type="spellStart"/>
      <w:r w:rsidRPr="00D326F8">
        <w:rPr>
          <w:lang w:val="de-DE"/>
        </w:rPr>
        <w:t>Hukkanen</w:t>
      </w:r>
      <w:proofErr w:type="spellEnd"/>
      <w:r w:rsidRPr="00D326F8">
        <w:rPr>
          <w:lang w:val="de-DE"/>
        </w:rPr>
        <w:t xml:space="preserve"> J, </w:t>
      </w:r>
      <w:proofErr w:type="spellStart"/>
      <w:r w:rsidRPr="00D326F8">
        <w:rPr>
          <w:lang w:val="de-DE"/>
        </w:rPr>
        <w:t>Turpeinen</w:t>
      </w:r>
      <w:proofErr w:type="spellEnd"/>
      <w:r w:rsidRPr="00D326F8">
        <w:rPr>
          <w:lang w:val="de-DE"/>
        </w:rPr>
        <w:t xml:space="preserve"> M, et al. </w:t>
      </w:r>
      <w:r w:rsidRPr="00D326F8">
        <w:t xml:space="preserve">Inhibition and induction of CYP enzymes in humans: an update. Arch </w:t>
      </w:r>
      <w:proofErr w:type="spellStart"/>
      <w:r w:rsidRPr="00D326F8">
        <w:t>Toxicol</w:t>
      </w:r>
      <w:proofErr w:type="spellEnd"/>
      <w:r w:rsidRPr="00D326F8">
        <w:t xml:space="preserve">. 2020;94(11):3671–22. </w:t>
      </w:r>
      <w:bookmarkStart w:id="296" w:name="_Kuhnz_W,_et"/>
      <w:bookmarkEnd w:id="296"/>
    </w:p>
    <w:p w14:paraId="3B19FD36" w14:textId="61DCBF26" w:rsidR="00697DBC" w:rsidRPr="00D326F8" w:rsidRDefault="003E23E4" w:rsidP="00BC5570">
      <w:pPr>
        <w:pStyle w:val="Heading9"/>
      </w:pPr>
      <w:proofErr w:type="spellStart"/>
      <w:r w:rsidRPr="00D326F8">
        <w:t>Kuhnz</w:t>
      </w:r>
      <w:proofErr w:type="spellEnd"/>
      <w:r w:rsidRPr="00D326F8">
        <w:t xml:space="preserve"> W, </w:t>
      </w:r>
      <w:r w:rsidR="00F1135F" w:rsidRPr="00D326F8">
        <w:t xml:space="preserve">Jaeger-Roman E, Rating D, </w:t>
      </w:r>
      <w:r w:rsidRPr="00D326F8">
        <w:t xml:space="preserve">et al. Carbamazepine and carbamazepine-10,11-epoxide during pregnancy and postnatal period in epileptic mother and their nursed infants: pharmacokinetics and clinical effects. </w:t>
      </w:r>
      <w:proofErr w:type="spellStart"/>
      <w:r w:rsidRPr="00D326F8">
        <w:t>Pediatr</w:t>
      </w:r>
      <w:proofErr w:type="spellEnd"/>
      <w:r w:rsidRPr="00D326F8">
        <w:t xml:space="preserve"> </w:t>
      </w:r>
      <w:proofErr w:type="spellStart"/>
      <w:r w:rsidRPr="00D326F8">
        <w:t>Pharmacol</w:t>
      </w:r>
      <w:proofErr w:type="spellEnd"/>
      <w:r w:rsidRPr="00D326F8">
        <w:t xml:space="preserve"> (New York). </w:t>
      </w:r>
      <w:proofErr w:type="gramStart"/>
      <w:r w:rsidRPr="00D326F8">
        <w:t>1983;3:199</w:t>
      </w:r>
      <w:proofErr w:type="gramEnd"/>
      <w:r w:rsidRPr="00D326F8">
        <w:noBreakHyphen/>
        <w:t>208.</w:t>
      </w:r>
    </w:p>
    <w:p w14:paraId="601A82D7" w14:textId="0B77C4AB" w:rsidR="00117AB0" w:rsidRPr="00D326F8" w:rsidRDefault="003E23E4" w:rsidP="00BC5570">
      <w:pPr>
        <w:pStyle w:val="Heading9"/>
      </w:pPr>
      <w:bookmarkStart w:id="297" w:name="_Lutz_JD,_et"/>
      <w:bookmarkEnd w:id="297"/>
      <w:r w:rsidRPr="00D326F8">
        <w:t>Lutz JD,</w:t>
      </w:r>
      <w:r w:rsidR="008B5CF3" w:rsidRPr="00D326F8">
        <w:t xml:space="preserve"> Kirby BJ, Wang L</w:t>
      </w:r>
      <w:r w:rsidRPr="00D326F8">
        <w:t xml:space="preserve"> et al. Cytochrome P450 3A induction predicts P-glycoprotein induction. Part</w:t>
      </w:r>
      <w:r w:rsidR="00A57542" w:rsidRPr="00D326F8">
        <w:t> </w:t>
      </w:r>
      <w:r w:rsidRPr="00D326F8">
        <w:t xml:space="preserve">2: prediction of decreased substrate exposure after rifabutin or carbamazepine. Clin </w:t>
      </w:r>
      <w:proofErr w:type="spellStart"/>
      <w:r w:rsidRPr="00D326F8">
        <w:t>Pharmacol</w:t>
      </w:r>
      <w:proofErr w:type="spellEnd"/>
      <w:r w:rsidRPr="00D326F8">
        <w:t xml:space="preserve"> </w:t>
      </w:r>
      <w:proofErr w:type="spellStart"/>
      <w:r w:rsidRPr="00D326F8">
        <w:t>Ther</w:t>
      </w:r>
      <w:proofErr w:type="spellEnd"/>
      <w:r w:rsidRPr="00D326F8">
        <w:t xml:space="preserve">. </w:t>
      </w:r>
      <w:proofErr w:type="gramStart"/>
      <w:r w:rsidRPr="00D326F8">
        <w:t>2018;104:1191</w:t>
      </w:r>
      <w:proofErr w:type="gramEnd"/>
      <w:r w:rsidRPr="00D326F8">
        <w:noBreakHyphen/>
        <w:t>8.</w:t>
      </w:r>
    </w:p>
    <w:p w14:paraId="601A82D8" w14:textId="77777777" w:rsidR="00117AB0" w:rsidRPr="00D326F8" w:rsidRDefault="003E23E4" w:rsidP="00BC5570">
      <w:pPr>
        <w:pStyle w:val="Heading9"/>
      </w:pPr>
      <w:bookmarkStart w:id="298" w:name="_Moshé_2009._The"/>
      <w:bookmarkEnd w:id="298"/>
      <w:proofErr w:type="spellStart"/>
      <w:r w:rsidRPr="00D326F8">
        <w:t>Moshé</w:t>
      </w:r>
      <w:proofErr w:type="spellEnd"/>
      <w:r w:rsidRPr="00D326F8">
        <w:t xml:space="preserve"> 2009. The treatment of epilepsy (3 ed.). Chichester, UK: Wiley-Blackwell. p. xxix. ISBN 9781444316674.</w:t>
      </w:r>
    </w:p>
    <w:p w14:paraId="601A82D9" w14:textId="77777777" w:rsidR="00163B08" w:rsidRPr="00D326F8" w:rsidRDefault="003E23E4" w:rsidP="00BC5570">
      <w:pPr>
        <w:pStyle w:val="Heading9"/>
      </w:pPr>
      <w:bookmarkStart w:id="299" w:name="_Naderer_O,_Jones"/>
      <w:bookmarkEnd w:id="299"/>
      <w:proofErr w:type="spellStart"/>
      <w:r w:rsidRPr="00D326F8">
        <w:t>Naderer</w:t>
      </w:r>
      <w:proofErr w:type="spellEnd"/>
      <w:r w:rsidRPr="00D326F8">
        <w:t xml:space="preserve"> O, Jones LS, Zhu J, et al. The effect of food and formulation on the pharmacokinetics, safety, and tolerability of GSK1322322 in healthy volunteers. Clin </w:t>
      </w:r>
      <w:proofErr w:type="spellStart"/>
      <w:r w:rsidRPr="00D326F8">
        <w:t>Pharmacol</w:t>
      </w:r>
      <w:proofErr w:type="spellEnd"/>
      <w:r w:rsidRPr="00D326F8">
        <w:t xml:space="preserve"> Drug Dev. 2015, 4(1): 49–55.</w:t>
      </w:r>
    </w:p>
    <w:p w14:paraId="601A82DA" w14:textId="77777777" w:rsidR="00117AB0" w:rsidRPr="00D326F8" w:rsidRDefault="003E23E4" w:rsidP="00BC5570">
      <w:pPr>
        <w:pStyle w:val="Heading9"/>
        <w:rPr>
          <w:rStyle w:val="Hyperlink"/>
          <w:color w:val="auto"/>
        </w:rPr>
      </w:pPr>
      <w:bookmarkStart w:id="300" w:name="_Oscarson_M,_Zanger"/>
      <w:bookmarkEnd w:id="300"/>
      <w:r w:rsidRPr="00D326F8">
        <w:rPr>
          <w:rStyle w:val="Hyperlink"/>
          <w:color w:val="auto"/>
        </w:rPr>
        <w:t xml:space="preserve">Oscarson M, </w:t>
      </w:r>
      <w:proofErr w:type="spellStart"/>
      <w:r w:rsidRPr="00D326F8">
        <w:rPr>
          <w:rStyle w:val="Hyperlink"/>
          <w:color w:val="auto"/>
        </w:rPr>
        <w:t>Zanger</w:t>
      </w:r>
      <w:proofErr w:type="spellEnd"/>
      <w:r w:rsidRPr="00D326F8">
        <w:rPr>
          <w:rStyle w:val="Hyperlink"/>
          <w:color w:val="auto"/>
        </w:rPr>
        <w:t xml:space="preserve"> UM, </w:t>
      </w:r>
      <w:proofErr w:type="spellStart"/>
      <w:r w:rsidRPr="00D326F8">
        <w:rPr>
          <w:rStyle w:val="Hyperlink"/>
          <w:color w:val="auto"/>
        </w:rPr>
        <w:t>Rifki</w:t>
      </w:r>
      <w:proofErr w:type="spellEnd"/>
      <w:r w:rsidRPr="00D326F8">
        <w:rPr>
          <w:rStyle w:val="Hyperlink"/>
          <w:color w:val="auto"/>
        </w:rPr>
        <w:t xml:space="preserve"> OF, et al. Transcriptional profiling of genes induced in the livers of patients treated with carbamazepine. Clin </w:t>
      </w:r>
      <w:proofErr w:type="spellStart"/>
      <w:r w:rsidRPr="00D326F8">
        <w:rPr>
          <w:rStyle w:val="Hyperlink"/>
          <w:color w:val="auto"/>
        </w:rPr>
        <w:t>Pharmacol</w:t>
      </w:r>
      <w:proofErr w:type="spellEnd"/>
      <w:r w:rsidRPr="00D326F8">
        <w:rPr>
          <w:rStyle w:val="Hyperlink"/>
          <w:color w:val="auto"/>
        </w:rPr>
        <w:t xml:space="preserve"> </w:t>
      </w:r>
      <w:proofErr w:type="spellStart"/>
      <w:r w:rsidRPr="00D326F8">
        <w:rPr>
          <w:rStyle w:val="Hyperlink"/>
          <w:color w:val="auto"/>
        </w:rPr>
        <w:t>Ther</w:t>
      </w:r>
      <w:proofErr w:type="spellEnd"/>
      <w:r w:rsidRPr="00D326F8">
        <w:rPr>
          <w:rStyle w:val="Hyperlink"/>
          <w:color w:val="auto"/>
        </w:rPr>
        <w:t xml:space="preserve">. </w:t>
      </w:r>
      <w:proofErr w:type="gramStart"/>
      <w:r w:rsidRPr="00D326F8">
        <w:rPr>
          <w:rStyle w:val="Hyperlink"/>
          <w:color w:val="auto"/>
        </w:rPr>
        <w:t>2006;80:440</w:t>
      </w:r>
      <w:proofErr w:type="gramEnd"/>
      <w:r w:rsidRPr="00D326F8">
        <w:rPr>
          <w:rStyle w:val="Hyperlink"/>
          <w:color w:val="auto"/>
        </w:rPr>
        <w:t xml:space="preserve">-56. </w:t>
      </w:r>
    </w:p>
    <w:p w14:paraId="601A82DB" w14:textId="77777777" w:rsidR="00117AB0" w:rsidRPr="00D326F8" w:rsidRDefault="003E23E4" w:rsidP="00BC5570">
      <w:pPr>
        <w:pStyle w:val="Heading9"/>
        <w:rPr>
          <w:lang w:val="fr-FR"/>
        </w:rPr>
      </w:pPr>
      <w:bookmarkStart w:id="301" w:name="_Song_I,_Weller"/>
      <w:bookmarkEnd w:id="301"/>
      <w:r w:rsidRPr="00D326F8">
        <w:lastRenderedPageBreak/>
        <w:t xml:space="preserve">Song I, Weller S, Patel J, et al. Effect of carbamazepine on dolutegravir pharmacokinetics and dosing recommendation. Eur J Clin </w:t>
      </w:r>
      <w:proofErr w:type="spellStart"/>
      <w:r w:rsidRPr="00D326F8">
        <w:t>Pharmacol</w:t>
      </w:r>
      <w:proofErr w:type="spellEnd"/>
      <w:r w:rsidRPr="00D326F8">
        <w:t xml:space="preserve">. </w:t>
      </w:r>
      <w:proofErr w:type="gramStart"/>
      <w:r w:rsidRPr="00D326F8">
        <w:t>2016;72:665</w:t>
      </w:r>
      <w:proofErr w:type="gramEnd"/>
      <w:r w:rsidRPr="00D326F8">
        <w:t>-70.</w:t>
      </w:r>
    </w:p>
    <w:p w14:paraId="601A82DC" w14:textId="77777777" w:rsidR="00D06D0B" w:rsidRPr="00D326F8" w:rsidRDefault="003E23E4" w:rsidP="00BC5570">
      <w:pPr>
        <w:pStyle w:val="Heading9"/>
        <w:rPr>
          <w:lang w:val="fr-FR"/>
        </w:rPr>
      </w:pPr>
      <w:bookmarkStart w:id="302" w:name="_Tepmetko_(tepotinib)_USPI."/>
      <w:bookmarkStart w:id="303" w:name="_Hlk77839293"/>
      <w:bookmarkEnd w:id="302"/>
      <w:r w:rsidRPr="00D326F8">
        <w:rPr>
          <w:lang w:val="fr-FR"/>
        </w:rPr>
        <w:t>Tepmetko (tepotinib) USPI.</w:t>
      </w:r>
      <w:r w:rsidR="00A57542" w:rsidRPr="00D326F8">
        <w:rPr>
          <w:lang w:val="fr-FR"/>
        </w:rPr>
        <w:t xml:space="preserve"> </w:t>
      </w:r>
      <w:proofErr w:type="gramStart"/>
      <w:r w:rsidR="00A57542" w:rsidRPr="00D326F8">
        <w:rPr>
          <w:lang w:val="fr-FR"/>
        </w:rPr>
        <w:t>https</w:t>
      </w:r>
      <w:proofErr w:type="gramEnd"/>
      <w:r w:rsidR="00A57542" w:rsidRPr="00D326F8">
        <w:rPr>
          <w:lang w:val="fr-FR"/>
        </w:rPr>
        <w:t xml:space="preserve"> ://www.emdserono.com/us-en/pi/tepmetko-pi.pdf. </w:t>
      </w:r>
      <w:proofErr w:type="spellStart"/>
      <w:r w:rsidR="00A57542" w:rsidRPr="00D326F8">
        <w:rPr>
          <w:lang w:val="fr-FR"/>
        </w:rPr>
        <w:t>Revised</w:t>
      </w:r>
      <w:proofErr w:type="spellEnd"/>
      <w:r w:rsidR="00A57542" w:rsidRPr="00D326F8">
        <w:rPr>
          <w:lang w:val="fr-FR"/>
        </w:rPr>
        <w:t xml:space="preserve"> 2/2021.</w:t>
      </w:r>
    </w:p>
    <w:p w14:paraId="601A82DD" w14:textId="3C635ED0" w:rsidR="006635A2" w:rsidRPr="00D326F8" w:rsidRDefault="003E23E4" w:rsidP="006635A2">
      <w:pPr>
        <w:pStyle w:val="Heading9"/>
      </w:pPr>
      <w:bookmarkStart w:id="304" w:name="_Thorna_CF,_Leckband"/>
      <w:bookmarkEnd w:id="303"/>
      <w:bookmarkEnd w:id="304"/>
      <w:proofErr w:type="spellStart"/>
      <w:r w:rsidRPr="00D326F8">
        <w:rPr>
          <w:lang w:val="fr-FR"/>
        </w:rPr>
        <w:t>Thorna</w:t>
      </w:r>
      <w:proofErr w:type="spellEnd"/>
      <w:r w:rsidRPr="00D326F8">
        <w:rPr>
          <w:lang w:val="fr-FR"/>
        </w:rPr>
        <w:t xml:space="preserve"> CF, </w:t>
      </w:r>
      <w:proofErr w:type="spellStart"/>
      <w:r w:rsidRPr="00D326F8">
        <w:rPr>
          <w:lang w:val="fr-FR"/>
        </w:rPr>
        <w:t>Leckband</w:t>
      </w:r>
      <w:proofErr w:type="spellEnd"/>
      <w:r w:rsidRPr="00D326F8">
        <w:rPr>
          <w:lang w:val="fr-FR"/>
        </w:rPr>
        <w:t xml:space="preserve"> SG, </w:t>
      </w:r>
      <w:proofErr w:type="spellStart"/>
      <w:r w:rsidRPr="00D326F8">
        <w:rPr>
          <w:lang w:val="fr-FR"/>
        </w:rPr>
        <w:t>Kelsoec</w:t>
      </w:r>
      <w:proofErr w:type="spellEnd"/>
      <w:r w:rsidRPr="00D326F8">
        <w:rPr>
          <w:lang w:val="fr-FR"/>
        </w:rPr>
        <w:t xml:space="preserve"> J, et al. </w:t>
      </w:r>
      <w:proofErr w:type="spellStart"/>
      <w:r w:rsidRPr="00D326F8">
        <w:t>PharmGKB</w:t>
      </w:r>
      <w:proofErr w:type="spellEnd"/>
      <w:r w:rsidRPr="00D326F8">
        <w:t xml:space="preserve"> summary: carbamazepine pathway. </w:t>
      </w:r>
      <w:proofErr w:type="spellStart"/>
      <w:r w:rsidRPr="00D326F8">
        <w:t>Pharmacogenet</w:t>
      </w:r>
      <w:proofErr w:type="spellEnd"/>
      <w:r w:rsidRPr="00D326F8">
        <w:t xml:space="preserve"> Genomics. 2011 December; 21(12):906–10. </w:t>
      </w:r>
    </w:p>
    <w:p w14:paraId="601A82DE" w14:textId="77777777" w:rsidR="00117AB0" w:rsidRPr="00D326F8" w:rsidRDefault="003E23E4" w:rsidP="00BC5570">
      <w:pPr>
        <w:pStyle w:val="Heading9"/>
      </w:pPr>
      <w:bookmarkStart w:id="305" w:name="_Ucar_M,_Neuvonen"/>
      <w:bookmarkEnd w:id="305"/>
      <w:proofErr w:type="spellStart"/>
      <w:r w:rsidRPr="00D326F8">
        <w:t>Ucar</w:t>
      </w:r>
      <w:proofErr w:type="spellEnd"/>
      <w:r w:rsidRPr="00D326F8">
        <w:t xml:space="preserve"> M, </w:t>
      </w:r>
      <w:proofErr w:type="spellStart"/>
      <w:r w:rsidRPr="00D326F8">
        <w:t>Neuvonen</w:t>
      </w:r>
      <w:proofErr w:type="spellEnd"/>
      <w:r w:rsidRPr="00D326F8">
        <w:t xml:space="preserve"> M, </w:t>
      </w:r>
      <w:proofErr w:type="spellStart"/>
      <w:r w:rsidRPr="00D326F8">
        <w:t>Luurila</w:t>
      </w:r>
      <w:proofErr w:type="spellEnd"/>
      <w:r w:rsidRPr="00D326F8">
        <w:t xml:space="preserve"> H, et al. Carbamazepine markedly reduces serum concentrations of simvastatin and simvastatin acid. Eur J Clin </w:t>
      </w:r>
      <w:proofErr w:type="spellStart"/>
      <w:r w:rsidRPr="00D326F8">
        <w:t>Pharmacol</w:t>
      </w:r>
      <w:proofErr w:type="spellEnd"/>
      <w:r w:rsidRPr="00D326F8">
        <w:t xml:space="preserve">. </w:t>
      </w:r>
      <w:proofErr w:type="gramStart"/>
      <w:r w:rsidRPr="00D326F8">
        <w:t>2004;59:879</w:t>
      </w:r>
      <w:proofErr w:type="gramEnd"/>
      <w:r w:rsidRPr="00D326F8">
        <w:t>-82.</w:t>
      </w:r>
    </w:p>
    <w:p w14:paraId="601A82DF" w14:textId="77777777" w:rsidR="00117AB0" w:rsidRPr="00D326F8" w:rsidRDefault="003E23E4" w:rsidP="00BC5570">
      <w:pPr>
        <w:pStyle w:val="Heading9"/>
      </w:pPr>
      <w:r w:rsidRPr="00D326F8">
        <w:t>World Health Organization model list of essential medicines: 21</w:t>
      </w:r>
      <w:r w:rsidRPr="00D326F8">
        <w:rPr>
          <w:vertAlign w:val="superscript"/>
        </w:rPr>
        <w:t>st</w:t>
      </w:r>
      <w:r w:rsidRPr="00D326F8">
        <w:t xml:space="preserve"> list 2019. World Health Organization. https://apps.who.int/iris/handle/10665/325771. Last accessed May 2021.</w:t>
      </w:r>
    </w:p>
    <w:p w14:paraId="601A82E0" w14:textId="77777777" w:rsidR="005E1E9B" w:rsidRPr="00D326F8" w:rsidRDefault="003E23E4" w:rsidP="00BC5570">
      <w:pPr>
        <w:pStyle w:val="Heading9"/>
      </w:pPr>
      <w:bookmarkStart w:id="306" w:name="_Xu_Y,_Zhou"/>
      <w:bookmarkEnd w:id="306"/>
      <w:r w:rsidRPr="00D326F8">
        <w:t xml:space="preserve">Xu Y, Zhou Y, Hayashi M, et al. Simulation of clinical drug-drug interactions from hepatocyte CYP3A4 induction data and its potential utility in trial designs. Drug </w:t>
      </w:r>
      <w:proofErr w:type="spellStart"/>
      <w:r w:rsidRPr="00D326F8">
        <w:t>Metab</w:t>
      </w:r>
      <w:proofErr w:type="spellEnd"/>
      <w:r w:rsidRPr="00D326F8">
        <w:t xml:space="preserve"> </w:t>
      </w:r>
      <w:proofErr w:type="spellStart"/>
      <w:r w:rsidRPr="00D326F8">
        <w:t>Dispos</w:t>
      </w:r>
      <w:proofErr w:type="spellEnd"/>
      <w:r w:rsidRPr="00D326F8">
        <w:t xml:space="preserve">. </w:t>
      </w:r>
      <w:proofErr w:type="gramStart"/>
      <w:r w:rsidRPr="00D326F8">
        <w:t>2011;39:1139</w:t>
      </w:r>
      <w:proofErr w:type="gramEnd"/>
      <w:r w:rsidRPr="00D326F8">
        <w:noBreakHyphen/>
        <w:t>48.</w:t>
      </w:r>
    </w:p>
    <w:p w14:paraId="601A82E1" w14:textId="77777777" w:rsidR="005E1E9B" w:rsidRPr="00D326F8" w:rsidRDefault="003E23E4" w:rsidP="008F1598">
      <w:pPr>
        <w:pStyle w:val="Heading1"/>
        <w:pageBreakBefore/>
      </w:pPr>
      <w:bookmarkStart w:id="307" w:name="_Toc77839790"/>
      <w:r w:rsidRPr="00D326F8">
        <w:lastRenderedPageBreak/>
        <w:t>Appendices</w:t>
      </w:r>
      <w:bookmarkEnd w:id="307"/>
    </w:p>
    <w:p w14:paraId="601A82E2" w14:textId="77777777" w:rsidR="005E1E9B" w:rsidRPr="00D326F8" w:rsidRDefault="005E1E9B" w:rsidP="005E1E9B">
      <w:pPr>
        <w:pStyle w:val="BodyText"/>
      </w:pPr>
    </w:p>
    <w:p w14:paraId="601A82E3" w14:textId="77777777" w:rsidR="000A2366" w:rsidRPr="00D326F8" w:rsidRDefault="003E23E4" w:rsidP="00AD35DC">
      <w:pPr>
        <w:pStyle w:val="Heading1"/>
        <w:pageBreakBefore/>
        <w:numPr>
          <w:ilvl w:val="0"/>
          <w:numId w:val="0"/>
        </w:numPr>
        <w:tabs>
          <w:tab w:val="left" w:pos="1985"/>
        </w:tabs>
      </w:pPr>
      <w:bookmarkStart w:id="308" w:name="_Toc77839791"/>
      <w:r w:rsidRPr="00D326F8">
        <w:lastRenderedPageBreak/>
        <w:t>Appendix 1</w:t>
      </w:r>
      <w:r w:rsidRPr="00D326F8">
        <w:tab/>
        <w:t>Abbreviations</w:t>
      </w:r>
      <w:bookmarkEnd w:id="308"/>
    </w:p>
    <w:p w14:paraId="601A82E4" w14:textId="77777777" w:rsidR="00893020" w:rsidRPr="00D326F8" w:rsidRDefault="00893020" w:rsidP="00893020">
      <w:pPr>
        <w:pStyle w:val="List1withoutbullet"/>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616"/>
      </w:tblGrid>
      <w:tr w:rsidR="003B74AE" w:rsidRPr="00D326F8" w14:paraId="601A82E7" w14:textId="77777777" w:rsidTr="0085021F">
        <w:tc>
          <w:tcPr>
            <w:tcW w:w="848" w:type="pct"/>
          </w:tcPr>
          <w:p w14:paraId="601A82E5" w14:textId="77777777" w:rsidR="00F90128" w:rsidRPr="00D326F8" w:rsidRDefault="003E23E4" w:rsidP="0085021F">
            <w:pPr>
              <w:pStyle w:val="BodyText"/>
              <w:spacing w:before="120"/>
            </w:pPr>
            <w:r w:rsidRPr="00D326F8">
              <w:t>AE</w:t>
            </w:r>
          </w:p>
        </w:tc>
        <w:tc>
          <w:tcPr>
            <w:tcW w:w="4152" w:type="pct"/>
          </w:tcPr>
          <w:p w14:paraId="601A82E6" w14:textId="77777777" w:rsidR="00F90128" w:rsidRPr="00D326F8" w:rsidRDefault="003E23E4" w:rsidP="0085021F">
            <w:pPr>
              <w:pStyle w:val="BodyText"/>
              <w:spacing w:before="120"/>
            </w:pPr>
            <w:r w:rsidRPr="00D326F8">
              <w:t xml:space="preserve">Adverse </w:t>
            </w:r>
            <w:r w:rsidR="00312B99" w:rsidRPr="00D326F8">
              <w:t>e</w:t>
            </w:r>
            <w:r w:rsidRPr="00D326F8">
              <w:t>vent</w:t>
            </w:r>
          </w:p>
        </w:tc>
      </w:tr>
      <w:tr w:rsidR="003B74AE" w:rsidRPr="00D326F8" w14:paraId="601A82EA" w14:textId="77777777" w:rsidTr="0085021F">
        <w:tc>
          <w:tcPr>
            <w:tcW w:w="848" w:type="pct"/>
          </w:tcPr>
          <w:p w14:paraId="601A82E8" w14:textId="77777777" w:rsidR="00C65605" w:rsidRPr="00D326F8" w:rsidRDefault="003E23E4" w:rsidP="0085021F">
            <w:pPr>
              <w:pStyle w:val="BodyText"/>
              <w:spacing w:before="120"/>
            </w:pPr>
            <w:r w:rsidRPr="00D326F8">
              <w:t xml:space="preserve">ALP </w:t>
            </w:r>
          </w:p>
        </w:tc>
        <w:tc>
          <w:tcPr>
            <w:tcW w:w="4152" w:type="pct"/>
          </w:tcPr>
          <w:p w14:paraId="601A82E9" w14:textId="77777777" w:rsidR="00C65605" w:rsidRPr="00D326F8" w:rsidRDefault="003E23E4" w:rsidP="0085021F">
            <w:pPr>
              <w:pStyle w:val="BodyText"/>
              <w:spacing w:before="120"/>
            </w:pPr>
            <w:r w:rsidRPr="00D326F8">
              <w:t>Alkaline phosphatase</w:t>
            </w:r>
          </w:p>
        </w:tc>
      </w:tr>
      <w:tr w:rsidR="003B74AE" w:rsidRPr="00D326F8" w14:paraId="601A82ED" w14:textId="77777777" w:rsidTr="0085021F">
        <w:tc>
          <w:tcPr>
            <w:tcW w:w="848" w:type="pct"/>
          </w:tcPr>
          <w:p w14:paraId="601A82EB" w14:textId="77777777" w:rsidR="00F90128" w:rsidRPr="00D326F8" w:rsidRDefault="003E23E4" w:rsidP="0085021F">
            <w:pPr>
              <w:pStyle w:val="BodyText"/>
              <w:spacing w:before="120"/>
            </w:pPr>
            <w:r w:rsidRPr="00D326F8">
              <w:t>ALT</w:t>
            </w:r>
          </w:p>
        </w:tc>
        <w:tc>
          <w:tcPr>
            <w:tcW w:w="4152" w:type="pct"/>
          </w:tcPr>
          <w:p w14:paraId="601A82EC" w14:textId="77777777" w:rsidR="00F90128" w:rsidRPr="00D326F8" w:rsidRDefault="003E23E4" w:rsidP="0085021F">
            <w:pPr>
              <w:pStyle w:val="BodyText"/>
              <w:spacing w:before="120"/>
              <w:rPr>
                <w:rFonts w:eastAsia="Calibri"/>
              </w:rPr>
            </w:pPr>
            <w:r w:rsidRPr="00D326F8">
              <w:rPr>
                <w:rFonts w:eastAsia="Calibri"/>
              </w:rPr>
              <w:t>Alanine aminotransferase</w:t>
            </w:r>
          </w:p>
        </w:tc>
      </w:tr>
      <w:tr w:rsidR="003B74AE" w:rsidRPr="00D326F8" w14:paraId="601A82F0" w14:textId="77777777" w:rsidTr="0085021F">
        <w:tc>
          <w:tcPr>
            <w:tcW w:w="848" w:type="pct"/>
          </w:tcPr>
          <w:p w14:paraId="601A82EE" w14:textId="77777777" w:rsidR="00F90128" w:rsidRPr="00D326F8" w:rsidRDefault="003E23E4" w:rsidP="0085021F">
            <w:pPr>
              <w:pStyle w:val="BodyText"/>
              <w:spacing w:before="120"/>
            </w:pPr>
            <w:r w:rsidRPr="00D326F8">
              <w:t>AST</w:t>
            </w:r>
          </w:p>
        </w:tc>
        <w:tc>
          <w:tcPr>
            <w:tcW w:w="4152" w:type="pct"/>
          </w:tcPr>
          <w:p w14:paraId="601A82EF" w14:textId="77777777" w:rsidR="00F90128" w:rsidRPr="00D326F8" w:rsidRDefault="003E23E4" w:rsidP="0085021F">
            <w:pPr>
              <w:pStyle w:val="BodyText"/>
              <w:spacing w:before="120"/>
            </w:pPr>
            <w:r w:rsidRPr="00D326F8">
              <w:t>Aspartate aminotransferase</w:t>
            </w:r>
          </w:p>
        </w:tc>
      </w:tr>
      <w:tr w:rsidR="003B74AE" w:rsidRPr="00D326F8" w14:paraId="601A82F3" w14:textId="77777777" w:rsidTr="0085021F">
        <w:tc>
          <w:tcPr>
            <w:tcW w:w="848" w:type="pct"/>
          </w:tcPr>
          <w:p w14:paraId="601A82F1" w14:textId="77777777" w:rsidR="00F90128" w:rsidRPr="00D326F8" w:rsidRDefault="003E23E4" w:rsidP="0085021F">
            <w:pPr>
              <w:pStyle w:val="BodyText"/>
              <w:spacing w:before="120"/>
            </w:pPr>
            <w:r w:rsidRPr="00D326F8">
              <w:t>ATP</w:t>
            </w:r>
          </w:p>
        </w:tc>
        <w:tc>
          <w:tcPr>
            <w:tcW w:w="4152" w:type="pct"/>
          </w:tcPr>
          <w:p w14:paraId="601A82F2" w14:textId="77777777" w:rsidR="00F90128" w:rsidRPr="00D326F8" w:rsidRDefault="003E23E4" w:rsidP="0085021F">
            <w:pPr>
              <w:pStyle w:val="BodyText"/>
              <w:spacing w:before="120"/>
            </w:pPr>
            <w:r w:rsidRPr="00D326F8">
              <w:t>Adenosine triphosphate</w:t>
            </w:r>
          </w:p>
        </w:tc>
      </w:tr>
      <w:tr w:rsidR="003B74AE" w:rsidRPr="00D326F8" w14:paraId="601A82F6" w14:textId="77777777" w:rsidTr="0085021F">
        <w:tc>
          <w:tcPr>
            <w:tcW w:w="848" w:type="pct"/>
          </w:tcPr>
          <w:p w14:paraId="601A82F4" w14:textId="77777777" w:rsidR="00F90128" w:rsidRPr="00D326F8" w:rsidRDefault="003E23E4" w:rsidP="0085021F">
            <w:pPr>
              <w:pStyle w:val="BodyText"/>
              <w:spacing w:before="120"/>
            </w:pPr>
            <w:r w:rsidRPr="00D326F8">
              <w:t>BCS</w:t>
            </w:r>
          </w:p>
        </w:tc>
        <w:tc>
          <w:tcPr>
            <w:tcW w:w="4152" w:type="pct"/>
          </w:tcPr>
          <w:p w14:paraId="601A82F5" w14:textId="77777777" w:rsidR="00F90128" w:rsidRPr="00D326F8" w:rsidRDefault="003E23E4" w:rsidP="0085021F">
            <w:pPr>
              <w:pStyle w:val="BodyText"/>
              <w:spacing w:before="120"/>
            </w:pPr>
            <w:r w:rsidRPr="00D326F8">
              <w:t>Biopharmaceutical Classification System</w:t>
            </w:r>
          </w:p>
        </w:tc>
      </w:tr>
      <w:tr w:rsidR="003B74AE" w:rsidRPr="00D326F8" w14:paraId="601A82F9" w14:textId="77777777" w:rsidTr="0085021F">
        <w:tc>
          <w:tcPr>
            <w:tcW w:w="848" w:type="pct"/>
          </w:tcPr>
          <w:p w14:paraId="601A82F7" w14:textId="77777777" w:rsidR="00F90128" w:rsidRPr="00D326F8" w:rsidRDefault="003E23E4" w:rsidP="0085021F">
            <w:pPr>
              <w:pStyle w:val="BodyText"/>
              <w:spacing w:before="120"/>
            </w:pPr>
            <w:r w:rsidRPr="00D326F8">
              <w:t>BMI</w:t>
            </w:r>
          </w:p>
        </w:tc>
        <w:tc>
          <w:tcPr>
            <w:tcW w:w="4152" w:type="pct"/>
          </w:tcPr>
          <w:p w14:paraId="601A82F8" w14:textId="77777777" w:rsidR="00F90128" w:rsidRPr="00D326F8" w:rsidRDefault="003E23E4" w:rsidP="0085021F">
            <w:pPr>
              <w:pStyle w:val="BodyText"/>
              <w:spacing w:before="120"/>
              <w:rPr>
                <w:rFonts w:eastAsia="Calibri"/>
              </w:rPr>
            </w:pPr>
            <w:r w:rsidRPr="00D326F8">
              <w:t xml:space="preserve">Body </w:t>
            </w:r>
            <w:r w:rsidR="00312B99" w:rsidRPr="00D326F8">
              <w:t>m</w:t>
            </w:r>
            <w:r w:rsidRPr="00D326F8">
              <w:t xml:space="preserve">ass </w:t>
            </w:r>
            <w:r w:rsidR="00312B99" w:rsidRPr="00D326F8">
              <w:t>i</w:t>
            </w:r>
            <w:r w:rsidRPr="00D326F8">
              <w:t>ndex</w:t>
            </w:r>
          </w:p>
        </w:tc>
      </w:tr>
      <w:tr w:rsidR="003B74AE" w:rsidRPr="00D326F8" w14:paraId="601A82FC" w14:textId="77777777" w:rsidTr="0085021F">
        <w:tc>
          <w:tcPr>
            <w:tcW w:w="848" w:type="pct"/>
            <w:tcBorders>
              <w:top w:val="single" w:sz="4" w:space="0" w:color="auto"/>
              <w:left w:val="single" w:sz="4" w:space="0" w:color="auto"/>
              <w:bottom w:val="single" w:sz="4" w:space="0" w:color="auto"/>
              <w:right w:val="single" w:sz="4" w:space="0" w:color="auto"/>
            </w:tcBorders>
          </w:tcPr>
          <w:p w14:paraId="601A82FA" w14:textId="77777777" w:rsidR="00F90128" w:rsidRPr="00D326F8" w:rsidRDefault="003E23E4" w:rsidP="0085021F">
            <w:pPr>
              <w:pStyle w:val="BodyText"/>
              <w:spacing w:before="120"/>
            </w:pPr>
            <w:r w:rsidRPr="00D326F8">
              <w:t>CI</w:t>
            </w:r>
          </w:p>
        </w:tc>
        <w:tc>
          <w:tcPr>
            <w:tcW w:w="4152" w:type="pct"/>
            <w:tcBorders>
              <w:top w:val="single" w:sz="4" w:space="0" w:color="auto"/>
              <w:left w:val="single" w:sz="4" w:space="0" w:color="auto"/>
              <w:bottom w:val="single" w:sz="4" w:space="0" w:color="auto"/>
              <w:right w:val="single" w:sz="4" w:space="0" w:color="auto"/>
            </w:tcBorders>
          </w:tcPr>
          <w:p w14:paraId="601A82FB" w14:textId="77777777" w:rsidR="00F90128" w:rsidRPr="00D326F8" w:rsidRDefault="003E23E4" w:rsidP="0085021F">
            <w:pPr>
              <w:pStyle w:val="BodyText"/>
              <w:spacing w:before="120"/>
            </w:pPr>
            <w:r w:rsidRPr="00D326F8">
              <w:t>Confidence interval</w:t>
            </w:r>
          </w:p>
        </w:tc>
      </w:tr>
      <w:tr w:rsidR="003B74AE" w:rsidRPr="00D326F8" w14:paraId="601A82FF" w14:textId="77777777" w:rsidTr="0085021F">
        <w:tc>
          <w:tcPr>
            <w:tcW w:w="848" w:type="pct"/>
          </w:tcPr>
          <w:p w14:paraId="601A82FD" w14:textId="77777777" w:rsidR="00F90128" w:rsidRPr="00D326F8" w:rsidRDefault="003E23E4" w:rsidP="0085021F">
            <w:pPr>
              <w:pStyle w:val="BodyText"/>
              <w:spacing w:before="120"/>
            </w:pPr>
            <w:r w:rsidRPr="00D326F8">
              <w:t>CIOMS</w:t>
            </w:r>
          </w:p>
        </w:tc>
        <w:tc>
          <w:tcPr>
            <w:tcW w:w="4152" w:type="pct"/>
          </w:tcPr>
          <w:p w14:paraId="601A82FE" w14:textId="77777777" w:rsidR="00F90128" w:rsidRPr="00D326F8" w:rsidRDefault="003E23E4" w:rsidP="0085021F">
            <w:pPr>
              <w:pStyle w:val="BodyText"/>
              <w:spacing w:before="120"/>
            </w:pPr>
            <w:r w:rsidRPr="00D326F8">
              <w:t>Council for International Organizations of Medical Sciences</w:t>
            </w:r>
          </w:p>
        </w:tc>
      </w:tr>
      <w:tr w:rsidR="003B74AE" w:rsidRPr="00D326F8" w14:paraId="601A8302" w14:textId="77777777" w:rsidTr="0085021F">
        <w:tc>
          <w:tcPr>
            <w:tcW w:w="848" w:type="pct"/>
          </w:tcPr>
          <w:p w14:paraId="601A8300" w14:textId="77777777" w:rsidR="00F90128" w:rsidRPr="00D326F8" w:rsidRDefault="003E23E4" w:rsidP="0085021F">
            <w:pPr>
              <w:pStyle w:val="BodyText"/>
              <w:spacing w:before="120"/>
            </w:pPr>
            <w:r w:rsidRPr="00D326F8">
              <w:t>COVID-19</w:t>
            </w:r>
          </w:p>
        </w:tc>
        <w:tc>
          <w:tcPr>
            <w:tcW w:w="4152" w:type="pct"/>
          </w:tcPr>
          <w:p w14:paraId="601A8301" w14:textId="77777777" w:rsidR="00F90128" w:rsidRPr="00D326F8" w:rsidRDefault="003E23E4" w:rsidP="0085021F">
            <w:pPr>
              <w:pStyle w:val="BodyText"/>
              <w:spacing w:before="120"/>
            </w:pPr>
            <w:r w:rsidRPr="00D326F8">
              <w:t>Coronavirus disease 2019</w:t>
            </w:r>
          </w:p>
        </w:tc>
      </w:tr>
      <w:tr w:rsidR="003B74AE" w:rsidRPr="00D326F8" w14:paraId="601A8305" w14:textId="77777777" w:rsidTr="0085021F">
        <w:tc>
          <w:tcPr>
            <w:tcW w:w="848" w:type="pct"/>
          </w:tcPr>
          <w:p w14:paraId="601A8303" w14:textId="77777777" w:rsidR="00F90128" w:rsidRPr="00D326F8" w:rsidRDefault="003E23E4" w:rsidP="0085021F">
            <w:pPr>
              <w:pStyle w:val="BodyText"/>
              <w:spacing w:before="120"/>
            </w:pPr>
            <w:r w:rsidRPr="00D326F8">
              <w:t>CRF</w:t>
            </w:r>
          </w:p>
        </w:tc>
        <w:tc>
          <w:tcPr>
            <w:tcW w:w="4152" w:type="pct"/>
          </w:tcPr>
          <w:p w14:paraId="601A8304" w14:textId="77777777" w:rsidR="00F90128" w:rsidRPr="00D326F8" w:rsidRDefault="003E23E4" w:rsidP="0085021F">
            <w:pPr>
              <w:pStyle w:val="BodyText"/>
              <w:spacing w:before="120"/>
            </w:pPr>
            <w:r w:rsidRPr="00D326F8">
              <w:t xml:space="preserve">Case </w:t>
            </w:r>
            <w:r w:rsidR="00312B99" w:rsidRPr="00D326F8">
              <w:t>r</w:t>
            </w:r>
            <w:r w:rsidRPr="00D326F8">
              <w:t xml:space="preserve">eport </w:t>
            </w:r>
            <w:r w:rsidR="00312B99" w:rsidRPr="00D326F8">
              <w:t>f</w:t>
            </w:r>
            <w:r w:rsidRPr="00D326F8">
              <w:t>orm</w:t>
            </w:r>
          </w:p>
        </w:tc>
      </w:tr>
      <w:tr w:rsidR="003B74AE" w:rsidRPr="00D326F8" w14:paraId="601A8308" w14:textId="77777777" w:rsidTr="0085021F">
        <w:tc>
          <w:tcPr>
            <w:tcW w:w="848" w:type="pct"/>
            <w:tcBorders>
              <w:top w:val="single" w:sz="4" w:space="0" w:color="auto"/>
              <w:left w:val="single" w:sz="4" w:space="0" w:color="auto"/>
              <w:bottom w:val="single" w:sz="4" w:space="0" w:color="auto"/>
              <w:right w:val="single" w:sz="4" w:space="0" w:color="auto"/>
            </w:tcBorders>
          </w:tcPr>
          <w:p w14:paraId="601A8306" w14:textId="77777777" w:rsidR="00F90128" w:rsidRPr="00D326F8" w:rsidRDefault="003E23E4" w:rsidP="0085021F">
            <w:pPr>
              <w:pStyle w:val="BodyText"/>
              <w:spacing w:before="120"/>
            </w:pPr>
            <w:r w:rsidRPr="00D326F8">
              <w:t>CRO</w:t>
            </w:r>
          </w:p>
        </w:tc>
        <w:tc>
          <w:tcPr>
            <w:tcW w:w="4152" w:type="pct"/>
            <w:tcBorders>
              <w:top w:val="single" w:sz="4" w:space="0" w:color="auto"/>
              <w:left w:val="single" w:sz="4" w:space="0" w:color="auto"/>
              <w:bottom w:val="single" w:sz="4" w:space="0" w:color="auto"/>
              <w:right w:val="single" w:sz="4" w:space="0" w:color="auto"/>
            </w:tcBorders>
          </w:tcPr>
          <w:p w14:paraId="601A8307" w14:textId="77777777" w:rsidR="00F90128" w:rsidRPr="00D326F8" w:rsidRDefault="003E23E4" w:rsidP="0085021F">
            <w:pPr>
              <w:pStyle w:val="BodyText"/>
              <w:spacing w:before="120"/>
            </w:pPr>
            <w:r w:rsidRPr="00D326F8">
              <w:t xml:space="preserve">Clinical </w:t>
            </w:r>
            <w:r w:rsidR="00312B99" w:rsidRPr="00D326F8">
              <w:t>r</w:t>
            </w:r>
            <w:r w:rsidRPr="00D326F8">
              <w:t xml:space="preserve">esearch </w:t>
            </w:r>
            <w:r w:rsidR="00312B99" w:rsidRPr="00D326F8">
              <w:t>o</w:t>
            </w:r>
            <w:r w:rsidRPr="00D326F8">
              <w:t>rganization</w:t>
            </w:r>
          </w:p>
        </w:tc>
      </w:tr>
      <w:tr w:rsidR="003B74AE" w:rsidRPr="00D326F8" w14:paraId="601A830B" w14:textId="77777777" w:rsidTr="0085021F">
        <w:tc>
          <w:tcPr>
            <w:tcW w:w="848" w:type="pct"/>
            <w:tcBorders>
              <w:top w:val="single" w:sz="4" w:space="0" w:color="auto"/>
              <w:left w:val="single" w:sz="4" w:space="0" w:color="auto"/>
              <w:bottom w:val="single" w:sz="4" w:space="0" w:color="auto"/>
              <w:right w:val="single" w:sz="4" w:space="0" w:color="auto"/>
            </w:tcBorders>
          </w:tcPr>
          <w:p w14:paraId="601A8309" w14:textId="77777777" w:rsidR="00F90128" w:rsidRPr="00D326F8" w:rsidRDefault="003E23E4" w:rsidP="0085021F">
            <w:pPr>
              <w:pStyle w:val="BodyText"/>
              <w:spacing w:before="120"/>
            </w:pPr>
            <w:r w:rsidRPr="00D326F8">
              <w:t>CRU</w:t>
            </w:r>
          </w:p>
        </w:tc>
        <w:tc>
          <w:tcPr>
            <w:tcW w:w="4152" w:type="pct"/>
            <w:tcBorders>
              <w:top w:val="single" w:sz="4" w:space="0" w:color="auto"/>
              <w:left w:val="single" w:sz="4" w:space="0" w:color="auto"/>
              <w:bottom w:val="single" w:sz="4" w:space="0" w:color="auto"/>
              <w:right w:val="single" w:sz="4" w:space="0" w:color="auto"/>
            </w:tcBorders>
          </w:tcPr>
          <w:p w14:paraId="601A830A" w14:textId="77777777" w:rsidR="00F90128" w:rsidRPr="00D326F8" w:rsidRDefault="003E23E4" w:rsidP="0085021F">
            <w:pPr>
              <w:pStyle w:val="BodyText"/>
              <w:spacing w:before="120"/>
            </w:pPr>
            <w:r w:rsidRPr="00D326F8">
              <w:t xml:space="preserve">Clinical </w:t>
            </w:r>
            <w:r w:rsidR="00312B99" w:rsidRPr="00D326F8">
              <w:t>r</w:t>
            </w:r>
            <w:r w:rsidRPr="00D326F8">
              <w:t xml:space="preserve">esearch </w:t>
            </w:r>
            <w:r w:rsidR="00312B99" w:rsidRPr="00D326F8">
              <w:t>u</w:t>
            </w:r>
            <w:r w:rsidRPr="00D326F8">
              <w:t>nit</w:t>
            </w:r>
          </w:p>
        </w:tc>
      </w:tr>
      <w:tr w:rsidR="003B74AE" w:rsidRPr="00D326F8" w14:paraId="601A830E" w14:textId="77777777" w:rsidTr="0085021F">
        <w:tc>
          <w:tcPr>
            <w:tcW w:w="848" w:type="pct"/>
            <w:tcBorders>
              <w:top w:val="single" w:sz="4" w:space="0" w:color="auto"/>
              <w:left w:val="single" w:sz="4" w:space="0" w:color="auto"/>
              <w:bottom w:val="single" w:sz="4" w:space="0" w:color="auto"/>
              <w:right w:val="single" w:sz="4" w:space="0" w:color="auto"/>
            </w:tcBorders>
          </w:tcPr>
          <w:p w14:paraId="601A830C" w14:textId="77777777" w:rsidR="00F90128" w:rsidRPr="00D326F8" w:rsidRDefault="003E23E4" w:rsidP="0085021F">
            <w:pPr>
              <w:pStyle w:val="BodyText"/>
              <w:spacing w:before="120"/>
            </w:pPr>
            <w:r w:rsidRPr="00D326F8">
              <w:t>CSR</w:t>
            </w:r>
          </w:p>
        </w:tc>
        <w:tc>
          <w:tcPr>
            <w:tcW w:w="4152" w:type="pct"/>
            <w:tcBorders>
              <w:top w:val="single" w:sz="4" w:space="0" w:color="auto"/>
              <w:left w:val="single" w:sz="4" w:space="0" w:color="auto"/>
              <w:bottom w:val="single" w:sz="4" w:space="0" w:color="auto"/>
              <w:right w:val="single" w:sz="4" w:space="0" w:color="auto"/>
            </w:tcBorders>
          </w:tcPr>
          <w:p w14:paraId="601A830D" w14:textId="77777777" w:rsidR="00F90128" w:rsidRPr="00D326F8" w:rsidRDefault="003E23E4" w:rsidP="0085021F">
            <w:pPr>
              <w:pStyle w:val="BodyText"/>
              <w:spacing w:before="120"/>
            </w:pPr>
            <w:r w:rsidRPr="00D326F8">
              <w:t xml:space="preserve">Clinical </w:t>
            </w:r>
            <w:r w:rsidR="00312B99" w:rsidRPr="00D326F8">
              <w:t>s</w:t>
            </w:r>
            <w:r w:rsidRPr="00D326F8">
              <w:t xml:space="preserve">tudy </w:t>
            </w:r>
            <w:r w:rsidR="00312B99" w:rsidRPr="00D326F8">
              <w:t>r</w:t>
            </w:r>
            <w:r w:rsidRPr="00D326F8">
              <w:t>eport</w:t>
            </w:r>
          </w:p>
        </w:tc>
      </w:tr>
      <w:tr w:rsidR="003B74AE" w:rsidRPr="00D326F8" w14:paraId="601A8311" w14:textId="77777777" w:rsidTr="0085021F">
        <w:tc>
          <w:tcPr>
            <w:tcW w:w="848" w:type="pct"/>
            <w:tcBorders>
              <w:top w:val="single" w:sz="4" w:space="0" w:color="auto"/>
              <w:left w:val="single" w:sz="4" w:space="0" w:color="auto"/>
              <w:bottom w:val="single" w:sz="4" w:space="0" w:color="auto"/>
              <w:right w:val="single" w:sz="4" w:space="0" w:color="auto"/>
            </w:tcBorders>
          </w:tcPr>
          <w:p w14:paraId="601A830F" w14:textId="77777777" w:rsidR="00C65605" w:rsidRPr="00D326F8" w:rsidRDefault="003E23E4" w:rsidP="0085021F">
            <w:pPr>
              <w:pStyle w:val="BodyText"/>
              <w:spacing w:before="120"/>
            </w:pPr>
            <w:r w:rsidRPr="00D326F8">
              <w:t xml:space="preserve">CTFG </w:t>
            </w:r>
          </w:p>
        </w:tc>
        <w:tc>
          <w:tcPr>
            <w:tcW w:w="4152" w:type="pct"/>
            <w:tcBorders>
              <w:top w:val="single" w:sz="4" w:space="0" w:color="auto"/>
              <w:left w:val="single" w:sz="4" w:space="0" w:color="auto"/>
              <w:bottom w:val="single" w:sz="4" w:space="0" w:color="auto"/>
              <w:right w:val="single" w:sz="4" w:space="0" w:color="auto"/>
            </w:tcBorders>
          </w:tcPr>
          <w:p w14:paraId="601A8310" w14:textId="77777777" w:rsidR="00C65605" w:rsidRPr="00D326F8" w:rsidRDefault="003E23E4" w:rsidP="0085021F">
            <w:pPr>
              <w:pStyle w:val="BodyText"/>
              <w:spacing w:before="120"/>
            </w:pPr>
            <w:r w:rsidRPr="00D326F8">
              <w:t>Clinical Trials Facilitation and Coordination Group</w:t>
            </w:r>
          </w:p>
        </w:tc>
      </w:tr>
      <w:tr w:rsidR="003B74AE" w:rsidRPr="00D326F8" w14:paraId="601A8314" w14:textId="77777777" w:rsidTr="0085021F">
        <w:tc>
          <w:tcPr>
            <w:tcW w:w="848" w:type="pct"/>
          </w:tcPr>
          <w:p w14:paraId="601A8312" w14:textId="77777777" w:rsidR="00F90128" w:rsidRPr="00D326F8" w:rsidRDefault="003E23E4" w:rsidP="0085021F">
            <w:pPr>
              <w:pStyle w:val="BodyText"/>
              <w:spacing w:before="120"/>
            </w:pPr>
            <w:r w:rsidRPr="00D326F8">
              <w:t>CV</w:t>
            </w:r>
          </w:p>
        </w:tc>
        <w:tc>
          <w:tcPr>
            <w:tcW w:w="4152" w:type="pct"/>
          </w:tcPr>
          <w:p w14:paraId="601A8313" w14:textId="77777777" w:rsidR="00F90128" w:rsidRPr="00D326F8" w:rsidRDefault="003E23E4" w:rsidP="0085021F">
            <w:pPr>
              <w:pStyle w:val="BodyText"/>
              <w:spacing w:before="120"/>
            </w:pPr>
            <w:r w:rsidRPr="00D326F8">
              <w:t>Coefficient of variation</w:t>
            </w:r>
          </w:p>
        </w:tc>
      </w:tr>
      <w:tr w:rsidR="003B74AE" w:rsidRPr="00D326F8" w14:paraId="601A8317" w14:textId="77777777" w:rsidTr="0085021F">
        <w:tc>
          <w:tcPr>
            <w:tcW w:w="848" w:type="pct"/>
          </w:tcPr>
          <w:p w14:paraId="601A8315" w14:textId="77777777" w:rsidR="00F90128" w:rsidRPr="00D326F8" w:rsidRDefault="003E23E4" w:rsidP="0085021F">
            <w:pPr>
              <w:pStyle w:val="BodyText"/>
              <w:spacing w:before="120"/>
            </w:pPr>
            <w:r w:rsidRPr="00D326F8">
              <w:t>CYP</w:t>
            </w:r>
          </w:p>
        </w:tc>
        <w:tc>
          <w:tcPr>
            <w:tcW w:w="4152" w:type="pct"/>
          </w:tcPr>
          <w:p w14:paraId="601A8316" w14:textId="77777777" w:rsidR="00F90128" w:rsidRPr="00D326F8" w:rsidRDefault="003E23E4" w:rsidP="0085021F">
            <w:pPr>
              <w:pStyle w:val="BodyText"/>
              <w:spacing w:before="120"/>
            </w:pPr>
            <w:r w:rsidRPr="00D326F8">
              <w:t>Cytochrome P450</w:t>
            </w:r>
          </w:p>
        </w:tc>
      </w:tr>
      <w:tr w:rsidR="003B74AE" w:rsidRPr="00D326F8" w14:paraId="601A831A" w14:textId="77777777" w:rsidTr="0085021F">
        <w:tc>
          <w:tcPr>
            <w:tcW w:w="848" w:type="pct"/>
          </w:tcPr>
          <w:p w14:paraId="601A8318" w14:textId="77777777" w:rsidR="00F90128" w:rsidRPr="00D326F8" w:rsidRDefault="003E23E4" w:rsidP="0085021F">
            <w:pPr>
              <w:pStyle w:val="BodyText"/>
              <w:spacing w:before="120"/>
            </w:pPr>
            <w:r w:rsidRPr="00D326F8">
              <w:t>DDI</w:t>
            </w:r>
          </w:p>
        </w:tc>
        <w:tc>
          <w:tcPr>
            <w:tcW w:w="4152" w:type="pct"/>
          </w:tcPr>
          <w:p w14:paraId="601A8319" w14:textId="77777777" w:rsidR="00F90128" w:rsidRPr="00D326F8" w:rsidRDefault="003E23E4" w:rsidP="0085021F">
            <w:pPr>
              <w:pStyle w:val="BodyText"/>
              <w:spacing w:before="120"/>
              <w:rPr>
                <w:rFonts w:eastAsia="Calibri"/>
              </w:rPr>
            </w:pPr>
            <w:r w:rsidRPr="00D326F8">
              <w:rPr>
                <w:rFonts w:eastAsia="Calibri"/>
              </w:rPr>
              <w:t>Drug-drug interaction</w:t>
            </w:r>
          </w:p>
        </w:tc>
      </w:tr>
      <w:tr w:rsidR="003B74AE" w:rsidRPr="00D326F8" w14:paraId="601A831D" w14:textId="77777777" w:rsidTr="0085021F">
        <w:tc>
          <w:tcPr>
            <w:tcW w:w="848" w:type="pct"/>
          </w:tcPr>
          <w:p w14:paraId="601A831B" w14:textId="77777777" w:rsidR="00F90128" w:rsidRPr="00D326F8" w:rsidRDefault="003E23E4" w:rsidP="0085021F">
            <w:pPr>
              <w:pStyle w:val="BodyText"/>
              <w:spacing w:before="120"/>
            </w:pPr>
            <w:r w:rsidRPr="00D326F8">
              <w:t>DNA</w:t>
            </w:r>
          </w:p>
        </w:tc>
        <w:tc>
          <w:tcPr>
            <w:tcW w:w="4152" w:type="pct"/>
          </w:tcPr>
          <w:p w14:paraId="601A831C" w14:textId="4B3931EC" w:rsidR="00F90128" w:rsidRPr="00D326F8" w:rsidRDefault="003E23E4" w:rsidP="0085021F">
            <w:pPr>
              <w:pStyle w:val="BodyText"/>
              <w:spacing w:before="120"/>
            </w:pPr>
            <w:r w:rsidRPr="00D326F8">
              <w:t xml:space="preserve">Deoxyribonucleic </w:t>
            </w:r>
            <w:r w:rsidR="00C65605" w:rsidRPr="00D326F8">
              <w:t>a</w:t>
            </w:r>
            <w:r w:rsidRPr="00D326F8">
              <w:t>cid</w:t>
            </w:r>
          </w:p>
        </w:tc>
      </w:tr>
      <w:tr w:rsidR="003B74AE" w:rsidRPr="00D326F8" w14:paraId="601A8320" w14:textId="77777777" w:rsidTr="0085021F">
        <w:tc>
          <w:tcPr>
            <w:tcW w:w="848" w:type="pct"/>
          </w:tcPr>
          <w:p w14:paraId="601A831E" w14:textId="77777777" w:rsidR="00F90128" w:rsidRPr="00D326F8" w:rsidRDefault="003E23E4" w:rsidP="0085021F">
            <w:pPr>
              <w:pStyle w:val="BodyText"/>
              <w:spacing w:before="120"/>
            </w:pPr>
            <w:r w:rsidRPr="00D326F8">
              <w:t>DSUR</w:t>
            </w:r>
          </w:p>
        </w:tc>
        <w:tc>
          <w:tcPr>
            <w:tcW w:w="4152" w:type="pct"/>
          </w:tcPr>
          <w:p w14:paraId="601A831F" w14:textId="77777777" w:rsidR="00F90128" w:rsidRPr="00D326F8" w:rsidRDefault="003E23E4" w:rsidP="0085021F">
            <w:pPr>
              <w:pStyle w:val="BodyText"/>
              <w:spacing w:before="120"/>
            </w:pPr>
            <w:r w:rsidRPr="00D326F8">
              <w:t xml:space="preserve">Development </w:t>
            </w:r>
            <w:r w:rsidR="00312B99" w:rsidRPr="00D326F8">
              <w:t>s</w:t>
            </w:r>
            <w:r w:rsidRPr="00D326F8">
              <w:t xml:space="preserve">afety </w:t>
            </w:r>
            <w:r w:rsidR="00312B99" w:rsidRPr="00D326F8">
              <w:t>u</w:t>
            </w:r>
            <w:r w:rsidRPr="00D326F8">
              <w:t xml:space="preserve">pdate </w:t>
            </w:r>
            <w:r w:rsidR="00312B99" w:rsidRPr="00D326F8">
              <w:t>r</w:t>
            </w:r>
            <w:r w:rsidRPr="00D326F8">
              <w:t>eport</w:t>
            </w:r>
          </w:p>
        </w:tc>
      </w:tr>
      <w:tr w:rsidR="003B74AE" w:rsidRPr="00D326F8" w14:paraId="601A8323" w14:textId="77777777" w:rsidTr="0085021F">
        <w:tc>
          <w:tcPr>
            <w:tcW w:w="848" w:type="pct"/>
          </w:tcPr>
          <w:p w14:paraId="601A8321" w14:textId="77777777" w:rsidR="00F90128" w:rsidRPr="00D326F8" w:rsidRDefault="003E23E4" w:rsidP="0085021F">
            <w:pPr>
              <w:pStyle w:val="BodyText"/>
              <w:spacing w:before="120"/>
            </w:pPr>
            <w:r w:rsidRPr="00D326F8">
              <w:t>ECG</w:t>
            </w:r>
          </w:p>
        </w:tc>
        <w:tc>
          <w:tcPr>
            <w:tcW w:w="4152" w:type="pct"/>
          </w:tcPr>
          <w:p w14:paraId="601A8322" w14:textId="77777777" w:rsidR="00F90128" w:rsidRPr="00D326F8" w:rsidRDefault="003E23E4" w:rsidP="0085021F">
            <w:pPr>
              <w:pStyle w:val="BodyText"/>
              <w:spacing w:before="120"/>
            </w:pPr>
            <w:r w:rsidRPr="00D326F8">
              <w:t>Electrocardiogram</w:t>
            </w:r>
          </w:p>
        </w:tc>
      </w:tr>
      <w:tr w:rsidR="003B74AE" w:rsidRPr="00D326F8" w14:paraId="601A8326" w14:textId="77777777" w:rsidTr="0085021F">
        <w:tc>
          <w:tcPr>
            <w:tcW w:w="848" w:type="pct"/>
          </w:tcPr>
          <w:p w14:paraId="601A8324" w14:textId="77777777" w:rsidR="00F90128" w:rsidRPr="00D326F8" w:rsidRDefault="003E23E4" w:rsidP="0085021F">
            <w:pPr>
              <w:pStyle w:val="BodyText"/>
              <w:spacing w:before="120"/>
            </w:pPr>
            <w:r w:rsidRPr="00D326F8">
              <w:t>eCRF</w:t>
            </w:r>
          </w:p>
        </w:tc>
        <w:tc>
          <w:tcPr>
            <w:tcW w:w="4152" w:type="pct"/>
          </w:tcPr>
          <w:p w14:paraId="601A8325" w14:textId="77777777" w:rsidR="00F90128" w:rsidRPr="00D326F8" w:rsidRDefault="003E23E4" w:rsidP="0085021F">
            <w:pPr>
              <w:pStyle w:val="BodyText"/>
              <w:spacing w:before="120"/>
            </w:pPr>
            <w:r w:rsidRPr="00D326F8">
              <w:t>Electronic case report form</w:t>
            </w:r>
          </w:p>
        </w:tc>
      </w:tr>
      <w:tr w:rsidR="003B74AE" w:rsidRPr="00D326F8" w14:paraId="601A8329" w14:textId="77777777" w:rsidTr="0085021F">
        <w:tc>
          <w:tcPr>
            <w:tcW w:w="848" w:type="pct"/>
          </w:tcPr>
          <w:p w14:paraId="601A8327" w14:textId="77777777" w:rsidR="00F90128" w:rsidRPr="00D326F8" w:rsidRDefault="003E23E4" w:rsidP="0085021F">
            <w:pPr>
              <w:pStyle w:val="BodyText"/>
              <w:spacing w:before="120"/>
            </w:pPr>
            <w:r w:rsidRPr="00D326F8">
              <w:t>EDC</w:t>
            </w:r>
          </w:p>
        </w:tc>
        <w:tc>
          <w:tcPr>
            <w:tcW w:w="4152" w:type="pct"/>
          </w:tcPr>
          <w:p w14:paraId="601A8328" w14:textId="77777777" w:rsidR="00F90128" w:rsidRPr="00D326F8" w:rsidRDefault="003E23E4" w:rsidP="0085021F">
            <w:pPr>
              <w:pStyle w:val="BodyText"/>
              <w:spacing w:before="120"/>
            </w:pPr>
            <w:r w:rsidRPr="00D326F8">
              <w:t>Electronic data capture</w:t>
            </w:r>
          </w:p>
        </w:tc>
      </w:tr>
      <w:tr w:rsidR="003B74AE" w:rsidRPr="00D326F8" w14:paraId="601A832C" w14:textId="77777777" w:rsidTr="0085021F">
        <w:tc>
          <w:tcPr>
            <w:tcW w:w="848" w:type="pct"/>
          </w:tcPr>
          <w:p w14:paraId="601A832A" w14:textId="77777777" w:rsidR="00F90128" w:rsidRPr="00D326F8" w:rsidRDefault="003E23E4" w:rsidP="0085021F">
            <w:pPr>
              <w:pStyle w:val="BodyText"/>
              <w:spacing w:before="120"/>
            </w:pPr>
            <w:r w:rsidRPr="00D326F8">
              <w:t>EudraCT</w:t>
            </w:r>
          </w:p>
        </w:tc>
        <w:tc>
          <w:tcPr>
            <w:tcW w:w="4152" w:type="pct"/>
          </w:tcPr>
          <w:p w14:paraId="601A832B" w14:textId="77777777" w:rsidR="00F90128" w:rsidRPr="00D326F8" w:rsidRDefault="003E23E4" w:rsidP="0085021F">
            <w:pPr>
              <w:pStyle w:val="BodyText"/>
              <w:spacing w:before="120"/>
            </w:pPr>
            <w:r w:rsidRPr="00D326F8">
              <w:t>European Clinical Trials Database</w:t>
            </w:r>
          </w:p>
        </w:tc>
      </w:tr>
      <w:tr w:rsidR="003B74AE" w:rsidRPr="00D326F8" w14:paraId="601A832F" w14:textId="77777777" w:rsidTr="0085021F">
        <w:tc>
          <w:tcPr>
            <w:tcW w:w="848" w:type="pct"/>
          </w:tcPr>
          <w:p w14:paraId="601A832D" w14:textId="77777777" w:rsidR="00F90128" w:rsidRPr="00D326F8" w:rsidRDefault="003E23E4" w:rsidP="0085021F">
            <w:pPr>
              <w:pStyle w:val="BodyText"/>
              <w:spacing w:before="120"/>
            </w:pPr>
            <w:r w:rsidRPr="00D326F8">
              <w:t>FSH</w:t>
            </w:r>
          </w:p>
        </w:tc>
        <w:tc>
          <w:tcPr>
            <w:tcW w:w="4152" w:type="pct"/>
          </w:tcPr>
          <w:p w14:paraId="601A832E" w14:textId="77777777" w:rsidR="00F90128" w:rsidRPr="00D326F8" w:rsidRDefault="003E23E4" w:rsidP="0085021F">
            <w:pPr>
              <w:pStyle w:val="BodyText"/>
              <w:spacing w:before="120"/>
            </w:pPr>
            <w:r w:rsidRPr="00D326F8">
              <w:t>Follicle-stimulating hormone</w:t>
            </w:r>
          </w:p>
        </w:tc>
      </w:tr>
      <w:tr w:rsidR="003B74AE" w:rsidRPr="00D326F8" w14:paraId="601A8332" w14:textId="77777777" w:rsidTr="0085021F">
        <w:tc>
          <w:tcPr>
            <w:tcW w:w="848" w:type="pct"/>
          </w:tcPr>
          <w:p w14:paraId="601A8330" w14:textId="77777777" w:rsidR="00F90128" w:rsidRPr="00D326F8" w:rsidRDefault="003E23E4" w:rsidP="0085021F">
            <w:pPr>
              <w:pStyle w:val="BodyText"/>
              <w:spacing w:before="120"/>
            </w:pPr>
            <w:r w:rsidRPr="00D326F8">
              <w:t>GCP</w:t>
            </w:r>
          </w:p>
        </w:tc>
        <w:tc>
          <w:tcPr>
            <w:tcW w:w="4152" w:type="pct"/>
          </w:tcPr>
          <w:p w14:paraId="601A8331" w14:textId="77777777" w:rsidR="00F90128" w:rsidRPr="00D326F8" w:rsidRDefault="003E23E4" w:rsidP="0085021F">
            <w:pPr>
              <w:pStyle w:val="BodyText"/>
              <w:spacing w:before="120"/>
            </w:pPr>
            <w:r w:rsidRPr="00D326F8">
              <w:t>Good Clinical Practice</w:t>
            </w:r>
          </w:p>
        </w:tc>
      </w:tr>
      <w:tr w:rsidR="003B74AE" w:rsidRPr="00D326F8" w14:paraId="601A8335" w14:textId="77777777" w:rsidTr="0085021F">
        <w:tc>
          <w:tcPr>
            <w:tcW w:w="848" w:type="pct"/>
          </w:tcPr>
          <w:p w14:paraId="601A8333" w14:textId="77777777" w:rsidR="00F90128" w:rsidRPr="00D326F8" w:rsidRDefault="003E23E4" w:rsidP="0085021F">
            <w:pPr>
              <w:pStyle w:val="BodyText"/>
              <w:spacing w:before="120"/>
            </w:pPr>
            <w:r w:rsidRPr="00D326F8">
              <w:t>HGF</w:t>
            </w:r>
          </w:p>
        </w:tc>
        <w:tc>
          <w:tcPr>
            <w:tcW w:w="4152" w:type="pct"/>
          </w:tcPr>
          <w:p w14:paraId="601A8334" w14:textId="77777777" w:rsidR="00F90128" w:rsidRPr="00D326F8" w:rsidRDefault="003E23E4" w:rsidP="0085021F">
            <w:pPr>
              <w:pStyle w:val="BodyText"/>
              <w:spacing w:before="120"/>
            </w:pPr>
            <w:r w:rsidRPr="00D326F8">
              <w:t>Hepatocyte growth factor</w:t>
            </w:r>
          </w:p>
        </w:tc>
      </w:tr>
      <w:tr w:rsidR="003B74AE" w:rsidRPr="00D326F8" w14:paraId="601A8338" w14:textId="77777777" w:rsidTr="0085021F">
        <w:tc>
          <w:tcPr>
            <w:tcW w:w="848" w:type="pct"/>
            <w:tcBorders>
              <w:top w:val="single" w:sz="4" w:space="0" w:color="auto"/>
              <w:left w:val="single" w:sz="4" w:space="0" w:color="auto"/>
              <w:bottom w:val="single" w:sz="4" w:space="0" w:color="auto"/>
              <w:right w:val="single" w:sz="4" w:space="0" w:color="auto"/>
            </w:tcBorders>
          </w:tcPr>
          <w:p w14:paraId="601A8336" w14:textId="77777777" w:rsidR="00F90128" w:rsidRPr="00D326F8" w:rsidRDefault="003E23E4" w:rsidP="0085021F">
            <w:pPr>
              <w:pStyle w:val="BodyText"/>
              <w:spacing w:before="120"/>
            </w:pPr>
            <w:r w:rsidRPr="00D326F8">
              <w:t>HIPAA</w:t>
            </w:r>
          </w:p>
        </w:tc>
        <w:tc>
          <w:tcPr>
            <w:tcW w:w="4152" w:type="pct"/>
            <w:tcBorders>
              <w:top w:val="single" w:sz="4" w:space="0" w:color="auto"/>
              <w:left w:val="single" w:sz="4" w:space="0" w:color="auto"/>
              <w:bottom w:val="single" w:sz="4" w:space="0" w:color="auto"/>
              <w:right w:val="single" w:sz="4" w:space="0" w:color="auto"/>
            </w:tcBorders>
          </w:tcPr>
          <w:p w14:paraId="601A8337" w14:textId="77777777" w:rsidR="00F90128" w:rsidRPr="00D326F8" w:rsidRDefault="003E23E4" w:rsidP="0085021F">
            <w:pPr>
              <w:pStyle w:val="BodyText"/>
              <w:spacing w:before="120"/>
            </w:pPr>
            <w:r w:rsidRPr="00D326F8">
              <w:t>Health Insurance Portability and Accountability Act</w:t>
            </w:r>
          </w:p>
        </w:tc>
      </w:tr>
      <w:tr w:rsidR="003B74AE" w:rsidRPr="00D326F8" w14:paraId="601A833B" w14:textId="77777777" w:rsidTr="0085021F">
        <w:tc>
          <w:tcPr>
            <w:tcW w:w="848" w:type="pct"/>
            <w:tcBorders>
              <w:top w:val="single" w:sz="4" w:space="0" w:color="auto"/>
              <w:left w:val="single" w:sz="4" w:space="0" w:color="auto"/>
              <w:bottom w:val="single" w:sz="4" w:space="0" w:color="auto"/>
              <w:right w:val="single" w:sz="4" w:space="0" w:color="auto"/>
            </w:tcBorders>
          </w:tcPr>
          <w:p w14:paraId="601A8339" w14:textId="77777777" w:rsidR="00312B99" w:rsidRPr="00D326F8" w:rsidRDefault="003E23E4" w:rsidP="0085021F">
            <w:pPr>
              <w:pStyle w:val="BodyText"/>
              <w:spacing w:before="120"/>
            </w:pPr>
            <w:r w:rsidRPr="00D326F8">
              <w:t>HRT</w:t>
            </w:r>
          </w:p>
        </w:tc>
        <w:tc>
          <w:tcPr>
            <w:tcW w:w="4152" w:type="pct"/>
            <w:tcBorders>
              <w:top w:val="single" w:sz="4" w:space="0" w:color="auto"/>
              <w:left w:val="single" w:sz="4" w:space="0" w:color="auto"/>
              <w:bottom w:val="single" w:sz="4" w:space="0" w:color="auto"/>
              <w:right w:val="single" w:sz="4" w:space="0" w:color="auto"/>
            </w:tcBorders>
          </w:tcPr>
          <w:p w14:paraId="601A833A" w14:textId="77777777" w:rsidR="00312B99" w:rsidRPr="00D326F8" w:rsidRDefault="003E23E4" w:rsidP="0085021F">
            <w:pPr>
              <w:pStyle w:val="BodyText"/>
              <w:spacing w:before="120"/>
            </w:pPr>
            <w:r w:rsidRPr="00D326F8">
              <w:t>Hormone replacement therapy</w:t>
            </w:r>
          </w:p>
        </w:tc>
      </w:tr>
      <w:tr w:rsidR="003B74AE" w:rsidRPr="00D326F8" w14:paraId="601A833E" w14:textId="77777777" w:rsidTr="0085021F">
        <w:tc>
          <w:tcPr>
            <w:tcW w:w="848" w:type="pct"/>
            <w:tcBorders>
              <w:top w:val="single" w:sz="4" w:space="0" w:color="auto"/>
              <w:left w:val="single" w:sz="4" w:space="0" w:color="auto"/>
              <w:bottom w:val="single" w:sz="4" w:space="0" w:color="auto"/>
              <w:right w:val="single" w:sz="4" w:space="0" w:color="auto"/>
            </w:tcBorders>
          </w:tcPr>
          <w:p w14:paraId="601A833C" w14:textId="77777777" w:rsidR="00F90128" w:rsidRPr="00D326F8" w:rsidRDefault="003E23E4" w:rsidP="0085021F">
            <w:pPr>
              <w:pStyle w:val="BodyText"/>
              <w:spacing w:before="120"/>
            </w:pPr>
            <w:r w:rsidRPr="00D326F8">
              <w:t>IAP</w:t>
            </w:r>
          </w:p>
        </w:tc>
        <w:tc>
          <w:tcPr>
            <w:tcW w:w="4152" w:type="pct"/>
            <w:tcBorders>
              <w:top w:val="single" w:sz="4" w:space="0" w:color="auto"/>
              <w:left w:val="single" w:sz="4" w:space="0" w:color="auto"/>
              <w:bottom w:val="single" w:sz="4" w:space="0" w:color="auto"/>
              <w:right w:val="single" w:sz="4" w:space="0" w:color="auto"/>
            </w:tcBorders>
          </w:tcPr>
          <w:p w14:paraId="601A833D" w14:textId="77777777" w:rsidR="00F90128" w:rsidRPr="00D326F8" w:rsidRDefault="003E23E4" w:rsidP="0085021F">
            <w:pPr>
              <w:pStyle w:val="BodyText"/>
              <w:spacing w:before="120"/>
            </w:pPr>
            <w:r w:rsidRPr="00D326F8">
              <w:t xml:space="preserve">Integrated </w:t>
            </w:r>
            <w:r w:rsidR="00312B99" w:rsidRPr="00D326F8">
              <w:t>a</w:t>
            </w:r>
            <w:r w:rsidRPr="00D326F8">
              <w:t xml:space="preserve">nalysis </w:t>
            </w:r>
            <w:r w:rsidR="00312B99" w:rsidRPr="00D326F8">
              <w:t>p</w:t>
            </w:r>
            <w:r w:rsidRPr="00D326F8">
              <w:t>lan</w:t>
            </w:r>
          </w:p>
        </w:tc>
      </w:tr>
      <w:tr w:rsidR="003B74AE" w:rsidRPr="00D326F8" w14:paraId="601A8341" w14:textId="77777777" w:rsidTr="0085021F">
        <w:tc>
          <w:tcPr>
            <w:tcW w:w="848" w:type="pct"/>
          </w:tcPr>
          <w:p w14:paraId="601A833F" w14:textId="77777777" w:rsidR="00F90128" w:rsidRPr="00D326F8" w:rsidRDefault="003E23E4" w:rsidP="0085021F">
            <w:pPr>
              <w:pStyle w:val="BodyText"/>
              <w:spacing w:before="120"/>
            </w:pPr>
            <w:r w:rsidRPr="00D326F8">
              <w:lastRenderedPageBreak/>
              <w:t>IB</w:t>
            </w:r>
          </w:p>
        </w:tc>
        <w:tc>
          <w:tcPr>
            <w:tcW w:w="4152" w:type="pct"/>
          </w:tcPr>
          <w:p w14:paraId="601A8340" w14:textId="77777777" w:rsidR="00F90128" w:rsidRPr="00D326F8" w:rsidRDefault="003E23E4" w:rsidP="0085021F">
            <w:pPr>
              <w:pStyle w:val="BodyText"/>
              <w:spacing w:before="120"/>
            </w:pPr>
            <w:r w:rsidRPr="00D326F8">
              <w:t xml:space="preserve">Investigator’s </w:t>
            </w:r>
            <w:r w:rsidR="00312B99" w:rsidRPr="00D326F8">
              <w:t>b</w:t>
            </w:r>
            <w:r w:rsidRPr="00D326F8">
              <w:t>rochure</w:t>
            </w:r>
          </w:p>
        </w:tc>
      </w:tr>
      <w:tr w:rsidR="003B74AE" w:rsidRPr="00D326F8" w14:paraId="601A8344" w14:textId="77777777" w:rsidTr="0085021F">
        <w:tc>
          <w:tcPr>
            <w:tcW w:w="848" w:type="pct"/>
          </w:tcPr>
          <w:p w14:paraId="601A8342" w14:textId="77777777" w:rsidR="00F90128" w:rsidRPr="00D326F8" w:rsidRDefault="003E23E4" w:rsidP="0085021F">
            <w:pPr>
              <w:pStyle w:val="BodyText"/>
              <w:spacing w:before="120"/>
            </w:pPr>
            <w:r w:rsidRPr="00D326F8">
              <w:t>ICF</w:t>
            </w:r>
          </w:p>
        </w:tc>
        <w:tc>
          <w:tcPr>
            <w:tcW w:w="4152" w:type="pct"/>
          </w:tcPr>
          <w:p w14:paraId="601A8343" w14:textId="77777777" w:rsidR="00F90128" w:rsidRPr="00D326F8" w:rsidRDefault="003E23E4" w:rsidP="0085021F">
            <w:pPr>
              <w:pStyle w:val="BodyText"/>
              <w:spacing w:before="120"/>
            </w:pPr>
            <w:r w:rsidRPr="00D326F8">
              <w:t xml:space="preserve">Informed </w:t>
            </w:r>
            <w:r w:rsidR="00312B99" w:rsidRPr="00D326F8">
              <w:t>c</w:t>
            </w:r>
            <w:r w:rsidRPr="00D326F8">
              <w:t xml:space="preserve">onsent </w:t>
            </w:r>
            <w:r w:rsidR="00312B99" w:rsidRPr="00D326F8">
              <w:t>f</w:t>
            </w:r>
            <w:r w:rsidRPr="00D326F8">
              <w:t>orm</w:t>
            </w:r>
          </w:p>
        </w:tc>
      </w:tr>
      <w:tr w:rsidR="003B74AE" w:rsidRPr="00D326F8" w14:paraId="601A8347" w14:textId="77777777" w:rsidTr="0085021F">
        <w:tc>
          <w:tcPr>
            <w:tcW w:w="848" w:type="pct"/>
          </w:tcPr>
          <w:p w14:paraId="601A8345" w14:textId="77777777" w:rsidR="00F90128" w:rsidRPr="00D326F8" w:rsidRDefault="003E23E4" w:rsidP="0085021F">
            <w:pPr>
              <w:pStyle w:val="BodyText"/>
              <w:spacing w:before="120"/>
            </w:pPr>
            <w:r w:rsidRPr="00D326F8">
              <w:t>ICH</w:t>
            </w:r>
          </w:p>
        </w:tc>
        <w:tc>
          <w:tcPr>
            <w:tcW w:w="4152" w:type="pct"/>
          </w:tcPr>
          <w:p w14:paraId="601A8346" w14:textId="77777777" w:rsidR="00F90128" w:rsidRPr="00D326F8" w:rsidRDefault="003E23E4" w:rsidP="0085021F">
            <w:pPr>
              <w:pStyle w:val="BodyText"/>
              <w:spacing w:before="120"/>
            </w:pPr>
            <w:r w:rsidRPr="00D326F8">
              <w:t>International Council for Harmonization</w:t>
            </w:r>
          </w:p>
        </w:tc>
      </w:tr>
      <w:tr w:rsidR="003B74AE" w:rsidRPr="00D326F8" w14:paraId="601A834A" w14:textId="77777777" w:rsidTr="0085021F">
        <w:tc>
          <w:tcPr>
            <w:tcW w:w="848" w:type="pct"/>
          </w:tcPr>
          <w:p w14:paraId="601A8348" w14:textId="77777777" w:rsidR="00F90128" w:rsidRPr="00D326F8" w:rsidRDefault="003E23E4" w:rsidP="0085021F">
            <w:pPr>
              <w:pStyle w:val="BodyText"/>
              <w:spacing w:before="120"/>
            </w:pPr>
            <w:r w:rsidRPr="00D326F8">
              <w:t>IEC</w:t>
            </w:r>
          </w:p>
        </w:tc>
        <w:tc>
          <w:tcPr>
            <w:tcW w:w="4152" w:type="pct"/>
          </w:tcPr>
          <w:p w14:paraId="601A8349" w14:textId="77777777" w:rsidR="00F90128" w:rsidRPr="00D326F8" w:rsidRDefault="003E23E4" w:rsidP="0085021F">
            <w:pPr>
              <w:pStyle w:val="BodyText"/>
              <w:spacing w:before="120"/>
            </w:pPr>
            <w:r w:rsidRPr="00D326F8">
              <w:t>Independent Ethics Committee</w:t>
            </w:r>
          </w:p>
        </w:tc>
      </w:tr>
      <w:tr w:rsidR="003B74AE" w:rsidRPr="00D326F8" w14:paraId="601A834D" w14:textId="77777777" w:rsidTr="0085021F">
        <w:tc>
          <w:tcPr>
            <w:tcW w:w="848" w:type="pct"/>
          </w:tcPr>
          <w:p w14:paraId="601A834B" w14:textId="77777777" w:rsidR="00F90128" w:rsidRPr="00D326F8" w:rsidRDefault="003E23E4" w:rsidP="0085021F">
            <w:pPr>
              <w:pStyle w:val="BodyText"/>
              <w:spacing w:before="120"/>
            </w:pPr>
            <w:r w:rsidRPr="00D326F8">
              <w:t>IMP</w:t>
            </w:r>
          </w:p>
        </w:tc>
        <w:tc>
          <w:tcPr>
            <w:tcW w:w="4152" w:type="pct"/>
          </w:tcPr>
          <w:p w14:paraId="601A834C" w14:textId="77777777" w:rsidR="00F90128" w:rsidRPr="00D326F8" w:rsidRDefault="003E23E4" w:rsidP="0085021F">
            <w:pPr>
              <w:pStyle w:val="BodyText"/>
              <w:spacing w:before="120"/>
            </w:pPr>
            <w:r w:rsidRPr="00D326F8">
              <w:t xml:space="preserve">Investigational </w:t>
            </w:r>
            <w:r w:rsidR="00312B99" w:rsidRPr="00D326F8">
              <w:t>m</w:t>
            </w:r>
            <w:r w:rsidRPr="00D326F8">
              <w:t xml:space="preserve">edicinal </w:t>
            </w:r>
            <w:r w:rsidR="00312B99" w:rsidRPr="00D326F8">
              <w:t>p</w:t>
            </w:r>
            <w:r w:rsidRPr="00D326F8">
              <w:t xml:space="preserve">roduct </w:t>
            </w:r>
          </w:p>
        </w:tc>
      </w:tr>
      <w:tr w:rsidR="003B74AE" w:rsidRPr="00D326F8" w14:paraId="601A8350" w14:textId="77777777" w:rsidTr="0085021F">
        <w:tc>
          <w:tcPr>
            <w:tcW w:w="848" w:type="pct"/>
          </w:tcPr>
          <w:p w14:paraId="601A834E" w14:textId="77777777" w:rsidR="00F90128" w:rsidRPr="00D326F8" w:rsidRDefault="003E23E4" w:rsidP="0085021F">
            <w:pPr>
              <w:pStyle w:val="BodyText"/>
              <w:spacing w:before="120"/>
            </w:pPr>
            <w:r w:rsidRPr="00D326F8">
              <w:t>INR</w:t>
            </w:r>
          </w:p>
        </w:tc>
        <w:tc>
          <w:tcPr>
            <w:tcW w:w="4152" w:type="pct"/>
          </w:tcPr>
          <w:p w14:paraId="601A834F" w14:textId="77777777" w:rsidR="00F90128" w:rsidRPr="00D326F8" w:rsidRDefault="003E23E4" w:rsidP="0085021F">
            <w:pPr>
              <w:pStyle w:val="BodyText"/>
              <w:spacing w:before="120"/>
            </w:pPr>
            <w:r w:rsidRPr="00D326F8">
              <w:t xml:space="preserve">International </w:t>
            </w:r>
            <w:r w:rsidR="00312B99" w:rsidRPr="00D326F8">
              <w:t>n</w:t>
            </w:r>
            <w:r w:rsidRPr="00D326F8">
              <w:t xml:space="preserve">ormalized </w:t>
            </w:r>
            <w:r w:rsidR="00312B99" w:rsidRPr="00D326F8">
              <w:t>r</w:t>
            </w:r>
            <w:r w:rsidRPr="00D326F8">
              <w:t>atio</w:t>
            </w:r>
          </w:p>
        </w:tc>
      </w:tr>
      <w:tr w:rsidR="003B74AE" w:rsidRPr="00D326F8" w14:paraId="601A8353" w14:textId="77777777" w:rsidTr="0085021F">
        <w:tc>
          <w:tcPr>
            <w:tcW w:w="848" w:type="pct"/>
          </w:tcPr>
          <w:p w14:paraId="601A8351" w14:textId="77777777" w:rsidR="00F90128" w:rsidRPr="00D326F8" w:rsidRDefault="003E23E4" w:rsidP="0085021F">
            <w:pPr>
              <w:pStyle w:val="BodyText"/>
              <w:spacing w:before="120"/>
            </w:pPr>
            <w:r w:rsidRPr="00D326F8">
              <w:t>IRB</w:t>
            </w:r>
          </w:p>
        </w:tc>
        <w:tc>
          <w:tcPr>
            <w:tcW w:w="4152" w:type="pct"/>
          </w:tcPr>
          <w:p w14:paraId="601A8352" w14:textId="77777777" w:rsidR="00F90128" w:rsidRPr="00D326F8" w:rsidRDefault="003E23E4" w:rsidP="0085021F">
            <w:pPr>
              <w:pStyle w:val="BodyText"/>
              <w:spacing w:before="120"/>
            </w:pPr>
            <w:r w:rsidRPr="00D326F8">
              <w:t>Institutional Review Board</w:t>
            </w:r>
          </w:p>
        </w:tc>
      </w:tr>
      <w:tr w:rsidR="003B74AE" w:rsidRPr="00D326F8" w14:paraId="601A8356" w14:textId="77777777" w:rsidTr="0085021F">
        <w:tc>
          <w:tcPr>
            <w:tcW w:w="848" w:type="pct"/>
          </w:tcPr>
          <w:p w14:paraId="601A8354" w14:textId="77777777" w:rsidR="00B02FAB" w:rsidRPr="00D326F8" w:rsidRDefault="003E23E4" w:rsidP="0085021F">
            <w:pPr>
              <w:pStyle w:val="BodyText"/>
              <w:spacing w:before="120"/>
            </w:pPr>
            <w:r w:rsidRPr="00D326F8">
              <w:t>IUD</w:t>
            </w:r>
          </w:p>
        </w:tc>
        <w:tc>
          <w:tcPr>
            <w:tcW w:w="4152" w:type="pct"/>
          </w:tcPr>
          <w:p w14:paraId="601A8355" w14:textId="77777777" w:rsidR="00B02FAB" w:rsidRPr="00D326F8" w:rsidRDefault="003E23E4" w:rsidP="0085021F">
            <w:pPr>
              <w:pStyle w:val="BodyText"/>
              <w:spacing w:before="120"/>
            </w:pPr>
            <w:r w:rsidRPr="00D326F8">
              <w:t>Intrauterine device</w:t>
            </w:r>
          </w:p>
        </w:tc>
      </w:tr>
      <w:tr w:rsidR="003B74AE" w:rsidRPr="00D326F8" w14:paraId="601A8359" w14:textId="77777777" w:rsidTr="0085021F">
        <w:tc>
          <w:tcPr>
            <w:tcW w:w="848" w:type="pct"/>
          </w:tcPr>
          <w:p w14:paraId="601A8357" w14:textId="77777777" w:rsidR="005015A2" w:rsidRPr="00D326F8" w:rsidRDefault="003E23E4" w:rsidP="0085021F">
            <w:pPr>
              <w:pStyle w:val="BodyText"/>
              <w:spacing w:before="120"/>
            </w:pPr>
            <w:r w:rsidRPr="00D326F8">
              <w:t>IUS</w:t>
            </w:r>
          </w:p>
        </w:tc>
        <w:tc>
          <w:tcPr>
            <w:tcW w:w="4152" w:type="pct"/>
          </w:tcPr>
          <w:p w14:paraId="601A8358" w14:textId="77777777" w:rsidR="005015A2" w:rsidRPr="00D326F8" w:rsidRDefault="003E23E4" w:rsidP="0085021F">
            <w:pPr>
              <w:pStyle w:val="BodyText"/>
              <w:spacing w:before="120"/>
            </w:pPr>
            <w:r w:rsidRPr="00D326F8">
              <w:t>Intrauterine system</w:t>
            </w:r>
          </w:p>
        </w:tc>
      </w:tr>
      <w:tr w:rsidR="003B74AE" w:rsidRPr="00D326F8" w14:paraId="601A835C" w14:textId="77777777" w:rsidTr="0085021F">
        <w:tc>
          <w:tcPr>
            <w:tcW w:w="848" w:type="pct"/>
          </w:tcPr>
          <w:p w14:paraId="601A835A" w14:textId="77777777" w:rsidR="00312B99" w:rsidRPr="00D326F8" w:rsidRDefault="003E23E4" w:rsidP="0085021F">
            <w:pPr>
              <w:pStyle w:val="BodyText"/>
              <w:spacing w:before="120"/>
            </w:pPr>
            <w:r w:rsidRPr="00D326F8">
              <w:t>LFT</w:t>
            </w:r>
          </w:p>
        </w:tc>
        <w:tc>
          <w:tcPr>
            <w:tcW w:w="4152" w:type="pct"/>
          </w:tcPr>
          <w:p w14:paraId="601A835B" w14:textId="77777777" w:rsidR="00312B99" w:rsidRPr="00D326F8" w:rsidRDefault="003E23E4" w:rsidP="0085021F">
            <w:pPr>
              <w:pStyle w:val="BodyText"/>
              <w:spacing w:before="120"/>
            </w:pPr>
            <w:r w:rsidRPr="00D326F8">
              <w:t>Liver function test</w:t>
            </w:r>
          </w:p>
        </w:tc>
      </w:tr>
      <w:tr w:rsidR="003B74AE" w:rsidRPr="00D326F8" w14:paraId="601A835F" w14:textId="77777777" w:rsidTr="0085021F">
        <w:tc>
          <w:tcPr>
            <w:tcW w:w="848" w:type="pct"/>
          </w:tcPr>
          <w:p w14:paraId="601A835D" w14:textId="77777777" w:rsidR="00F90128" w:rsidRPr="00D326F8" w:rsidRDefault="003E23E4" w:rsidP="0085021F">
            <w:pPr>
              <w:pStyle w:val="BodyText"/>
              <w:spacing w:before="120"/>
            </w:pPr>
            <w:r w:rsidRPr="00D326F8">
              <w:t>Max</w:t>
            </w:r>
          </w:p>
        </w:tc>
        <w:tc>
          <w:tcPr>
            <w:tcW w:w="4152" w:type="pct"/>
          </w:tcPr>
          <w:p w14:paraId="601A835E" w14:textId="77777777" w:rsidR="00F90128" w:rsidRPr="00D326F8" w:rsidRDefault="003E23E4" w:rsidP="0085021F">
            <w:pPr>
              <w:pStyle w:val="BodyText"/>
              <w:spacing w:before="120"/>
            </w:pPr>
            <w:r w:rsidRPr="00D326F8">
              <w:t>Maximum</w:t>
            </w:r>
          </w:p>
        </w:tc>
      </w:tr>
      <w:tr w:rsidR="003B74AE" w:rsidRPr="00D326F8" w14:paraId="601A8362" w14:textId="77777777" w:rsidTr="0085021F">
        <w:tc>
          <w:tcPr>
            <w:tcW w:w="848" w:type="pct"/>
          </w:tcPr>
          <w:p w14:paraId="601A8360" w14:textId="77777777" w:rsidR="00F90128" w:rsidRPr="00D326F8" w:rsidRDefault="003E23E4" w:rsidP="0085021F">
            <w:pPr>
              <w:pStyle w:val="BodyText"/>
              <w:spacing w:before="120"/>
            </w:pPr>
            <w:r w:rsidRPr="00D326F8">
              <w:t>MedDRA</w:t>
            </w:r>
          </w:p>
        </w:tc>
        <w:tc>
          <w:tcPr>
            <w:tcW w:w="4152" w:type="pct"/>
          </w:tcPr>
          <w:p w14:paraId="601A8361" w14:textId="77777777" w:rsidR="00F90128" w:rsidRPr="00D326F8" w:rsidRDefault="003E23E4" w:rsidP="0085021F">
            <w:pPr>
              <w:pStyle w:val="BodyText"/>
              <w:spacing w:before="120"/>
            </w:pPr>
            <w:r w:rsidRPr="00D326F8">
              <w:t>Medical Dictionary for Regulatory Activities</w:t>
            </w:r>
          </w:p>
        </w:tc>
      </w:tr>
      <w:tr w:rsidR="003B74AE" w:rsidRPr="00D326F8" w14:paraId="601A8365" w14:textId="77777777" w:rsidTr="0085021F">
        <w:tc>
          <w:tcPr>
            <w:tcW w:w="848" w:type="pct"/>
          </w:tcPr>
          <w:p w14:paraId="601A8363" w14:textId="77777777" w:rsidR="00F90128" w:rsidRPr="00D326F8" w:rsidRDefault="003E23E4" w:rsidP="0085021F">
            <w:pPr>
              <w:pStyle w:val="BodyText"/>
              <w:spacing w:before="120"/>
            </w:pPr>
            <w:r w:rsidRPr="00D326F8">
              <w:t>MET</w:t>
            </w:r>
          </w:p>
        </w:tc>
        <w:tc>
          <w:tcPr>
            <w:tcW w:w="4152" w:type="pct"/>
          </w:tcPr>
          <w:p w14:paraId="601A8364" w14:textId="77777777" w:rsidR="00F90128" w:rsidRPr="00D326F8" w:rsidRDefault="003E23E4" w:rsidP="0085021F">
            <w:pPr>
              <w:pStyle w:val="BodyText"/>
              <w:spacing w:before="120"/>
            </w:pPr>
            <w:r w:rsidRPr="00D326F8">
              <w:t>Mesenchymal epithelial transition factor</w:t>
            </w:r>
          </w:p>
        </w:tc>
      </w:tr>
      <w:tr w:rsidR="003B74AE" w:rsidRPr="00D326F8" w14:paraId="601A8368" w14:textId="77777777" w:rsidTr="0085021F">
        <w:tc>
          <w:tcPr>
            <w:tcW w:w="848" w:type="pct"/>
          </w:tcPr>
          <w:p w14:paraId="601A8366" w14:textId="77777777" w:rsidR="00F90128" w:rsidRPr="00D326F8" w:rsidRDefault="003E23E4" w:rsidP="0085021F">
            <w:pPr>
              <w:pStyle w:val="BodyText"/>
              <w:spacing w:before="120"/>
            </w:pPr>
            <w:r w:rsidRPr="00D326F8">
              <w:t>Min</w:t>
            </w:r>
          </w:p>
        </w:tc>
        <w:tc>
          <w:tcPr>
            <w:tcW w:w="4152" w:type="pct"/>
          </w:tcPr>
          <w:p w14:paraId="601A8367" w14:textId="77777777" w:rsidR="00F90128" w:rsidRPr="00D326F8" w:rsidRDefault="003E23E4" w:rsidP="0085021F">
            <w:pPr>
              <w:pStyle w:val="BodyText"/>
              <w:spacing w:before="120"/>
            </w:pPr>
            <w:r w:rsidRPr="00D326F8">
              <w:t>Minimum</w:t>
            </w:r>
          </w:p>
        </w:tc>
      </w:tr>
      <w:tr w:rsidR="003B74AE" w:rsidRPr="00D326F8" w14:paraId="601A836B" w14:textId="77777777" w:rsidTr="0085021F">
        <w:tc>
          <w:tcPr>
            <w:tcW w:w="848" w:type="pct"/>
          </w:tcPr>
          <w:p w14:paraId="601A8369" w14:textId="77777777" w:rsidR="00F90128" w:rsidRPr="00D326F8" w:rsidRDefault="003E23E4" w:rsidP="0085021F">
            <w:pPr>
              <w:pStyle w:val="BodyText"/>
              <w:spacing w:before="120"/>
            </w:pPr>
            <w:r w:rsidRPr="00D326F8">
              <w:t>NSCLC</w:t>
            </w:r>
          </w:p>
        </w:tc>
        <w:tc>
          <w:tcPr>
            <w:tcW w:w="4152" w:type="pct"/>
          </w:tcPr>
          <w:p w14:paraId="601A836A" w14:textId="77777777" w:rsidR="00F90128" w:rsidRPr="00D326F8" w:rsidRDefault="003E23E4" w:rsidP="0085021F">
            <w:pPr>
              <w:pStyle w:val="BodyText"/>
              <w:spacing w:before="120"/>
            </w:pPr>
            <w:r w:rsidRPr="00D326F8">
              <w:t>Non-</w:t>
            </w:r>
            <w:r w:rsidR="00312B99" w:rsidRPr="00D326F8">
              <w:t>s</w:t>
            </w:r>
            <w:r w:rsidRPr="00D326F8">
              <w:t xml:space="preserve">mall </w:t>
            </w:r>
            <w:r w:rsidR="00312B99" w:rsidRPr="00D326F8">
              <w:t>c</w:t>
            </w:r>
            <w:r w:rsidRPr="00D326F8">
              <w:t xml:space="preserve">ell </w:t>
            </w:r>
            <w:r w:rsidR="00312B99" w:rsidRPr="00D326F8">
              <w:t>l</w:t>
            </w:r>
            <w:r w:rsidRPr="00D326F8">
              <w:t xml:space="preserve">ung </w:t>
            </w:r>
            <w:r w:rsidR="00312B99" w:rsidRPr="00D326F8">
              <w:t>c</w:t>
            </w:r>
            <w:r w:rsidRPr="00D326F8">
              <w:t>ancer</w:t>
            </w:r>
          </w:p>
        </w:tc>
      </w:tr>
      <w:tr w:rsidR="003B74AE" w:rsidRPr="00D326F8" w14:paraId="601A836E" w14:textId="77777777" w:rsidTr="0085021F">
        <w:tc>
          <w:tcPr>
            <w:tcW w:w="848" w:type="pct"/>
            <w:tcBorders>
              <w:top w:val="single" w:sz="4" w:space="0" w:color="auto"/>
              <w:left w:val="single" w:sz="4" w:space="0" w:color="auto"/>
              <w:bottom w:val="single" w:sz="4" w:space="0" w:color="auto"/>
              <w:right w:val="single" w:sz="4" w:space="0" w:color="auto"/>
            </w:tcBorders>
          </w:tcPr>
          <w:p w14:paraId="601A836C" w14:textId="77777777" w:rsidR="00F90128" w:rsidRPr="00D326F8" w:rsidRDefault="003E23E4" w:rsidP="0085021F">
            <w:pPr>
              <w:pStyle w:val="BodyText"/>
              <w:spacing w:before="120"/>
            </w:pPr>
            <w:r w:rsidRPr="00D326F8">
              <w:t>PCR</w:t>
            </w:r>
          </w:p>
        </w:tc>
        <w:tc>
          <w:tcPr>
            <w:tcW w:w="4152" w:type="pct"/>
            <w:tcBorders>
              <w:top w:val="single" w:sz="4" w:space="0" w:color="auto"/>
              <w:left w:val="single" w:sz="4" w:space="0" w:color="auto"/>
              <w:bottom w:val="single" w:sz="4" w:space="0" w:color="auto"/>
              <w:right w:val="single" w:sz="4" w:space="0" w:color="auto"/>
            </w:tcBorders>
          </w:tcPr>
          <w:p w14:paraId="601A836D" w14:textId="77777777" w:rsidR="00F90128" w:rsidRPr="00D326F8" w:rsidRDefault="003E23E4" w:rsidP="0085021F">
            <w:pPr>
              <w:pStyle w:val="BodyText"/>
              <w:spacing w:before="120"/>
            </w:pPr>
            <w:r w:rsidRPr="00D326F8">
              <w:t>Polymerase chain reaction</w:t>
            </w:r>
          </w:p>
        </w:tc>
      </w:tr>
      <w:tr w:rsidR="003B74AE" w:rsidRPr="00D326F8" w14:paraId="601A8371" w14:textId="77777777" w:rsidTr="0085021F">
        <w:tc>
          <w:tcPr>
            <w:tcW w:w="848" w:type="pct"/>
            <w:tcBorders>
              <w:top w:val="single" w:sz="4" w:space="0" w:color="auto"/>
              <w:left w:val="single" w:sz="4" w:space="0" w:color="auto"/>
              <w:bottom w:val="single" w:sz="4" w:space="0" w:color="auto"/>
              <w:right w:val="single" w:sz="4" w:space="0" w:color="auto"/>
            </w:tcBorders>
          </w:tcPr>
          <w:p w14:paraId="601A836F" w14:textId="77777777" w:rsidR="00F90128" w:rsidRPr="00D326F8" w:rsidRDefault="003E23E4" w:rsidP="0085021F">
            <w:pPr>
              <w:pStyle w:val="BodyText"/>
              <w:spacing w:before="120"/>
            </w:pPr>
            <w:r w:rsidRPr="00D326F8">
              <w:t>PD</w:t>
            </w:r>
          </w:p>
        </w:tc>
        <w:tc>
          <w:tcPr>
            <w:tcW w:w="4152" w:type="pct"/>
            <w:tcBorders>
              <w:top w:val="single" w:sz="4" w:space="0" w:color="auto"/>
              <w:left w:val="single" w:sz="4" w:space="0" w:color="auto"/>
              <w:bottom w:val="single" w:sz="4" w:space="0" w:color="auto"/>
              <w:right w:val="single" w:sz="4" w:space="0" w:color="auto"/>
            </w:tcBorders>
          </w:tcPr>
          <w:p w14:paraId="601A8370" w14:textId="77777777" w:rsidR="00F90128" w:rsidRPr="00D326F8" w:rsidRDefault="003E23E4" w:rsidP="0085021F">
            <w:pPr>
              <w:pStyle w:val="BodyText"/>
              <w:spacing w:before="120"/>
            </w:pPr>
            <w:r w:rsidRPr="00D326F8">
              <w:t>Pharmacodynamic</w:t>
            </w:r>
          </w:p>
        </w:tc>
      </w:tr>
      <w:tr w:rsidR="003B74AE" w:rsidRPr="00D326F8" w14:paraId="601A8374" w14:textId="77777777" w:rsidTr="0085021F">
        <w:tc>
          <w:tcPr>
            <w:tcW w:w="848" w:type="pct"/>
          </w:tcPr>
          <w:p w14:paraId="601A8372" w14:textId="77777777" w:rsidR="00F90128" w:rsidRPr="00D326F8" w:rsidRDefault="003E23E4" w:rsidP="0085021F">
            <w:pPr>
              <w:pStyle w:val="BodyText"/>
              <w:spacing w:before="120"/>
            </w:pPr>
            <w:r w:rsidRPr="00D326F8">
              <w:t>P-gp</w:t>
            </w:r>
          </w:p>
        </w:tc>
        <w:tc>
          <w:tcPr>
            <w:tcW w:w="4152" w:type="pct"/>
          </w:tcPr>
          <w:p w14:paraId="601A8373" w14:textId="77777777" w:rsidR="00F90128" w:rsidRPr="00D326F8" w:rsidRDefault="003E23E4" w:rsidP="0085021F">
            <w:pPr>
              <w:pStyle w:val="BodyText"/>
              <w:spacing w:before="120"/>
              <w:rPr>
                <w:szCs w:val="24"/>
              </w:rPr>
            </w:pPr>
            <w:r w:rsidRPr="00D326F8">
              <w:rPr>
                <w:szCs w:val="24"/>
              </w:rPr>
              <w:t>P-glycoprotein</w:t>
            </w:r>
          </w:p>
        </w:tc>
      </w:tr>
      <w:tr w:rsidR="003B74AE" w:rsidRPr="00D326F8" w14:paraId="601A8377" w14:textId="77777777" w:rsidTr="0085021F">
        <w:tc>
          <w:tcPr>
            <w:tcW w:w="848" w:type="pct"/>
          </w:tcPr>
          <w:p w14:paraId="601A8375" w14:textId="77777777" w:rsidR="00F90128" w:rsidRPr="00D326F8" w:rsidRDefault="003E23E4" w:rsidP="0085021F">
            <w:pPr>
              <w:pStyle w:val="BodyText"/>
              <w:spacing w:before="120"/>
            </w:pPr>
            <w:r w:rsidRPr="00D326F8">
              <w:t>PK</w:t>
            </w:r>
          </w:p>
        </w:tc>
        <w:tc>
          <w:tcPr>
            <w:tcW w:w="4152" w:type="pct"/>
          </w:tcPr>
          <w:p w14:paraId="601A8376" w14:textId="77777777" w:rsidR="00F90128" w:rsidRPr="00D326F8" w:rsidRDefault="003E23E4" w:rsidP="0085021F">
            <w:pPr>
              <w:pStyle w:val="BodyText"/>
              <w:spacing w:before="120"/>
            </w:pPr>
            <w:r w:rsidRPr="00D326F8">
              <w:t>Pharmacokinetic</w:t>
            </w:r>
          </w:p>
        </w:tc>
      </w:tr>
      <w:tr w:rsidR="003B74AE" w:rsidRPr="00D326F8" w14:paraId="601A837A" w14:textId="77777777" w:rsidTr="0085021F">
        <w:tc>
          <w:tcPr>
            <w:tcW w:w="848" w:type="pct"/>
          </w:tcPr>
          <w:p w14:paraId="601A8378" w14:textId="77777777" w:rsidR="00F90128" w:rsidRPr="00D326F8" w:rsidRDefault="003E23E4" w:rsidP="0085021F">
            <w:pPr>
              <w:pStyle w:val="BodyText"/>
              <w:spacing w:before="120"/>
            </w:pPr>
            <w:r w:rsidRPr="00D326F8">
              <w:t>QTcB</w:t>
            </w:r>
          </w:p>
        </w:tc>
        <w:tc>
          <w:tcPr>
            <w:tcW w:w="4152" w:type="pct"/>
          </w:tcPr>
          <w:p w14:paraId="601A8379" w14:textId="77777777" w:rsidR="00F90128" w:rsidRPr="00D326F8" w:rsidRDefault="003E23E4" w:rsidP="0085021F">
            <w:pPr>
              <w:pStyle w:val="BodyText"/>
              <w:spacing w:before="120"/>
            </w:pPr>
            <w:r w:rsidRPr="00D326F8">
              <w:t xml:space="preserve">Corrected QT internal by </w:t>
            </w:r>
            <w:proofErr w:type="spellStart"/>
            <w:r w:rsidRPr="00D326F8">
              <w:t>Bazett’s</w:t>
            </w:r>
            <w:proofErr w:type="spellEnd"/>
            <w:r w:rsidRPr="00D326F8">
              <w:t xml:space="preserve"> formula</w:t>
            </w:r>
          </w:p>
        </w:tc>
      </w:tr>
      <w:tr w:rsidR="003B74AE" w:rsidRPr="00D326F8" w14:paraId="601A837D" w14:textId="77777777" w:rsidTr="0085021F">
        <w:tc>
          <w:tcPr>
            <w:tcW w:w="848" w:type="pct"/>
          </w:tcPr>
          <w:p w14:paraId="601A837B" w14:textId="77777777" w:rsidR="00F90128" w:rsidRPr="00D326F8" w:rsidRDefault="003E23E4" w:rsidP="0085021F">
            <w:pPr>
              <w:pStyle w:val="BodyText"/>
              <w:spacing w:before="120"/>
            </w:pPr>
            <w:r w:rsidRPr="00D326F8">
              <w:t>QTcF</w:t>
            </w:r>
          </w:p>
        </w:tc>
        <w:tc>
          <w:tcPr>
            <w:tcW w:w="4152" w:type="pct"/>
          </w:tcPr>
          <w:p w14:paraId="601A837C" w14:textId="77777777" w:rsidR="00F90128" w:rsidRPr="00D326F8" w:rsidRDefault="003E23E4" w:rsidP="0085021F">
            <w:pPr>
              <w:pStyle w:val="BodyText"/>
              <w:spacing w:before="120"/>
            </w:pPr>
            <w:r w:rsidRPr="00D326F8">
              <w:t>Corrected QT interval by Fridericia’ formula</w:t>
            </w:r>
          </w:p>
        </w:tc>
      </w:tr>
      <w:tr w:rsidR="003B74AE" w:rsidRPr="00D326F8" w14:paraId="601A8380" w14:textId="77777777" w:rsidTr="0085021F">
        <w:tc>
          <w:tcPr>
            <w:tcW w:w="848" w:type="pct"/>
          </w:tcPr>
          <w:p w14:paraId="601A837E" w14:textId="77777777" w:rsidR="00F90128" w:rsidRPr="00D326F8" w:rsidRDefault="003E23E4" w:rsidP="0085021F">
            <w:pPr>
              <w:pStyle w:val="BodyText"/>
              <w:spacing w:before="120"/>
            </w:pPr>
            <w:r w:rsidRPr="00D326F8">
              <w:t>QTL</w:t>
            </w:r>
          </w:p>
        </w:tc>
        <w:tc>
          <w:tcPr>
            <w:tcW w:w="4152" w:type="pct"/>
          </w:tcPr>
          <w:p w14:paraId="601A837F" w14:textId="77777777" w:rsidR="00F90128" w:rsidRPr="00D326F8" w:rsidRDefault="003E23E4" w:rsidP="0085021F">
            <w:pPr>
              <w:pStyle w:val="BodyText"/>
              <w:spacing w:before="120"/>
            </w:pPr>
            <w:r w:rsidRPr="00D326F8">
              <w:t xml:space="preserve">Quality </w:t>
            </w:r>
            <w:r w:rsidR="00312B99" w:rsidRPr="00D326F8">
              <w:t>t</w:t>
            </w:r>
            <w:r w:rsidRPr="00D326F8">
              <w:t xml:space="preserve">olerance </w:t>
            </w:r>
            <w:r w:rsidR="00312B99" w:rsidRPr="00D326F8">
              <w:t>l</w:t>
            </w:r>
            <w:r w:rsidRPr="00D326F8">
              <w:t>imits</w:t>
            </w:r>
          </w:p>
        </w:tc>
      </w:tr>
      <w:tr w:rsidR="003B74AE" w:rsidRPr="00D326F8" w14:paraId="601A8383" w14:textId="77777777" w:rsidTr="0085021F">
        <w:tc>
          <w:tcPr>
            <w:tcW w:w="848" w:type="pct"/>
          </w:tcPr>
          <w:p w14:paraId="601A8381" w14:textId="77777777" w:rsidR="00F90128" w:rsidRPr="00D326F8" w:rsidRDefault="003E23E4" w:rsidP="0085021F">
            <w:pPr>
              <w:pStyle w:val="BodyText"/>
              <w:spacing w:before="120"/>
            </w:pPr>
            <w:r w:rsidRPr="00D326F8">
              <w:t>SAE</w:t>
            </w:r>
          </w:p>
        </w:tc>
        <w:tc>
          <w:tcPr>
            <w:tcW w:w="4152" w:type="pct"/>
          </w:tcPr>
          <w:p w14:paraId="601A8382" w14:textId="77777777" w:rsidR="00F90128" w:rsidRPr="00D326F8" w:rsidRDefault="003E23E4" w:rsidP="0085021F">
            <w:pPr>
              <w:pStyle w:val="BodyText"/>
              <w:spacing w:before="120"/>
            </w:pPr>
            <w:r w:rsidRPr="00D326F8">
              <w:t xml:space="preserve">Serious </w:t>
            </w:r>
            <w:r w:rsidR="00312B99" w:rsidRPr="00D326F8">
              <w:t>a</w:t>
            </w:r>
            <w:r w:rsidRPr="00D326F8">
              <w:t xml:space="preserve">dverse </w:t>
            </w:r>
            <w:r w:rsidR="00312B99" w:rsidRPr="00D326F8">
              <w:t>e</w:t>
            </w:r>
            <w:r w:rsidRPr="00D326F8">
              <w:t>vent</w:t>
            </w:r>
          </w:p>
        </w:tc>
      </w:tr>
      <w:tr w:rsidR="003B74AE" w:rsidRPr="00D326F8" w14:paraId="601A8386" w14:textId="77777777" w:rsidTr="0085021F">
        <w:tc>
          <w:tcPr>
            <w:tcW w:w="848" w:type="pct"/>
          </w:tcPr>
          <w:p w14:paraId="601A8384" w14:textId="77777777" w:rsidR="00F90128" w:rsidRPr="00D326F8" w:rsidRDefault="003E23E4" w:rsidP="0085021F">
            <w:pPr>
              <w:pStyle w:val="BodyText"/>
              <w:spacing w:before="120"/>
            </w:pPr>
            <w:r w:rsidRPr="00D326F8">
              <w:t>SAF</w:t>
            </w:r>
          </w:p>
        </w:tc>
        <w:tc>
          <w:tcPr>
            <w:tcW w:w="4152" w:type="pct"/>
          </w:tcPr>
          <w:p w14:paraId="601A8385" w14:textId="77777777" w:rsidR="00F90128" w:rsidRPr="00D326F8" w:rsidRDefault="003E23E4" w:rsidP="0085021F">
            <w:pPr>
              <w:pStyle w:val="BodyText"/>
              <w:spacing w:before="120"/>
            </w:pPr>
            <w:r w:rsidRPr="00D326F8">
              <w:t>Safety</w:t>
            </w:r>
          </w:p>
        </w:tc>
      </w:tr>
      <w:tr w:rsidR="003B74AE" w:rsidRPr="00D326F8" w14:paraId="601A8389" w14:textId="77777777" w:rsidTr="0085021F">
        <w:tc>
          <w:tcPr>
            <w:tcW w:w="848" w:type="pct"/>
          </w:tcPr>
          <w:p w14:paraId="601A8387" w14:textId="77777777" w:rsidR="00F90128" w:rsidRPr="00D326F8" w:rsidRDefault="003E23E4" w:rsidP="0085021F">
            <w:pPr>
              <w:pStyle w:val="BodyText"/>
              <w:spacing w:before="120"/>
            </w:pPr>
            <w:r w:rsidRPr="00D326F8">
              <w:t>SARS-CoV-2</w:t>
            </w:r>
          </w:p>
        </w:tc>
        <w:tc>
          <w:tcPr>
            <w:tcW w:w="4152" w:type="pct"/>
          </w:tcPr>
          <w:p w14:paraId="601A8388" w14:textId="77777777" w:rsidR="00F90128" w:rsidRPr="00D326F8" w:rsidRDefault="003E23E4" w:rsidP="0085021F">
            <w:pPr>
              <w:pStyle w:val="BodyText"/>
              <w:spacing w:before="120"/>
            </w:pPr>
            <w:r w:rsidRPr="00D326F8">
              <w:t>Severe acute respiratory syndrome coronavirus 2</w:t>
            </w:r>
          </w:p>
        </w:tc>
      </w:tr>
      <w:tr w:rsidR="003B74AE" w:rsidRPr="00D326F8" w14:paraId="601A838C" w14:textId="77777777" w:rsidTr="0085021F">
        <w:tc>
          <w:tcPr>
            <w:tcW w:w="848" w:type="pct"/>
          </w:tcPr>
          <w:p w14:paraId="601A838A" w14:textId="77777777" w:rsidR="00F90128" w:rsidRPr="00D326F8" w:rsidRDefault="003E23E4" w:rsidP="0085021F">
            <w:pPr>
              <w:pStyle w:val="BodyText"/>
              <w:spacing w:before="120"/>
            </w:pPr>
            <w:r w:rsidRPr="00D326F8">
              <w:t>SD</w:t>
            </w:r>
          </w:p>
        </w:tc>
        <w:tc>
          <w:tcPr>
            <w:tcW w:w="4152" w:type="pct"/>
          </w:tcPr>
          <w:p w14:paraId="601A838B" w14:textId="77777777" w:rsidR="00F90128" w:rsidRPr="00D326F8" w:rsidRDefault="003E23E4" w:rsidP="0085021F">
            <w:pPr>
              <w:pStyle w:val="BodyText"/>
              <w:spacing w:before="120"/>
            </w:pPr>
            <w:r w:rsidRPr="00D326F8">
              <w:t>Standard deviation</w:t>
            </w:r>
          </w:p>
        </w:tc>
      </w:tr>
      <w:tr w:rsidR="003B74AE" w:rsidRPr="00D326F8" w14:paraId="601A838F" w14:textId="77777777" w:rsidTr="0085021F">
        <w:tc>
          <w:tcPr>
            <w:tcW w:w="848" w:type="pct"/>
          </w:tcPr>
          <w:p w14:paraId="601A838D" w14:textId="77777777" w:rsidR="00F90128" w:rsidRPr="00D326F8" w:rsidRDefault="003E23E4" w:rsidP="0085021F">
            <w:pPr>
              <w:pStyle w:val="BodyText"/>
              <w:spacing w:before="120"/>
            </w:pPr>
            <w:r w:rsidRPr="00D326F8">
              <w:t>SmPC</w:t>
            </w:r>
          </w:p>
        </w:tc>
        <w:tc>
          <w:tcPr>
            <w:tcW w:w="4152" w:type="pct"/>
          </w:tcPr>
          <w:p w14:paraId="601A838E" w14:textId="77777777" w:rsidR="00F90128" w:rsidRPr="00D326F8" w:rsidRDefault="003E23E4" w:rsidP="0085021F">
            <w:pPr>
              <w:pStyle w:val="BodyText"/>
              <w:spacing w:before="120"/>
            </w:pPr>
            <w:r w:rsidRPr="00D326F8">
              <w:t>Summary of product characteristics</w:t>
            </w:r>
          </w:p>
        </w:tc>
      </w:tr>
      <w:tr w:rsidR="003B74AE" w:rsidRPr="00D326F8" w14:paraId="601A8392" w14:textId="77777777" w:rsidTr="0085021F">
        <w:tc>
          <w:tcPr>
            <w:tcW w:w="848" w:type="pct"/>
          </w:tcPr>
          <w:p w14:paraId="601A8390" w14:textId="77777777" w:rsidR="00F90128" w:rsidRPr="00D326F8" w:rsidRDefault="003E23E4" w:rsidP="0085021F">
            <w:pPr>
              <w:pStyle w:val="BodyText"/>
              <w:spacing w:before="120"/>
            </w:pPr>
            <w:proofErr w:type="spellStart"/>
            <w:r w:rsidRPr="00D326F8">
              <w:t>SoA</w:t>
            </w:r>
            <w:proofErr w:type="spellEnd"/>
          </w:p>
        </w:tc>
        <w:tc>
          <w:tcPr>
            <w:tcW w:w="4152" w:type="pct"/>
          </w:tcPr>
          <w:p w14:paraId="601A8391" w14:textId="46350406" w:rsidR="00F90128" w:rsidRPr="00D326F8" w:rsidRDefault="003E23E4" w:rsidP="0085021F">
            <w:pPr>
              <w:pStyle w:val="BodyText"/>
              <w:spacing w:before="120"/>
            </w:pPr>
            <w:r w:rsidRPr="00D326F8">
              <w:t xml:space="preserve">Schedule of </w:t>
            </w:r>
            <w:r w:rsidR="006028E7">
              <w:t>a</w:t>
            </w:r>
            <w:r w:rsidR="00312B99" w:rsidRPr="00D326F8">
              <w:t>ssessments</w:t>
            </w:r>
          </w:p>
        </w:tc>
      </w:tr>
      <w:tr w:rsidR="003B74AE" w:rsidRPr="00D326F8" w14:paraId="601A8395" w14:textId="77777777" w:rsidTr="0085021F">
        <w:tc>
          <w:tcPr>
            <w:tcW w:w="848" w:type="pct"/>
          </w:tcPr>
          <w:p w14:paraId="601A8393" w14:textId="77777777" w:rsidR="00F90128" w:rsidRPr="00D326F8" w:rsidRDefault="003E23E4" w:rsidP="0085021F">
            <w:pPr>
              <w:pStyle w:val="BodyText"/>
              <w:spacing w:before="120"/>
            </w:pPr>
            <w:r w:rsidRPr="00D326F8">
              <w:t>SUSAR</w:t>
            </w:r>
          </w:p>
        </w:tc>
        <w:tc>
          <w:tcPr>
            <w:tcW w:w="4152" w:type="pct"/>
          </w:tcPr>
          <w:p w14:paraId="601A8394" w14:textId="77777777" w:rsidR="00F90128" w:rsidRPr="00D326F8" w:rsidRDefault="003E23E4" w:rsidP="0085021F">
            <w:pPr>
              <w:pStyle w:val="BodyText"/>
              <w:spacing w:before="120"/>
            </w:pPr>
            <w:r w:rsidRPr="00D326F8">
              <w:t xml:space="preserve">Suspected </w:t>
            </w:r>
            <w:r w:rsidR="00312B99" w:rsidRPr="00D326F8">
              <w:t>u</w:t>
            </w:r>
            <w:r w:rsidRPr="00D326F8">
              <w:t xml:space="preserve">nexpected </w:t>
            </w:r>
            <w:r w:rsidR="00312B99" w:rsidRPr="00D326F8">
              <w:t>s</w:t>
            </w:r>
            <w:r w:rsidRPr="00D326F8">
              <w:t xml:space="preserve">erious </w:t>
            </w:r>
            <w:r w:rsidR="00312B99" w:rsidRPr="00D326F8">
              <w:t>a</w:t>
            </w:r>
            <w:r w:rsidRPr="00D326F8">
              <w:t xml:space="preserve">dverse </w:t>
            </w:r>
            <w:r w:rsidR="00312B99" w:rsidRPr="00D326F8">
              <w:t>r</w:t>
            </w:r>
            <w:r w:rsidRPr="00D326F8">
              <w:t>eactions</w:t>
            </w:r>
          </w:p>
        </w:tc>
      </w:tr>
      <w:tr w:rsidR="003B74AE" w:rsidRPr="00D326F8" w14:paraId="601A8398" w14:textId="77777777" w:rsidTr="0085021F">
        <w:tc>
          <w:tcPr>
            <w:tcW w:w="848" w:type="pct"/>
          </w:tcPr>
          <w:p w14:paraId="601A8396" w14:textId="77777777" w:rsidR="00F90128" w:rsidRPr="00D326F8" w:rsidRDefault="003E23E4" w:rsidP="0085021F">
            <w:pPr>
              <w:pStyle w:val="BodyText"/>
              <w:spacing w:before="120"/>
            </w:pPr>
            <w:r w:rsidRPr="00D326F8">
              <w:t>TEAE</w:t>
            </w:r>
          </w:p>
        </w:tc>
        <w:tc>
          <w:tcPr>
            <w:tcW w:w="4152" w:type="pct"/>
          </w:tcPr>
          <w:p w14:paraId="601A8397" w14:textId="3107CE41" w:rsidR="00F90128" w:rsidRPr="00D326F8" w:rsidRDefault="003E23E4" w:rsidP="0085021F">
            <w:pPr>
              <w:pStyle w:val="BodyText"/>
              <w:spacing w:before="120"/>
            </w:pPr>
            <w:r w:rsidRPr="00D326F8">
              <w:t xml:space="preserve">Treatment-emergent </w:t>
            </w:r>
            <w:r w:rsidR="00312B99" w:rsidRPr="00D326F8">
              <w:t>a</w:t>
            </w:r>
            <w:r w:rsidRPr="00D326F8">
              <w:t xml:space="preserve">dverse </w:t>
            </w:r>
            <w:r w:rsidR="00312B99" w:rsidRPr="00D326F8">
              <w:t>events</w:t>
            </w:r>
          </w:p>
        </w:tc>
      </w:tr>
      <w:tr w:rsidR="003B74AE" w:rsidRPr="00D326F8" w14:paraId="018061C7" w14:textId="77777777" w:rsidTr="0085021F">
        <w:tc>
          <w:tcPr>
            <w:tcW w:w="848" w:type="pct"/>
          </w:tcPr>
          <w:p w14:paraId="1D569024" w14:textId="7144656C" w:rsidR="0035422C" w:rsidRPr="00D326F8" w:rsidRDefault="003E23E4" w:rsidP="0085021F">
            <w:pPr>
              <w:pStyle w:val="BodyText"/>
              <w:spacing w:before="120"/>
            </w:pPr>
            <w:bookmarkStart w:id="309" w:name="_Hlk77769983"/>
            <w:r w:rsidRPr="00D326F8">
              <w:t>TF1/TF2</w:t>
            </w:r>
          </w:p>
        </w:tc>
        <w:tc>
          <w:tcPr>
            <w:tcW w:w="4152" w:type="pct"/>
          </w:tcPr>
          <w:p w14:paraId="1CE46842" w14:textId="70934F5C" w:rsidR="0035422C" w:rsidRPr="00D326F8" w:rsidRDefault="003E23E4" w:rsidP="0085021F">
            <w:pPr>
              <w:pStyle w:val="BodyText"/>
              <w:spacing w:before="120"/>
            </w:pPr>
            <w:r w:rsidRPr="00D326F8">
              <w:t>Tablet formulation 1/Tablet formulation 2</w:t>
            </w:r>
          </w:p>
        </w:tc>
      </w:tr>
      <w:bookmarkEnd w:id="309"/>
      <w:tr w:rsidR="003B74AE" w:rsidRPr="00D326F8" w14:paraId="601A839B" w14:textId="77777777" w:rsidTr="0085021F">
        <w:tc>
          <w:tcPr>
            <w:tcW w:w="848" w:type="pct"/>
          </w:tcPr>
          <w:p w14:paraId="601A8399" w14:textId="77777777" w:rsidR="00312B99" w:rsidRPr="00D326F8" w:rsidRDefault="003E23E4" w:rsidP="0085021F">
            <w:pPr>
              <w:pStyle w:val="BodyText"/>
              <w:spacing w:before="120"/>
            </w:pPr>
            <w:r w:rsidRPr="00D326F8">
              <w:lastRenderedPageBreak/>
              <w:t>TSH</w:t>
            </w:r>
          </w:p>
        </w:tc>
        <w:tc>
          <w:tcPr>
            <w:tcW w:w="4152" w:type="pct"/>
          </w:tcPr>
          <w:p w14:paraId="601A839A" w14:textId="77777777" w:rsidR="00312B99" w:rsidRPr="00D326F8" w:rsidRDefault="003E23E4" w:rsidP="0085021F">
            <w:pPr>
              <w:pStyle w:val="BodyText"/>
              <w:spacing w:before="120"/>
            </w:pPr>
            <w:r w:rsidRPr="00D326F8">
              <w:t>Thyroid stimulating hormone</w:t>
            </w:r>
          </w:p>
        </w:tc>
      </w:tr>
      <w:tr w:rsidR="003B74AE" w:rsidRPr="00D326F8" w14:paraId="601A839E" w14:textId="77777777" w:rsidTr="0085021F">
        <w:tc>
          <w:tcPr>
            <w:tcW w:w="848" w:type="pct"/>
          </w:tcPr>
          <w:p w14:paraId="601A839C" w14:textId="77777777" w:rsidR="00F90128" w:rsidRPr="00D326F8" w:rsidRDefault="003E23E4" w:rsidP="0085021F">
            <w:pPr>
              <w:pStyle w:val="BodyText"/>
              <w:spacing w:before="120"/>
            </w:pPr>
            <w:r w:rsidRPr="00D326F8">
              <w:t>ULN</w:t>
            </w:r>
          </w:p>
        </w:tc>
        <w:tc>
          <w:tcPr>
            <w:tcW w:w="4152" w:type="pct"/>
          </w:tcPr>
          <w:p w14:paraId="601A839D" w14:textId="77777777" w:rsidR="00F90128" w:rsidRPr="00D326F8" w:rsidRDefault="003E23E4" w:rsidP="0085021F">
            <w:pPr>
              <w:pStyle w:val="BodyText"/>
              <w:spacing w:before="120"/>
            </w:pPr>
            <w:r w:rsidRPr="00D326F8">
              <w:t xml:space="preserve">Upper </w:t>
            </w:r>
            <w:r w:rsidR="00312B99" w:rsidRPr="00D326F8">
              <w:t>l</w:t>
            </w:r>
            <w:r w:rsidRPr="00D326F8">
              <w:t xml:space="preserve">imit of </w:t>
            </w:r>
            <w:r w:rsidR="00312B99" w:rsidRPr="00D326F8">
              <w:t>n</w:t>
            </w:r>
            <w:r w:rsidRPr="00D326F8">
              <w:t>ormal</w:t>
            </w:r>
          </w:p>
        </w:tc>
      </w:tr>
      <w:tr w:rsidR="003B74AE" w:rsidRPr="00D326F8" w14:paraId="601A83A1" w14:textId="77777777" w:rsidTr="0085021F">
        <w:tc>
          <w:tcPr>
            <w:tcW w:w="848" w:type="pct"/>
          </w:tcPr>
          <w:p w14:paraId="601A839F" w14:textId="77777777" w:rsidR="00F90128" w:rsidRPr="00D326F8" w:rsidRDefault="003E23E4" w:rsidP="0085021F">
            <w:pPr>
              <w:pStyle w:val="BodyText"/>
              <w:spacing w:before="120"/>
            </w:pPr>
            <w:r w:rsidRPr="00D326F8">
              <w:t>US</w:t>
            </w:r>
          </w:p>
        </w:tc>
        <w:tc>
          <w:tcPr>
            <w:tcW w:w="4152" w:type="pct"/>
          </w:tcPr>
          <w:p w14:paraId="601A83A0" w14:textId="77777777" w:rsidR="00F90128" w:rsidRPr="00D326F8" w:rsidRDefault="003E23E4" w:rsidP="0085021F">
            <w:pPr>
              <w:pStyle w:val="BodyText"/>
              <w:spacing w:before="120"/>
            </w:pPr>
            <w:r w:rsidRPr="00D326F8">
              <w:t>United States</w:t>
            </w:r>
          </w:p>
        </w:tc>
      </w:tr>
      <w:tr w:rsidR="003B74AE" w:rsidRPr="00D326F8" w14:paraId="601A83A4" w14:textId="77777777" w:rsidTr="0085021F">
        <w:tc>
          <w:tcPr>
            <w:tcW w:w="848" w:type="pct"/>
          </w:tcPr>
          <w:p w14:paraId="601A83A2" w14:textId="77777777" w:rsidR="00F90128" w:rsidRPr="00D326F8" w:rsidRDefault="003E23E4" w:rsidP="0085021F">
            <w:pPr>
              <w:pStyle w:val="BodyText"/>
              <w:spacing w:before="120"/>
            </w:pPr>
            <w:r w:rsidRPr="00D326F8">
              <w:t>USPI</w:t>
            </w:r>
          </w:p>
        </w:tc>
        <w:tc>
          <w:tcPr>
            <w:tcW w:w="4152" w:type="pct"/>
          </w:tcPr>
          <w:p w14:paraId="601A83A3" w14:textId="06D9FBBF" w:rsidR="00F90128" w:rsidRPr="00D326F8" w:rsidRDefault="003E23E4" w:rsidP="0085021F">
            <w:pPr>
              <w:pStyle w:val="BodyText"/>
              <w:spacing w:before="120"/>
            </w:pPr>
            <w:r w:rsidRPr="00D326F8">
              <w:t xml:space="preserve">United States </w:t>
            </w:r>
            <w:r w:rsidR="006028E7">
              <w:t>p</w:t>
            </w:r>
            <w:r w:rsidRPr="00D326F8">
              <w:t xml:space="preserve">rescribing </w:t>
            </w:r>
            <w:r w:rsidR="006028E7">
              <w:t>i</w:t>
            </w:r>
            <w:r w:rsidRPr="00D326F8">
              <w:t>nformation</w:t>
            </w:r>
          </w:p>
        </w:tc>
      </w:tr>
      <w:tr w:rsidR="003B74AE" w:rsidRPr="00D326F8" w14:paraId="601A83A7" w14:textId="77777777" w:rsidTr="0085021F">
        <w:tc>
          <w:tcPr>
            <w:tcW w:w="848" w:type="pct"/>
          </w:tcPr>
          <w:p w14:paraId="601A83A5" w14:textId="77777777" w:rsidR="00F90128" w:rsidRPr="00D326F8" w:rsidRDefault="003E23E4" w:rsidP="0085021F">
            <w:pPr>
              <w:pStyle w:val="BodyText"/>
              <w:spacing w:before="120"/>
            </w:pPr>
            <w:r w:rsidRPr="00D326F8">
              <w:t>WHO</w:t>
            </w:r>
          </w:p>
        </w:tc>
        <w:tc>
          <w:tcPr>
            <w:tcW w:w="4152" w:type="pct"/>
          </w:tcPr>
          <w:p w14:paraId="601A83A6" w14:textId="77777777" w:rsidR="00F90128" w:rsidRPr="00D326F8" w:rsidRDefault="003E23E4" w:rsidP="0085021F">
            <w:pPr>
              <w:pStyle w:val="BodyText"/>
              <w:spacing w:before="120"/>
            </w:pPr>
            <w:r w:rsidRPr="00D326F8">
              <w:t>World Health Organization</w:t>
            </w:r>
          </w:p>
        </w:tc>
      </w:tr>
      <w:tr w:rsidR="003B74AE" w:rsidRPr="00D326F8" w14:paraId="601A83AA" w14:textId="77777777" w:rsidTr="0085021F">
        <w:tc>
          <w:tcPr>
            <w:tcW w:w="848" w:type="pct"/>
          </w:tcPr>
          <w:p w14:paraId="601A83A8" w14:textId="77777777" w:rsidR="00F90128" w:rsidRPr="00D326F8" w:rsidRDefault="003E23E4" w:rsidP="0085021F">
            <w:pPr>
              <w:pStyle w:val="BodyText"/>
              <w:spacing w:before="120"/>
            </w:pPr>
            <w:r w:rsidRPr="00D326F8">
              <w:t>WOCBP</w:t>
            </w:r>
          </w:p>
        </w:tc>
        <w:tc>
          <w:tcPr>
            <w:tcW w:w="4152" w:type="pct"/>
          </w:tcPr>
          <w:p w14:paraId="601A83A9" w14:textId="77777777" w:rsidR="00F90128" w:rsidRPr="00D326F8" w:rsidRDefault="003E23E4" w:rsidP="0085021F">
            <w:pPr>
              <w:pStyle w:val="BodyText"/>
              <w:spacing w:before="120"/>
            </w:pPr>
            <w:r w:rsidRPr="00D326F8">
              <w:t xml:space="preserve">Woman of </w:t>
            </w:r>
            <w:r w:rsidR="00312B99" w:rsidRPr="00D326F8">
              <w:t>c</w:t>
            </w:r>
            <w:r w:rsidRPr="00D326F8">
              <w:t>hild</w:t>
            </w:r>
            <w:r w:rsidR="00312B99" w:rsidRPr="00D326F8">
              <w:t>-</w:t>
            </w:r>
            <w:r w:rsidRPr="00D326F8">
              <w:t xml:space="preserve">bearing </w:t>
            </w:r>
            <w:r w:rsidR="00312B99" w:rsidRPr="00D326F8">
              <w:t>p</w:t>
            </w:r>
            <w:r w:rsidRPr="00D326F8">
              <w:t>otential</w:t>
            </w:r>
          </w:p>
        </w:tc>
      </w:tr>
    </w:tbl>
    <w:p w14:paraId="601A83AB" w14:textId="77777777" w:rsidR="005971DC" w:rsidRPr="00D326F8" w:rsidRDefault="003E23E4" w:rsidP="00AD35DC">
      <w:pPr>
        <w:pStyle w:val="Heading1"/>
        <w:pageBreakBefore/>
        <w:numPr>
          <w:ilvl w:val="0"/>
          <w:numId w:val="0"/>
        </w:numPr>
        <w:tabs>
          <w:tab w:val="left" w:pos="1985"/>
        </w:tabs>
      </w:pPr>
      <w:bookmarkStart w:id="310" w:name="_Appendix_2_Study"/>
      <w:bookmarkStart w:id="311" w:name="_Ref3990019"/>
      <w:bookmarkStart w:id="312" w:name="_Ref3990063"/>
      <w:bookmarkStart w:id="313" w:name="_Ref3990097"/>
      <w:bookmarkStart w:id="314" w:name="_Ref3990173"/>
      <w:bookmarkStart w:id="315" w:name="_Ref63944196"/>
      <w:bookmarkStart w:id="316" w:name="_Toc77839792"/>
      <w:bookmarkStart w:id="317" w:name="_Hlk496177650"/>
      <w:bookmarkEnd w:id="310"/>
      <w:r w:rsidRPr="00D326F8">
        <w:lastRenderedPageBreak/>
        <w:t xml:space="preserve">Appendix </w:t>
      </w:r>
      <w:r w:rsidR="00DC0DC8" w:rsidRPr="00D326F8">
        <w:t>2</w:t>
      </w:r>
      <w:r w:rsidRPr="00D326F8">
        <w:tab/>
        <w:t>Study Governance</w:t>
      </w:r>
      <w:bookmarkEnd w:id="311"/>
      <w:bookmarkEnd w:id="312"/>
      <w:bookmarkEnd w:id="313"/>
      <w:bookmarkEnd w:id="314"/>
      <w:bookmarkEnd w:id="315"/>
      <w:bookmarkEnd w:id="316"/>
    </w:p>
    <w:bookmarkEnd w:id="317"/>
    <w:p w14:paraId="601A83AC" w14:textId="77777777" w:rsidR="005971DC" w:rsidRPr="00D326F8" w:rsidRDefault="003E23E4" w:rsidP="005971DC">
      <w:pPr>
        <w:pStyle w:val="BodyText"/>
        <w:rPr>
          <w:b/>
        </w:rPr>
      </w:pPr>
      <w:r w:rsidRPr="00D326F8">
        <w:rPr>
          <w:b/>
        </w:rPr>
        <w:t>Financial Disclosure</w:t>
      </w:r>
    </w:p>
    <w:p w14:paraId="601A83AD" w14:textId="77777777" w:rsidR="005971DC" w:rsidRPr="00D326F8" w:rsidRDefault="003E23E4" w:rsidP="00EB1635">
      <w:pPr>
        <w:pStyle w:val="List1withbullet"/>
        <w:ind w:left="357" w:hanging="357"/>
      </w:pPr>
      <w:r w:rsidRPr="00D326F8">
        <w:t xml:space="preserve">Investigators and Sub-Investigators will provide the Sponsor with </w:t>
      </w:r>
      <w:r w:rsidR="0044216E" w:rsidRPr="00D326F8">
        <w:t>sufficient</w:t>
      </w:r>
      <w:r w:rsidRPr="00D326F8">
        <w:t>, accurate financial information, as requested, for the Sponsor to submit complete and accurate financial certification or disclosure statements to the appropriate regulatory authorities. This information is required during the study and for 1 year after completion of the study.</w:t>
      </w:r>
    </w:p>
    <w:p w14:paraId="601A83AE" w14:textId="77777777" w:rsidR="005971DC" w:rsidRPr="00D326F8" w:rsidRDefault="003E23E4" w:rsidP="005971DC">
      <w:pPr>
        <w:pStyle w:val="BodyText"/>
        <w:rPr>
          <w:b/>
        </w:rPr>
      </w:pPr>
      <w:r w:rsidRPr="00D326F8">
        <w:rPr>
          <w:b/>
        </w:rPr>
        <w:t>Informed Consent Process</w:t>
      </w:r>
    </w:p>
    <w:p w14:paraId="601A83AF" w14:textId="77777777" w:rsidR="005971DC" w:rsidRPr="00D326F8" w:rsidRDefault="003E23E4" w:rsidP="00EB1635">
      <w:pPr>
        <w:pStyle w:val="List1withbullet"/>
        <w:ind w:left="357" w:hanging="357"/>
      </w:pPr>
      <w:r w:rsidRPr="00D326F8">
        <w:t xml:space="preserve">The Investigator or his/her representative will explain the nature of the study to the participant or his/her legally authorized representative </w:t>
      </w:r>
      <w:bookmarkStart w:id="318" w:name="_Hlk61614164"/>
      <w:r w:rsidR="007005E9" w:rsidRPr="00D326F8">
        <w:t>(where allowed by local laws and regulations)</w:t>
      </w:r>
      <w:r w:rsidR="007C20A1" w:rsidRPr="00D326F8">
        <w:t xml:space="preserve"> </w:t>
      </w:r>
      <w:bookmarkEnd w:id="318"/>
      <w:r w:rsidRPr="00D326F8">
        <w:t>and answer all questions on the study.</w:t>
      </w:r>
    </w:p>
    <w:p w14:paraId="601A83B0" w14:textId="77777777" w:rsidR="005971DC" w:rsidRPr="00D326F8" w:rsidRDefault="003E23E4" w:rsidP="00EB1635">
      <w:pPr>
        <w:pStyle w:val="List1withbullet"/>
        <w:ind w:left="357" w:hanging="357"/>
      </w:pPr>
      <w:r w:rsidRPr="00D326F8">
        <w:t xml:space="preserve">Participants </w:t>
      </w:r>
      <w:r w:rsidR="00DE57D7" w:rsidRPr="00D326F8">
        <w:t>will</w:t>
      </w:r>
      <w:r w:rsidRPr="00D326F8">
        <w:t xml:space="preserve"> be informed that their participation is voluntary.</w:t>
      </w:r>
    </w:p>
    <w:p w14:paraId="601A83B1" w14:textId="77777777" w:rsidR="005971DC" w:rsidRPr="00D326F8" w:rsidRDefault="003E23E4" w:rsidP="00EB1635">
      <w:pPr>
        <w:pStyle w:val="List1withbullet"/>
        <w:ind w:left="357" w:hanging="357"/>
      </w:pPr>
      <w:r w:rsidRPr="00D326F8">
        <w:t xml:space="preserve">Participants or their </w:t>
      </w:r>
      <w:proofErr w:type="gramStart"/>
      <w:r w:rsidRPr="00D326F8">
        <w:t>legally-authorized</w:t>
      </w:r>
      <w:proofErr w:type="gramEnd"/>
      <w:r w:rsidRPr="00D326F8">
        <w:t xml:space="preserve"> representative</w:t>
      </w:r>
      <w:r w:rsidR="007C20A1" w:rsidRPr="00D326F8">
        <w:t xml:space="preserve"> (where allowed by local laws and regulations) </w:t>
      </w:r>
      <w:r w:rsidRPr="00D326F8">
        <w:t>will be required to sign a statement of informed consent that meets the requirements of 21 CFR 50; local regulations; ICH guidelines; HIPAA requirements, where applicable; and the IRB/IEC or study center.</w:t>
      </w:r>
    </w:p>
    <w:p w14:paraId="601A83B2" w14:textId="77777777" w:rsidR="005971DC" w:rsidRPr="00D326F8" w:rsidRDefault="003E23E4" w:rsidP="00EB1635">
      <w:pPr>
        <w:pStyle w:val="List1withbullet"/>
        <w:ind w:left="357" w:hanging="357"/>
      </w:pPr>
      <w:r w:rsidRPr="00D326F8">
        <w:t xml:space="preserve">The medical record </w:t>
      </w:r>
      <w:r w:rsidR="00DE57D7" w:rsidRPr="00D326F8">
        <w:t>will</w:t>
      </w:r>
      <w:r w:rsidRPr="00D326F8">
        <w:t xml:space="preserve"> include a statement that written informed consent was obtained before the participant was enrolled in the study and the date the written consent was obtained. The authorized person obtaining the informed consent </w:t>
      </w:r>
      <w:r w:rsidR="00DE57D7" w:rsidRPr="00D326F8">
        <w:t>will</w:t>
      </w:r>
      <w:r w:rsidRPr="00D326F8">
        <w:t xml:space="preserve"> also sign the ICF.</w:t>
      </w:r>
    </w:p>
    <w:p w14:paraId="601A83B3" w14:textId="2BCF5B5B" w:rsidR="005971DC" w:rsidRPr="00D326F8" w:rsidRDefault="003E23E4" w:rsidP="00EB1635">
      <w:pPr>
        <w:pStyle w:val="List1withbullet"/>
        <w:ind w:left="357" w:hanging="357"/>
      </w:pPr>
      <w:r w:rsidRPr="00D326F8">
        <w:t xml:space="preserve">If the ICF is updated during their participation in the study, participants </w:t>
      </w:r>
      <w:r w:rsidR="00DE57D7" w:rsidRPr="00D326F8">
        <w:t>will</w:t>
      </w:r>
      <w:r w:rsidRPr="00D326F8">
        <w:t xml:space="preserve"> be reconsented to the most current, approved version.</w:t>
      </w:r>
    </w:p>
    <w:p w14:paraId="601A83B4" w14:textId="77777777" w:rsidR="005971DC" w:rsidRPr="00D326F8" w:rsidRDefault="003E23E4" w:rsidP="005971DC">
      <w:pPr>
        <w:pStyle w:val="BodyText"/>
        <w:rPr>
          <w:b/>
        </w:rPr>
      </w:pPr>
      <w:bookmarkStart w:id="319" w:name="_Hlk496177695"/>
      <w:r w:rsidRPr="00D326F8">
        <w:rPr>
          <w:b/>
        </w:rPr>
        <w:t>Data Protection</w:t>
      </w:r>
    </w:p>
    <w:p w14:paraId="601A83B5" w14:textId="77777777" w:rsidR="005971DC" w:rsidRPr="00D326F8" w:rsidRDefault="003E23E4" w:rsidP="00EB1635">
      <w:pPr>
        <w:pStyle w:val="List1withbullet"/>
        <w:ind w:left="357" w:hanging="357"/>
      </w:pPr>
      <w:r w:rsidRPr="00D326F8">
        <w:t xml:space="preserve">The Sponsor will assign a unique identifier to participants after obtaining their informed consent. </w:t>
      </w:r>
      <w:r w:rsidR="002F18ED" w:rsidRPr="00D326F8">
        <w:t xml:space="preserve">Any </w:t>
      </w:r>
      <w:r w:rsidRPr="00D326F8">
        <w:t xml:space="preserve">participant records or datasets </w:t>
      </w:r>
      <w:r w:rsidR="002F18ED" w:rsidRPr="00D326F8">
        <w:t xml:space="preserve">that are </w:t>
      </w:r>
      <w:r w:rsidRPr="00D326F8">
        <w:t>transferred to the Sponsor will contain the identifier only; participant names or any identifiable information will not be transferred.</w:t>
      </w:r>
    </w:p>
    <w:p w14:paraId="601A83B6" w14:textId="77777777" w:rsidR="005971DC" w:rsidRPr="00D326F8" w:rsidRDefault="003E23E4" w:rsidP="00EB1635">
      <w:pPr>
        <w:pStyle w:val="List1withbullet"/>
        <w:ind w:left="357" w:hanging="357"/>
      </w:pPr>
      <w:r w:rsidRPr="00D326F8">
        <w:t xml:space="preserve">The Sponsor </w:t>
      </w:r>
      <w:r w:rsidR="00DE57D7" w:rsidRPr="00D326F8">
        <w:t>will</w:t>
      </w:r>
      <w:r w:rsidRPr="00D326F8">
        <w:t xml:space="preserve"> inform participants that their personal study-related data will be used per local data protection and privacy laws. The level of disclosure </w:t>
      </w:r>
      <w:r w:rsidR="00DE57D7" w:rsidRPr="00D326F8">
        <w:t>will</w:t>
      </w:r>
      <w:r w:rsidRPr="00D326F8">
        <w:t xml:space="preserve"> also be explained to the participant</w:t>
      </w:r>
      <w:r w:rsidR="00CF1A6E" w:rsidRPr="00D326F8">
        <w:t xml:space="preserve"> and pregnant partners (if applicable)</w:t>
      </w:r>
      <w:r w:rsidR="002F18ED" w:rsidRPr="00D326F8">
        <w:t>, who will be required to give consent for their data to be used, as specified in the informed consent</w:t>
      </w:r>
      <w:r w:rsidRPr="00D326F8">
        <w:t>.</w:t>
      </w:r>
    </w:p>
    <w:p w14:paraId="601A83B7" w14:textId="77777777" w:rsidR="005971DC" w:rsidRPr="00D326F8" w:rsidRDefault="003E23E4" w:rsidP="00EB1635">
      <w:pPr>
        <w:pStyle w:val="List1withbullet"/>
        <w:ind w:left="357" w:hanging="357"/>
      </w:pPr>
      <w:r w:rsidRPr="00D326F8">
        <w:t xml:space="preserve">The participant </w:t>
      </w:r>
      <w:r w:rsidR="00DE57D7" w:rsidRPr="00D326F8">
        <w:t>will</w:t>
      </w:r>
      <w:r w:rsidRPr="00D326F8">
        <w:t xml:space="preserve"> be informed that his/her medical records may be examined by Clinical Quality Assurance auditors or other Sponsor-appointed, authorized personnel, by appropriate IRB/IEC members, and by regulatory authority inspectors.  All such persons will strictly maintain participants’ confidentiality.</w:t>
      </w:r>
    </w:p>
    <w:bookmarkEnd w:id="319"/>
    <w:p w14:paraId="601A83B8" w14:textId="77777777" w:rsidR="005971DC" w:rsidRPr="00D326F8" w:rsidRDefault="003E23E4" w:rsidP="005971DC">
      <w:pPr>
        <w:pStyle w:val="BodyText"/>
        <w:rPr>
          <w:b/>
        </w:rPr>
      </w:pPr>
      <w:r w:rsidRPr="00D326F8">
        <w:rPr>
          <w:b/>
        </w:rPr>
        <w:t>Study Administrative</w:t>
      </w:r>
    </w:p>
    <w:p w14:paraId="601A83B9" w14:textId="77777777" w:rsidR="005971DC" w:rsidRPr="00D326F8" w:rsidRDefault="003E23E4" w:rsidP="00EB1635">
      <w:pPr>
        <w:pStyle w:val="List1withbullet"/>
        <w:ind w:left="357" w:hanging="357"/>
      </w:pPr>
      <w:r w:rsidRPr="00D326F8">
        <w:t xml:space="preserve">The Principal Investigator listed on the title page represents all Investigators for decisions and discussions on this study, per ICH GCP. The </w:t>
      </w:r>
      <w:r w:rsidR="00295F32" w:rsidRPr="00D326F8">
        <w:t>Principal</w:t>
      </w:r>
      <w:r w:rsidRPr="00D326F8">
        <w:t xml:space="preserve"> Investigator will provide expert medical input and advice on the study design and execution and is responsible for the review and signoff of the clinical study report.</w:t>
      </w:r>
    </w:p>
    <w:p w14:paraId="601A83BA" w14:textId="77777777" w:rsidR="00224784" w:rsidRPr="00D326F8" w:rsidRDefault="003E23E4" w:rsidP="00EB1635">
      <w:pPr>
        <w:pStyle w:val="List1withbullet"/>
        <w:ind w:left="357" w:hanging="357"/>
      </w:pPr>
      <w:r w:rsidRPr="00D326F8">
        <w:lastRenderedPageBreak/>
        <w:t>The study will be conducted at a single center, the Clinical Pharmacology Unit of Nuvisan GmbH, Neu-Ulm, Germany. Nuvisan GmbH will be responsible for the following activities:</w:t>
      </w:r>
    </w:p>
    <w:p w14:paraId="601A83BB" w14:textId="77777777" w:rsidR="00224784" w:rsidRPr="00D326F8" w:rsidRDefault="003E23E4" w:rsidP="00412A63">
      <w:pPr>
        <w:pStyle w:val="List1withbullet"/>
        <w:ind w:left="993" w:hanging="426"/>
      </w:pPr>
      <w:r w:rsidRPr="00D326F8">
        <w:t>Clinical conduct and laboratory services</w:t>
      </w:r>
    </w:p>
    <w:p w14:paraId="601A83BC" w14:textId="77777777" w:rsidR="00224784" w:rsidRPr="00D326F8" w:rsidRDefault="003E23E4" w:rsidP="00412A63">
      <w:pPr>
        <w:pStyle w:val="List1withbullet"/>
        <w:ind w:left="993" w:hanging="426"/>
      </w:pPr>
      <w:r w:rsidRPr="00D326F8">
        <w:t>Data management</w:t>
      </w:r>
    </w:p>
    <w:p w14:paraId="601A83BD" w14:textId="77777777" w:rsidR="00224784" w:rsidRPr="00D326F8" w:rsidRDefault="003E23E4" w:rsidP="00412A63">
      <w:pPr>
        <w:pStyle w:val="List1withbullet"/>
        <w:ind w:left="993" w:hanging="426"/>
      </w:pPr>
      <w:r w:rsidRPr="00D326F8">
        <w:t>Statistical programming and analysis</w:t>
      </w:r>
    </w:p>
    <w:p w14:paraId="601A83BE" w14:textId="77777777" w:rsidR="00224784" w:rsidRPr="00D326F8" w:rsidRDefault="003E23E4" w:rsidP="00412A63">
      <w:pPr>
        <w:pStyle w:val="List1withbullet"/>
        <w:ind w:left="993" w:hanging="426"/>
      </w:pPr>
      <w:r w:rsidRPr="00D326F8">
        <w:t>PK analysis</w:t>
      </w:r>
    </w:p>
    <w:p w14:paraId="601A83BF" w14:textId="77777777" w:rsidR="00224784" w:rsidRPr="00D326F8" w:rsidRDefault="003E23E4" w:rsidP="00412A63">
      <w:pPr>
        <w:pStyle w:val="List1withbullet"/>
        <w:ind w:left="993" w:hanging="426"/>
      </w:pPr>
      <w:r w:rsidRPr="00D326F8">
        <w:t>Medical writing</w:t>
      </w:r>
    </w:p>
    <w:p w14:paraId="601A83C0" w14:textId="77777777" w:rsidR="00224784" w:rsidRPr="00D326F8" w:rsidRDefault="003E23E4" w:rsidP="00412A63">
      <w:pPr>
        <w:pStyle w:val="List1withbullet"/>
        <w:ind w:left="993" w:hanging="426"/>
      </w:pPr>
      <w:r w:rsidRPr="00D326F8">
        <w:t>Independent monitoring</w:t>
      </w:r>
    </w:p>
    <w:p w14:paraId="601A83C1" w14:textId="77777777" w:rsidR="00224784" w:rsidRPr="00D326F8" w:rsidRDefault="003E23E4" w:rsidP="00412A63">
      <w:pPr>
        <w:pStyle w:val="List1withbullet"/>
        <w:ind w:left="993" w:hanging="426"/>
      </w:pPr>
      <w:r w:rsidRPr="00D326F8">
        <w:t>Medical monitoring</w:t>
      </w:r>
    </w:p>
    <w:p w14:paraId="601A83C2" w14:textId="77777777" w:rsidR="00224784" w:rsidRPr="00D326F8" w:rsidRDefault="003E23E4" w:rsidP="00412A63">
      <w:pPr>
        <w:pStyle w:val="List1withbullet"/>
        <w:ind w:left="993" w:hanging="426"/>
      </w:pPr>
      <w:r w:rsidRPr="00D326F8">
        <w:t>Project management</w:t>
      </w:r>
    </w:p>
    <w:p w14:paraId="601A83C3" w14:textId="77777777" w:rsidR="00224784" w:rsidRPr="00D326F8" w:rsidRDefault="003E23E4" w:rsidP="00412A63">
      <w:pPr>
        <w:pStyle w:val="List1withbullet"/>
        <w:ind w:left="993" w:hanging="426"/>
      </w:pPr>
      <w:r w:rsidRPr="00D326F8">
        <w:t>Regulatory services</w:t>
      </w:r>
    </w:p>
    <w:p w14:paraId="601A83C4" w14:textId="77777777" w:rsidR="00224784" w:rsidRPr="00D326F8" w:rsidRDefault="003E23E4" w:rsidP="00412A63">
      <w:pPr>
        <w:pStyle w:val="List1withbullet"/>
        <w:ind w:left="357" w:hanging="357"/>
      </w:pPr>
      <w:r w:rsidRPr="00D326F8">
        <w:t xml:space="preserve">Clinical trial supplies will be </w:t>
      </w:r>
      <w:r w:rsidR="001C40A9" w:rsidRPr="00D326F8">
        <w:t>provided</w:t>
      </w:r>
      <w:r w:rsidR="002B7E0B" w:rsidRPr="00D326F8">
        <w:t xml:space="preserve"> </w:t>
      </w:r>
      <w:r w:rsidRPr="00D326F8">
        <w:t xml:space="preserve">by </w:t>
      </w:r>
      <w:r w:rsidR="002B7E0B" w:rsidRPr="00D326F8">
        <w:t xml:space="preserve">the </w:t>
      </w:r>
      <w:r w:rsidR="00F824DA" w:rsidRPr="00D326F8">
        <w:t>S</w:t>
      </w:r>
      <w:r w:rsidR="002B7E0B" w:rsidRPr="00D326F8">
        <w:t>ponsor</w:t>
      </w:r>
      <w:r w:rsidRPr="00D326F8">
        <w:t>.</w:t>
      </w:r>
    </w:p>
    <w:p w14:paraId="601A83C5" w14:textId="77777777" w:rsidR="005971DC" w:rsidRPr="00D326F8" w:rsidRDefault="003E23E4" w:rsidP="00412A63">
      <w:pPr>
        <w:pStyle w:val="List1withbullet"/>
        <w:ind w:left="357" w:hanging="357"/>
      </w:pPr>
      <w:r w:rsidRPr="00D326F8">
        <w:t xml:space="preserve">Details of structures and associated procedures will be defined in a separate </w:t>
      </w:r>
      <w:r w:rsidR="00EC735B" w:rsidRPr="00D326F8">
        <w:t>manual</w:t>
      </w:r>
      <w:r w:rsidRPr="00D326F8">
        <w:t>.</w:t>
      </w:r>
    </w:p>
    <w:p w14:paraId="601A83C6" w14:textId="77777777" w:rsidR="005971DC" w:rsidRPr="00D326F8" w:rsidRDefault="003E23E4" w:rsidP="005971DC">
      <w:pPr>
        <w:pStyle w:val="BodyText"/>
        <w:rPr>
          <w:b/>
        </w:rPr>
      </w:pPr>
      <w:r w:rsidRPr="00D326F8">
        <w:rPr>
          <w:b/>
        </w:rPr>
        <w:t>Regulatory and Ethical Considerations</w:t>
      </w:r>
    </w:p>
    <w:p w14:paraId="601A83C7" w14:textId="77777777" w:rsidR="005971DC" w:rsidRPr="00D326F8" w:rsidRDefault="003E23E4" w:rsidP="00412A63">
      <w:pPr>
        <w:pStyle w:val="List1withbullet"/>
        <w:ind w:left="357" w:hanging="357"/>
      </w:pPr>
      <w:r w:rsidRPr="00D326F8">
        <w:t>This study will be conducted in accordance with the protocol and the following:</w:t>
      </w:r>
    </w:p>
    <w:p w14:paraId="601A83C8" w14:textId="77777777" w:rsidR="005971DC" w:rsidRPr="00D326F8" w:rsidRDefault="003E23E4" w:rsidP="00412A63">
      <w:pPr>
        <w:pStyle w:val="List1withbullet"/>
        <w:ind w:left="993" w:hanging="426"/>
      </w:pPr>
      <w:r w:rsidRPr="00D326F8">
        <w:t>Consensus ethical principles derived from international guidelines, including the Declaration of Helsinki and CIOMS International Ethical Guidelines</w:t>
      </w:r>
    </w:p>
    <w:p w14:paraId="601A83C9" w14:textId="77777777" w:rsidR="005971DC" w:rsidRPr="00D326F8" w:rsidRDefault="003E23E4" w:rsidP="00412A63">
      <w:pPr>
        <w:pStyle w:val="List1withbullet"/>
        <w:ind w:left="993" w:hanging="426"/>
      </w:pPr>
      <w:r w:rsidRPr="00D326F8">
        <w:t>Applicable ICH GCP Guidelines</w:t>
      </w:r>
    </w:p>
    <w:p w14:paraId="601A83CA" w14:textId="77777777" w:rsidR="005971DC" w:rsidRPr="00D326F8" w:rsidRDefault="003E23E4" w:rsidP="00412A63">
      <w:pPr>
        <w:pStyle w:val="List1withbullet"/>
        <w:ind w:left="993" w:hanging="426"/>
      </w:pPr>
      <w:r w:rsidRPr="00D326F8">
        <w:t>Applicable laws and regulations</w:t>
      </w:r>
    </w:p>
    <w:p w14:paraId="601A83CB" w14:textId="77777777" w:rsidR="005971DC" w:rsidRPr="00D326F8" w:rsidRDefault="003E23E4" w:rsidP="00412A63">
      <w:pPr>
        <w:pStyle w:val="List1withbullet"/>
        <w:ind w:left="357" w:hanging="357"/>
      </w:pPr>
      <w:r w:rsidRPr="00D326F8">
        <w:t xml:space="preserve">The protocol, protocol amendments (if applicable), ICF, Investigator Brochure, and other relevant documents (e.g., advertisements) </w:t>
      </w:r>
      <w:r w:rsidR="00D80FAD" w:rsidRPr="00D326F8">
        <w:t xml:space="preserve">will be submitted </w:t>
      </w:r>
      <w:r w:rsidRPr="00D326F8">
        <w:t>to an IRB/IEC</w:t>
      </w:r>
      <w:r w:rsidR="00D80FAD" w:rsidRPr="00D326F8">
        <w:t xml:space="preserve"> for </w:t>
      </w:r>
      <w:r w:rsidRPr="00D326F8">
        <w:t>review and approve before the study is initiated.</w:t>
      </w:r>
    </w:p>
    <w:p w14:paraId="601A83CC" w14:textId="77777777" w:rsidR="005971DC" w:rsidRPr="00D326F8" w:rsidRDefault="003E23E4" w:rsidP="00412A63">
      <w:pPr>
        <w:pStyle w:val="List1withbullet"/>
        <w:ind w:left="357" w:hanging="357"/>
      </w:pPr>
      <w:r w:rsidRPr="00D326F8">
        <w:t>Any protocol amendments (i.e., changes to the protocol) will be documented in writing and require IRB/IEC approval before implementation of changes, except for changes necessary to eliminate an immediate hazard to study participants. When applicable, amendments will be submitted to the appropriate Health Authorities.</w:t>
      </w:r>
    </w:p>
    <w:p w14:paraId="601A83CD" w14:textId="77777777" w:rsidR="005971DC" w:rsidRPr="00D326F8" w:rsidRDefault="003E23E4" w:rsidP="00412A63">
      <w:pPr>
        <w:pStyle w:val="List1withbullet"/>
        <w:ind w:left="357" w:hanging="357"/>
      </w:pPr>
      <w:r w:rsidRPr="00D326F8">
        <w:t>The protocol and any applicable documentation will be submitted or notified to the Health Authorities in accordance with all local and national regulations for each site.</w:t>
      </w:r>
    </w:p>
    <w:p w14:paraId="601A83CE" w14:textId="77777777" w:rsidR="005971DC" w:rsidRPr="00D326F8" w:rsidRDefault="003E23E4" w:rsidP="005971DC">
      <w:pPr>
        <w:pStyle w:val="BodyText"/>
        <w:rPr>
          <w:b/>
        </w:rPr>
      </w:pPr>
      <w:r w:rsidRPr="00D326F8">
        <w:rPr>
          <w:b/>
        </w:rPr>
        <w:t>Emergency Medical Support</w:t>
      </w:r>
    </w:p>
    <w:p w14:paraId="601A83CF" w14:textId="77777777" w:rsidR="005971DC" w:rsidRPr="00D326F8" w:rsidRDefault="003E23E4" w:rsidP="00412A63">
      <w:pPr>
        <w:pStyle w:val="List1withbullet"/>
        <w:ind w:left="357" w:hanging="357"/>
      </w:pPr>
      <w:r w:rsidRPr="00D326F8">
        <w:t>The Sponsor or designee will provide Emergency Medical Support cards to participants for use during the study. These provide the means for participants to identify themselves as participating in a clinical study. Also, these give health care providers access to any information about this participation that may be needed to determine the course of medical treatment for the participant. The information on the Emergency Medical Support card may include the process for emergency unblinding (if applicable).</w:t>
      </w:r>
    </w:p>
    <w:p w14:paraId="601A83D0" w14:textId="73F84619" w:rsidR="005971DC" w:rsidRPr="00D326F8" w:rsidRDefault="003E23E4" w:rsidP="00412A63">
      <w:pPr>
        <w:pStyle w:val="List1withbullet"/>
        <w:ind w:left="357" w:hanging="357"/>
      </w:pPr>
      <w:r w:rsidRPr="00D326F8">
        <w:lastRenderedPageBreak/>
        <w:t>The first point of contact for all emergencies will be the clinical study Investigator caring for the participant. Consequently, the Investigator agrees to provide his or her emergency contact information on the card. If the Investigator is available when an event occurs, they will answer any questions. Any subsequent action (e.g., unblinding) will follow the standard process established for Investigators.</w:t>
      </w:r>
    </w:p>
    <w:p w14:paraId="601A83D1" w14:textId="77777777" w:rsidR="005971DC" w:rsidRPr="00D326F8" w:rsidRDefault="003E23E4" w:rsidP="00412A63">
      <w:pPr>
        <w:pStyle w:val="List1withbullet"/>
        <w:ind w:left="357" w:hanging="357"/>
      </w:pPr>
      <w:r w:rsidRPr="00D326F8">
        <w:t xml:space="preserve">When the Investigator is not available, the Phase </w:t>
      </w:r>
      <w:r w:rsidR="00AF66DE" w:rsidRPr="00D326F8">
        <w:t>1</w:t>
      </w:r>
      <w:r w:rsidRPr="00D326F8">
        <w:t xml:space="preserve"> facility will provide the appropriate means to contact a physician. This includes the provision of a 24-hour contact number at the facility, whereby the health care providers will be given access to an appropriate physician to assist with the medical emergency and to provide support for the potential unblinding of the participant concerned.</w:t>
      </w:r>
    </w:p>
    <w:p w14:paraId="601A83D2" w14:textId="77777777" w:rsidR="005971DC" w:rsidRPr="00D326F8" w:rsidRDefault="003E23E4" w:rsidP="005971DC">
      <w:pPr>
        <w:pStyle w:val="BodyText"/>
        <w:rPr>
          <w:b/>
        </w:rPr>
      </w:pPr>
      <w:r w:rsidRPr="00D326F8">
        <w:rPr>
          <w:b/>
        </w:rPr>
        <w:t>Clinical Study Insurance and Compensation to Participants</w:t>
      </w:r>
    </w:p>
    <w:p w14:paraId="601A83D3" w14:textId="77777777" w:rsidR="005971DC" w:rsidRPr="00D326F8" w:rsidRDefault="003E23E4" w:rsidP="00412A63">
      <w:pPr>
        <w:pStyle w:val="List1withbullet"/>
        <w:ind w:left="357" w:hanging="357"/>
      </w:pPr>
      <w:r w:rsidRPr="00D326F8">
        <w:t xml:space="preserve">Insurance coverage will be provided for each country participating in the study. Insurance conditions </w:t>
      </w:r>
      <w:r w:rsidR="00785BC8" w:rsidRPr="00D326F8">
        <w:t>will</w:t>
      </w:r>
      <w:r w:rsidRPr="00D326F8">
        <w:t xml:space="preserve"> meet good local standards, as applicable.</w:t>
      </w:r>
    </w:p>
    <w:p w14:paraId="601A83D4" w14:textId="77777777" w:rsidR="005971DC" w:rsidRPr="00D326F8" w:rsidRDefault="003E23E4" w:rsidP="005971DC">
      <w:pPr>
        <w:pStyle w:val="BodyText"/>
        <w:rPr>
          <w:b/>
        </w:rPr>
      </w:pPr>
      <w:r w:rsidRPr="00D326F8">
        <w:rPr>
          <w:b/>
        </w:rPr>
        <w:t>Clinical Study Report</w:t>
      </w:r>
    </w:p>
    <w:p w14:paraId="601A83D5" w14:textId="77777777" w:rsidR="005971DC" w:rsidRPr="00D326F8" w:rsidRDefault="003E23E4" w:rsidP="00412A63">
      <w:pPr>
        <w:pStyle w:val="List1withbullet"/>
        <w:ind w:left="357" w:hanging="357"/>
      </w:pPr>
      <w:r w:rsidRPr="00D326F8">
        <w:t xml:space="preserve">After study completion, the Sponsor will write a clinical study report in consultation with </w:t>
      </w:r>
      <w:r w:rsidRPr="00D326F8">
        <w:rPr>
          <w:rStyle w:val="BodyTextChar"/>
        </w:rPr>
        <w:t xml:space="preserve">the Principal Investigator </w:t>
      </w:r>
      <w:r w:rsidR="00F74889" w:rsidRPr="00D326F8">
        <w:rPr>
          <w:rStyle w:val="BodyTextChar"/>
        </w:rPr>
        <w:t xml:space="preserve">and </w:t>
      </w:r>
      <w:r w:rsidRPr="00D326F8">
        <w:rPr>
          <w:rStyle w:val="BodyTextChar"/>
        </w:rPr>
        <w:t xml:space="preserve">other relevant study-appointed </w:t>
      </w:r>
      <w:r w:rsidR="00F74889" w:rsidRPr="00D326F8">
        <w:rPr>
          <w:rStyle w:val="BodyTextChar"/>
        </w:rPr>
        <w:t>experts of the Sponsor and Nuvisan GmbH.</w:t>
      </w:r>
    </w:p>
    <w:p w14:paraId="601A83D6" w14:textId="77777777" w:rsidR="005971DC" w:rsidRPr="00D326F8" w:rsidRDefault="003E23E4" w:rsidP="005971DC">
      <w:pPr>
        <w:pStyle w:val="BodyText"/>
        <w:rPr>
          <w:b/>
        </w:rPr>
      </w:pPr>
      <w:r w:rsidRPr="00D326F8">
        <w:rPr>
          <w:b/>
        </w:rPr>
        <w:t>Publication</w:t>
      </w:r>
    </w:p>
    <w:p w14:paraId="601A83D7" w14:textId="77777777" w:rsidR="005971DC" w:rsidRPr="00D326F8" w:rsidRDefault="003E23E4" w:rsidP="00412A63">
      <w:pPr>
        <w:pStyle w:val="List1withbullet"/>
        <w:ind w:left="357" w:hanging="357"/>
      </w:pPr>
      <w:r w:rsidRPr="00D326F8">
        <w:t xml:space="preserve">The results of this study may be published or presented at scientific meetings. If this is foreseen, the Investigator agrees to submit all manuscripts or abstracts to the Sponsor before submission. This allows Merck to protect proprietary information and to provide comments. </w:t>
      </w:r>
    </w:p>
    <w:p w14:paraId="601A83D8" w14:textId="77777777" w:rsidR="005971DC" w:rsidRPr="00D326F8" w:rsidRDefault="003E23E4" w:rsidP="00412A63">
      <w:pPr>
        <w:pStyle w:val="List1withbullet"/>
        <w:ind w:left="357" w:hanging="357"/>
      </w:pPr>
      <w:r w:rsidRPr="00D326F8">
        <w:t>The Sponsor will comply with the requirements for publication of study results. Per standard editorial and ethical practice, the Sponsor will generally support publication of multicenter studies only in their entirety and not as individual site data.</w:t>
      </w:r>
    </w:p>
    <w:p w14:paraId="601A83D9" w14:textId="77777777" w:rsidR="005971DC" w:rsidRPr="00D326F8" w:rsidRDefault="003E23E4" w:rsidP="00412A63">
      <w:pPr>
        <w:pStyle w:val="List1withbullet"/>
        <w:ind w:left="357" w:hanging="357"/>
      </w:pPr>
      <w:r w:rsidRPr="00D326F8">
        <w:t>Authorship will be determined by agreement and in line with International Committee of Medical Journal Editors authorship requirements.</w:t>
      </w:r>
    </w:p>
    <w:p w14:paraId="601A83DA" w14:textId="77777777" w:rsidR="005971DC" w:rsidRPr="00D326F8" w:rsidRDefault="003E23E4" w:rsidP="005971DC">
      <w:pPr>
        <w:pStyle w:val="BodyText"/>
        <w:rPr>
          <w:b/>
        </w:rPr>
      </w:pPr>
      <w:r w:rsidRPr="00D326F8">
        <w:rPr>
          <w:b/>
        </w:rPr>
        <w:t>Dissemination of Clinical Study Data</w:t>
      </w:r>
    </w:p>
    <w:p w14:paraId="601A83DB" w14:textId="0252C3BA" w:rsidR="00F74889" w:rsidRPr="00D326F8" w:rsidRDefault="003E23E4" w:rsidP="00412A63">
      <w:pPr>
        <w:pStyle w:val="List1withbullet"/>
        <w:ind w:left="357" w:hanging="357"/>
      </w:pPr>
      <w:r w:rsidRPr="00D326F8">
        <w:t xml:space="preserve">A summary of data will be provided to ClinicalTrials.gov as well as to the European Clinical Trial Database, as applicable, and will occur 12 months after the last clinic visit of the final study participant or another appropriate date to meet applicable requirements. Healthy participants might be provided with the results of the medical examinations at request. After finalization of the study, healthy participants might be provided with the information published on ClinicalTrials.gov and/or the European Clinical Trial </w:t>
      </w:r>
      <w:r w:rsidR="007A59C5" w:rsidRPr="00D326F8">
        <w:t>D</w:t>
      </w:r>
      <w:r w:rsidRPr="00D326F8">
        <w:t>atabase at request.</w:t>
      </w:r>
    </w:p>
    <w:p w14:paraId="601A83DC" w14:textId="77777777" w:rsidR="00F74889" w:rsidRPr="00D326F8" w:rsidRDefault="003E23E4" w:rsidP="00412A63">
      <w:pPr>
        <w:pStyle w:val="List1withbullet"/>
        <w:ind w:left="357" w:hanging="357"/>
      </w:pPr>
      <w:r w:rsidRPr="00D326F8">
        <w:t>After completion of the study, a clinical study report will be written by the Sponsor in consultation with the Principal Investigator following the guidance in ICH Topic E3 and will be submitted in accordance with local regulations.</w:t>
      </w:r>
    </w:p>
    <w:p w14:paraId="601A83DD" w14:textId="77777777" w:rsidR="00F74889" w:rsidRPr="00D326F8" w:rsidRDefault="003E23E4" w:rsidP="00412A63">
      <w:pPr>
        <w:pStyle w:val="List1withbullet"/>
        <w:keepNext/>
        <w:keepLines/>
        <w:ind w:left="357" w:hanging="357"/>
      </w:pPr>
      <w:proofErr w:type="gramStart"/>
      <w:r w:rsidRPr="00D326F8">
        <w:lastRenderedPageBreak/>
        <w:t>Any and all</w:t>
      </w:r>
      <w:proofErr w:type="gramEnd"/>
      <w:r w:rsidRPr="00D326F8">
        <w:t xml:space="preserve"> scientific, commercial, and technical information disclosed by the Sponsor in this protocol or elsewhere should be considered the confidential and proprietary property of the Sponsor. The Investigator shall hold such information in confidence and shall not disclose the information to any third party except to such of the Investigator’s employees and staff who had been made aware that the information is confidential and who are bound to treat it as such and to whom disclosure is necessary to evaluate that information. The Investigator shall not use such information for any purpose other than for determining mutual interest in performing the study and, if the parties decide to proceed with the study, for the purpose of conducting the study.</w:t>
      </w:r>
    </w:p>
    <w:p w14:paraId="601A83DE" w14:textId="77777777" w:rsidR="00F74889" w:rsidRPr="00D326F8" w:rsidRDefault="003E23E4" w:rsidP="00412A63">
      <w:pPr>
        <w:pStyle w:val="List1withbullet"/>
        <w:ind w:left="357" w:hanging="357"/>
      </w:pPr>
      <w:r w:rsidRPr="00D326F8">
        <w:t>The Investigator understands that the information developed from this clinical study will be used by the Sponsor in connection with the development of the study intervention and therefore may be disclosed as required to other clinical Investigators, to the FDA, EMA, and to other government agencies. The Investigator also understands that, to allow for the use of the information derived from the clinical study, the Investigator has the obligation to provide the Sponsor with complete test results and all data developed in the study. No publication or disclosure of study results will be permitted except under the terms and conditions of a separate written agreement.</w:t>
      </w:r>
    </w:p>
    <w:p w14:paraId="601A83DF" w14:textId="77777777" w:rsidR="005971DC" w:rsidRPr="00D326F8" w:rsidRDefault="003E23E4" w:rsidP="005971DC">
      <w:pPr>
        <w:pStyle w:val="BodyText"/>
        <w:rPr>
          <w:b/>
        </w:rPr>
      </w:pPr>
      <w:r w:rsidRPr="00D326F8">
        <w:rPr>
          <w:b/>
        </w:rPr>
        <w:t>Data Quality Assurance</w:t>
      </w:r>
    </w:p>
    <w:p w14:paraId="601A83E0" w14:textId="77777777" w:rsidR="005971DC" w:rsidRPr="00D326F8" w:rsidRDefault="003E23E4" w:rsidP="00412A63">
      <w:pPr>
        <w:pStyle w:val="List1withbullet"/>
        <w:ind w:left="357" w:hanging="357"/>
      </w:pPr>
      <w:r w:rsidRPr="00D326F8">
        <w:t xml:space="preserve">All participant study data will be recorded on printed or electronic CRFs or transmitted to the Sponsor or designee electronically (e.g., laboratory data). The Investigator is responsible for verifying that data entries are complete, accurate, legible, and timely by physically or electronically signing the CRF. Details for managing CRFs are in the </w:t>
      </w:r>
      <w:r w:rsidR="00F74889" w:rsidRPr="00D326F8">
        <w:t>Data Management Plan</w:t>
      </w:r>
      <w:r w:rsidRPr="00D326F8">
        <w:t>.</w:t>
      </w:r>
    </w:p>
    <w:p w14:paraId="601A83E1" w14:textId="77777777" w:rsidR="005971DC" w:rsidRPr="00D326F8" w:rsidRDefault="003E23E4" w:rsidP="00412A63">
      <w:pPr>
        <w:pStyle w:val="List1withbullet"/>
        <w:ind w:left="357" w:hanging="357"/>
      </w:pPr>
      <w:r w:rsidRPr="00D326F8">
        <w:t xml:space="preserve">The Investigator </w:t>
      </w:r>
      <w:r w:rsidR="00DE57D7" w:rsidRPr="00D326F8">
        <w:t>will</w:t>
      </w:r>
      <w:r w:rsidRPr="00D326F8">
        <w:t xml:space="preserve"> maintain accurate documentation (source data) that supports the information in the CRF.</w:t>
      </w:r>
    </w:p>
    <w:p w14:paraId="601A83E2" w14:textId="77777777" w:rsidR="0027752C" w:rsidRPr="00D326F8" w:rsidRDefault="003E23E4" w:rsidP="00412A63">
      <w:pPr>
        <w:pStyle w:val="List1withbullet"/>
        <w:ind w:left="357" w:hanging="357"/>
      </w:pPr>
      <w:r w:rsidRPr="00D326F8">
        <w:t xml:space="preserve">The Investigator </w:t>
      </w:r>
      <w:r w:rsidR="00DE57D7" w:rsidRPr="00D326F8">
        <w:t>will</w:t>
      </w:r>
      <w:r w:rsidRPr="00D326F8">
        <w:t xml:space="preserve"> permit study-related monitoring, quality assurance audits, IRB/IEC review, and regulatory agency inspections and provide direct access to the study file and source data.</w:t>
      </w:r>
    </w:p>
    <w:p w14:paraId="601A83E3" w14:textId="4CF07D49" w:rsidR="005971DC" w:rsidRPr="00D326F8" w:rsidRDefault="003E23E4" w:rsidP="00412A63">
      <w:pPr>
        <w:pStyle w:val="List1withbullet"/>
        <w:ind w:left="357" w:hanging="357"/>
      </w:pPr>
      <w:r w:rsidRPr="00D326F8">
        <w:t xml:space="preserve">QTLs will be predefined in the </w:t>
      </w:r>
      <w:r w:rsidR="002B7E0B" w:rsidRPr="00D326F8">
        <w:t>Operational Manual</w:t>
      </w:r>
      <w:r w:rsidR="00CC2A91" w:rsidRPr="00D326F8">
        <w:t xml:space="preserve"> </w:t>
      </w:r>
      <w:r w:rsidRPr="00D326F8">
        <w:t>to identify systematic issues that can impact participant safety and/or reliability of study results. These predefined parameters will be monitored during the study and important deviations from the QTLs and remedial actions taken will be summarized in the clinical study report.</w:t>
      </w:r>
    </w:p>
    <w:p w14:paraId="601A83E4" w14:textId="77777777" w:rsidR="002B7E0B" w:rsidRPr="00D326F8" w:rsidRDefault="003E23E4" w:rsidP="00412A63">
      <w:pPr>
        <w:pStyle w:val="List1withoutbullet"/>
        <w:ind w:left="414" w:hanging="57"/>
      </w:pPr>
      <w:bookmarkStart w:id="320" w:name="_Hlk75946174"/>
      <w:r w:rsidRPr="00D326F8">
        <w:rPr>
          <w:b/>
          <w:bCs/>
        </w:rPr>
        <w:t>Note</w:t>
      </w:r>
      <w:r w:rsidRPr="00D326F8">
        <w:t>: QTLs will not be defined in this Phase I study as neither the limited number of planned participants nor the short duration of the study support the collection of meaningful QTLs.</w:t>
      </w:r>
    </w:p>
    <w:p w14:paraId="601A83E5" w14:textId="77777777" w:rsidR="007D0C7E" w:rsidRPr="00D326F8" w:rsidRDefault="003E23E4" w:rsidP="00412A63">
      <w:pPr>
        <w:pStyle w:val="List1withbullet"/>
        <w:ind w:left="357" w:hanging="357"/>
      </w:pPr>
      <w:bookmarkStart w:id="321" w:name="_Hlk505262899"/>
      <w:bookmarkEnd w:id="320"/>
      <w:r w:rsidRPr="00D326F8">
        <w:t xml:space="preserve">Monitoring details describing strategy (e.g., risk-based initiatives in operations and quality such as Risk Management and Mitigation Strategies and Analytical Risk-Based Monitoring), methods, </w:t>
      </w:r>
      <w:proofErr w:type="gramStart"/>
      <w:r w:rsidRPr="00D326F8">
        <w:t>responsibilities</w:t>
      </w:r>
      <w:proofErr w:type="gramEnd"/>
      <w:r w:rsidRPr="00D326F8">
        <w:t xml:space="preserve"> and requirements, including handling of noncompliance issues and monitoring techniques (central, remote, or on-site monitoring) are in the Monitoring Plan.</w:t>
      </w:r>
    </w:p>
    <w:bookmarkEnd w:id="321"/>
    <w:p w14:paraId="601A83E6" w14:textId="77777777" w:rsidR="005971DC" w:rsidRPr="00D326F8" w:rsidRDefault="003E23E4" w:rsidP="00412A63">
      <w:pPr>
        <w:pStyle w:val="List1withbullet"/>
        <w:ind w:left="357" w:hanging="357"/>
      </w:pPr>
      <w:r w:rsidRPr="00D326F8">
        <w:t xml:space="preserve">The Sponsor or designee is responsible for data management of this study, including quality checking of the data and maintaining a validated database. Database lock will occur once quality control and quality assurance procedures have been completed. </w:t>
      </w:r>
      <w:r w:rsidR="00306A32" w:rsidRPr="00D326F8">
        <w:t>Details will be outlined in Data Management documents and procedures.</w:t>
      </w:r>
    </w:p>
    <w:p w14:paraId="601A83E7" w14:textId="77777777" w:rsidR="005971DC" w:rsidRPr="00D326F8" w:rsidRDefault="003E23E4" w:rsidP="00412A63">
      <w:pPr>
        <w:pStyle w:val="List1withbullet"/>
        <w:ind w:left="357" w:hanging="357"/>
      </w:pPr>
      <w:r w:rsidRPr="00D326F8">
        <w:lastRenderedPageBreak/>
        <w:t xml:space="preserve">Study </w:t>
      </w:r>
      <w:r w:rsidR="00D47613" w:rsidRPr="00D326F8">
        <w:t>M</w:t>
      </w:r>
      <w:r w:rsidRPr="00D326F8">
        <w:t>onitors will perform ongoing source data verification to confirm that data in the CRF are accurate, complete, and verifiable; that the safety and rights of participants are being protected; and that the study is being conducted per the currently approved protocol and any other study agreements, ICH GCP, and all applicable regulatory requirements.</w:t>
      </w:r>
    </w:p>
    <w:p w14:paraId="601A83E8" w14:textId="77777777" w:rsidR="005971DC" w:rsidRPr="00D326F8" w:rsidRDefault="003E23E4" w:rsidP="00412A63">
      <w:pPr>
        <w:pStyle w:val="List1withbullet"/>
        <w:ind w:left="357" w:hanging="357"/>
      </w:pPr>
      <w:r w:rsidRPr="00D326F8">
        <w:t>The Investigator will retain r</w:t>
      </w:r>
      <w:r w:rsidR="004039AE" w:rsidRPr="00D326F8">
        <w:t>ecords and documents, including signed ICFs, pertaining to the conduct of this study for 15 years after study completion, unless local regulations, institutional policies, or the Sponsor requires a longer retention. No records may be destroyed during the retention period without the Sponsor’s written approval. No records may be transferred to another location or party without the Sponsor’s written notification.</w:t>
      </w:r>
    </w:p>
    <w:p w14:paraId="601A83E9" w14:textId="77777777" w:rsidR="005971DC" w:rsidRPr="00D326F8" w:rsidRDefault="003E23E4" w:rsidP="005971DC">
      <w:pPr>
        <w:pStyle w:val="BodyText"/>
        <w:rPr>
          <w:b/>
        </w:rPr>
      </w:pPr>
      <w:r w:rsidRPr="00D326F8">
        <w:rPr>
          <w:b/>
        </w:rPr>
        <w:t>Source Documents</w:t>
      </w:r>
    </w:p>
    <w:p w14:paraId="601A83EA" w14:textId="77777777" w:rsidR="005971DC" w:rsidRPr="00D326F8" w:rsidRDefault="003E23E4" w:rsidP="00412A63">
      <w:pPr>
        <w:pStyle w:val="List1withbullet"/>
        <w:ind w:left="357" w:hanging="357"/>
      </w:pPr>
      <w:r w:rsidRPr="00D326F8">
        <w:t>Source documents provide evidence for the existence of the participant and substantiate the integrity of the data collected.</w:t>
      </w:r>
    </w:p>
    <w:p w14:paraId="601A83EB" w14:textId="77777777" w:rsidR="005971DC" w:rsidRPr="00D326F8" w:rsidRDefault="003E23E4" w:rsidP="00412A63">
      <w:pPr>
        <w:pStyle w:val="List1withbullet"/>
        <w:ind w:left="357" w:hanging="357"/>
      </w:pPr>
      <w:r w:rsidRPr="00D326F8">
        <w:t xml:space="preserve">The Investigator </w:t>
      </w:r>
      <w:r w:rsidR="00DE57D7" w:rsidRPr="00D326F8">
        <w:t>will</w:t>
      </w:r>
      <w:r w:rsidRPr="00D326F8">
        <w:t xml:space="preserve"> </w:t>
      </w:r>
      <w:r w:rsidR="008E5DFB" w:rsidRPr="00D326F8">
        <w:t>maintain source documents that support the data record</w:t>
      </w:r>
      <w:r w:rsidR="002965BB" w:rsidRPr="00D326F8">
        <w:t>ed</w:t>
      </w:r>
      <w:r w:rsidR="008E5DFB" w:rsidRPr="00D326F8">
        <w:t xml:space="preserve"> in the CRFs</w:t>
      </w:r>
      <w:r w:rsidR="00640336" w:rsidRPr="00D326F8">
        <w:t>.</w:t>
      </w:r>
    </w:p>
    <w:p w14:paraId="601A83EC" w14:textId="77777777" w:rsidR="005971DC" w:rsidRPr="00D326F8" w:rsidRDefault="003E23E4" w:rsidP="00412A63">
      <w:pPr>
        <w:pStyle w:val="List1withbullet"/>
        <w:ind w:left="357" w:hanging="357"/>
      </w:pPr>
      <w:r w:rsidRPr="00D326F8">
        <w:t xml:space="preserve">Data recorded on CRFs that are transcribed from source documents </w:t>
      </w:r>
      <w:r w:rsidR="00DE57D7" w:rsidRPr="00D326F8">
        <w:t>will</w:t>
      </w:r>
      <w:r w:rsidRPr="00D326F8">
        <w:t xml:space="preserve"> be consistent with the source documents or the discrepancies </w:t>
      </w:r>
      <w:r w:rsidR="00DE57D7" w:rsidRPr="00D326F8">
        <w:t>will</w:t>
      </w:r>
      <w:r w:rsidRPr="00D326F8">
        <w:t xml:space="preserve"> be explained. The Investigator may need to request previous medical records or transfer records, depending on the study. Also, current medical records </w:t>
      </w:r>
      <w:r w:rsidR="00DE57D7" w:rsidRPr="00D326F8">
        <w:t>will</w:t>
      </w:r>
      <w:r w:rsidRPr="00D326F8">
        <w:t xml:space="preserve"> be available.</w:t>
      </w:r>
    </w:p>
    <w:p w14:paraId="601A83ED" w14:textId="77777777" w:rsidR="005971DC" w:rsidRPr="00D326F8" w:rsidRDefault="003E23E4" w:rsidP="00412A63">
      <w:pPr>
        <w:pStyle w:val="List1withbullet"/>
        <w:ind w:left="357" w:hanging="357"/>
      </w:pPr>
      <w:r w:rsidRPr="00D326F8">
        <w:t xml:space="preserve">Source documents </w:t>
      </w:r>
      <w:r w:rsidR="00112A2C" w:rsidRPr="00D326F8">
        <w:t>are</w:t>
      </w:r>
      <w:r w:rsidRPr="00D326F8">
        <w:t xml:space="preserve"> stored at the site for the longest possible time permitted by the applicable regulations, and/or as per ICH GCP guidelines, whichever is longer. The Investigator ensure</w:t>
      </w:r>
      <w:r w:rsidR="00112A2C" w:rsidRPr="00D326F8">
        <w:t>s</w:t>
      </w:r>
      <w:r w:rsidRPr="00D326F8">
        <w:t xml:space="preserve"> that no destruction of medical records is performed without the Sponsor’s written approval.</w:t>
      </w:r>
    </w:p>
    <w:p w14:paraId="601A83EE" w14:textId="77777777" w:rsidR="005971DC" w:rsidRPr="00D326F8" w:rsidRDefault="003E23E4" w:rsidP="00412A63">
      <w:pPr>
        <w:pStyle w:val="List1withbullet"/>
        <w:ind w:left="357" w:hanging="357"/>
      </w:pPr>
      <w:r w:rsidRPr="00D326F8">
        <w:t xml:space="preserve">Definition of what constitutes source data </w:t>
      </w:r>
      <w:r w:rsidR="00112A2C" w:rsidRPr="00D326F8">
        <w:t>is f</w:t>
      </w:r>
      <w:r w:rsidRPr="00D326F8">
        <w:t xml:space="preserve">ound in </w:t>
      </w:r>
      <w:r w:rsidR="00F74889" w:rsidRPr="00D326F8">
        <w:t>the Source Data Location Form</w:t>
      </w:r>
      <w:r w:rsidRPr="00D326F8">
        <w:t>.</w:t>
      </w:r>
    </w:p>
    <w:p w14:paraId="601A83EF" w14:textId="77777777" w:rsidR="005971DC" w:rsidRPr="00D326F8" w:rsidRDefault="003E23E4" w:rsidP="005971DC">
      <w:pPr>
        <w:pStyle w:val="BodyText"/>
        <w:rPr>
          <w:b/>
        </w:rPr>
      </w:pPr>
      <w:r w:rsidRPr="00D326F8">
        <w:rPr>
          <w:b/>
        </w:rPr>
        <w:t xml:space="preserve">Study and Site </w:t>
      </w:r>
      <w:r w:rsidR="00383716" w:rsidRPr="00D326F8">
        <w:rPr>
          <w:b/>
        </w:rPr>
        <w:t xml:space="preserve">Start and </w:t>
      </w:r>
      <w:r w:rsidRPr="00D326F8">
        <w:rPr>
          <w:b/>
        </w:rPr>
        <w:t>Closure</w:t>
      </w:r>
    </w:p>
    <w:p w14:paraId="601A83F0" w14:textId="77777777" w:rsidR="00383716" w:rsidRPr="00D326F8" w:rsidRDefault="003E23E4" w:rsidP="00412A63">
      <w:pPr>
        <w:pStyle w:val="List1withbullet"/>
        <w:numPr>
          <w:ilvl w:val="0"/>
          <w:numId w:val="0"/>
        </w:numPr>
      </w:pPr>
      <w:r w:rsidRPr="00D326F8">
        <w:t xml:space="preserve">The </w:t>
      </w:r>
      <w:r w:rsidR="00F90F36" w:rsidRPr="00D326F8">
        <w:t xml:space="preserve">study start date is when </w:t>
      </w:r>
      <w:r w:rsidR="00F90F36" w:rsidRPr="00D326F8">
        <w:rPr>
          <w:rStyle w:val="CPTVariable"/>
          <w:color w:val="auto"/>
        </w:rPr>
        <w:t>the f</w:t>
      </w:r>
      <w:r w:rsidR="009F2544" w:rsidRPr="00D326F8">
        <w:rPr>
          <w:rStyle w:val="CPTVariable"/>
          <w:color w:val="auto"/>
        </w:rPr>
        <w:t xml:space="preserve">irst participant signs the </w:t>
      </w:r>
      <w:r w:rsidR="007B5766" w:rsidRPr="00D326F8">
        <w:rPr>
          <w:rStyle w:val="CPTVariable"/>
          <w:color w:val="auto"/>
        </w:rPr>
        <w:t>I</w:t>
      </w:r>
      <w:r w:rsidR="009F2544" w:rsidRPr="00D326F8">
        <w:rPr>
          <w:rStyle w:val="CPTVariable"/>
          <w:color w:val="auto"/>
        </w:rPr>
        <w:t xml:space="preserve">nformed </w:t>
      </w:r>
      <w:r w:rsidR="007B5766" w:rsidRPr="00D326F8">
        <w:rPr>
          <w:rStyle w:val="CPTVariable"/>
          <w:color w:val="auto"/>
        </w:rPr>
        <w:t>C</w:t>
      </w:r>
      <w:r w:rsidR="009F2544" w:rsidRPr="00D326F8">
        <w:rPr>
          <w:rStyle w:val="CPTVariable"/>
          <w:color w:val="auto"/>
        </w:rPr>
        <w:t xml:space="preserve">onsent </w:t>
      </w:r>
      <w:r w:rsidR="007B5766" w:rsidRPr="00D326F8">
        <w:rPr>
          <w:rStyle w:val="CPTVariable"/>
          <w:color w:val="auto"/>
        </w:rPr>
        <w:t>F</w:t>
      </w:r>
      <w:r w:rsidR="009F2544" w:rsidRPr="00D326F8">
        <w:rPr>
          <w:rStyle w:val="CPTVariable"/>
          <w:color w:val="auto"/>
        </w:rPr>
        <w:t>orm</w:t>
      </w:r>
      <w:r w:rsidR="00F90F36" w:rsidRPr="00D326F8">
        <w:rPr>
          <w:rStyle w:val="CPTVariable"/>
          <w:color w:val="auto"/>
        </w:rPr>
        <w:t>.</w:t>
      </w:r>
    </w:p>
    <w:p w14:paraId="601A83F1" w14:textId="77777777" w:rsidR="00383716" w:rsidRPr="00D326F8" w:rsidRDefault="003E23E4" w:rsidP="008D51D5">
      <w:pPr>
        <w:pStyle w:val="BodyText"/>
        <w:ind w:left="357"/>
        <w:rPr>
          <w:b/>
          <w:bCs/>
        </w:rPr>
      </w:pPr>
      <w:r w:rsidRPr="00D326F8">
        <w:rPr>
          <w:b/>
          <w:bCs/>
        </w:rPr>
        <w:t xml:space="preserve">Study and Site </w:t>
      </w:r>
      <w:r w:rsidR="009E2F23" w:rsidRPr="00D326F8">
        <w:rPr>
          <w:b/>
          <w:bCs/>
        </w:rPr>
        <w:t>Closure</w:t>
      </w:r>
    </w:p>
    <w:p w14:paraId="601A83F2" w14:textId="77777777" w:rsidR="005971DC" w:rsidRPr="00D326F8" w:rsidRDefault="003E23E4" w:rsidP="008D51D5">
      <w:pPr>
        <w:tabs>
          <w:tab w:val="left" w:pos="284"/>
        </w:tabs>
        <w:spacing w:before="120"/>
        <w:ind w:left="357"/>
      </w:pPr>
      <w:r w:rsidRPr="00D326F8">
        <w:t xml:space="preserve">The Investigator may initiate site closure at any time, provided there is reasonable </w:t>
      </w:r>
      <w:proofErr w:type="gramStart"/>
      <w:r w:rsidRPr="00D326F8">
        <w:t>cause</w:t>
      </w:r>
      <w:proofErr w:type="gramEnd"/>
      <w:r w:rsidRPr="00D326F8">
        <w:t xml:space="preserve"> and </w:t>
      </w:r>
      <w:r w:rsidR="008C7E09" w:rsidRPr="00D326F8">
        <w:t>enough</w:t>
      </w:r>
      <w:r w:rsidRPr="00D326F8">
        <w:t xml:space="preserve"> notice is given in advance of the intended </w:t>
      </w:r>
      <w:r w:rsidR="009E2F23" w:rsidRPr="00D326F8">
        <w:t>closure</w:t>
      </w:r>
      <w:r w:rsidRPr="00D326F8">
        <w:t>.</w:t>
      </w:r>
    </w:p>
    <w:p w14:paraId="601A83F3" w14:textId="77777777" w:rsidR="005971DC" w:rsidRPr="00D326F8" w:rsidRDefault="003E23E4" w:rsidP="008D51D5">
      <w:pPr>
        <w:tabs>
          <w:tab w:val="left" w:pos="284"/>
        </w:tabs>
        <w:spacing w:before="120"/>
        <w:ind w:left="357"/>
      </w:pPr>
      <w:r w:rsidRPr="00D326F8">
        <w:t>Reasons for the early closure of a study site by the Sponsor or Investigator may include:</w:t>
      </w:r>
    </w:p>
    <w:p w14:paraId="601A83F4" w14:textId="3782D543" w:rsidR="005971DC" w:rsidRPr="00D326F8" w:rsidRDefault="003E23E4" w:rsidP="009A4089">
      <w:pPr>
        <w:pStyle w:val="List2withbullet"/>
        <w:tabs>
          <w:tab w:val="clear" w:pos="576"/>
          <w:tab w:val="num" w:pos="900"/>
        </w:tabs>
        <w:ind w:left="720" w:hanging="360"/>
      </w:pPr>
      <w:r w:rsidRPr="00D326F8">
        <w:t xml:space="preserve">Failure of the Investigator to comply with the protocol, the requirements of the IRB/IEC or local </w:t>
      </w:r>
      <w:r w:rsidR="002F32DE" w:rsidRPr="00D326F8">
        <w:t>H</w:t>
      </w:r>
      <w:r w:rsidRPr="00D326F8">
        <w:t xml:space="preserve">ealth </w:t>
      </w:r>
      <w:r w:rsidR="002F32DE" w:rsidRPr="00D326F8">
        <w:t>A</w:t>
      </w:r>
      <w:r w:rsidRPr="00D326F8">
        <w:t>uthorities, the Sponsor's procedures, or GCP guidelines</w:t>
      </w:r>
    </w:p>
    <w:p w14:paraId="601A83F5" w14:textId="77777777" w:rsidR="005971DC" w:rsidRPr="00D326F8" w:rsidRDefault="003E23E4" w:rsidP="009A4089">
      <w:pPr>
        <w:pStyle w:val="List2withbullet"/>
        <w:tabs>
          <w:tab w:val="clear" w:pos="576"/>
          <w:tab w:val="num" w:pos="900"/>
        </w:tabs>
        <w:ind w:left="720" w:hanging="360"/>
      </w:pPr>
      <w:r w:rsidRPr="00D326F8">
        <w:t>Inadequate recruitment of participants by the Investigator</w:t>
      </w:r>
    </w:p>
    <w:p w14:paraId="601A83F6" w14:textId="77777777" w:rsidR="005971DC" w:rsidRPr="00D326F8" w:rsidRDefault="003E23E4" w:rsidP="009A4089">
      <w:pPr>
        <w:pStyle w:val="List2withbullet"/>
        <w:tabs>
          <w:tab w:val="clear" w:pos="576"/>
          <w:tab w:val="num" w:pos="900"/>
        </w:tabs>
        <w:ind w:left="720" w:hanging="360"/>
      </w:pPr>
      <w:r w:rsidRPr="00D326F8">
        <w:t>Discontinuation of further development of the Sponsor’s compound</w:t>
      </w:r>
    </w:p>
    <w:p w14:paraId="601A83F7" w14:textId="77777777" w:rsidR="005971DC" w:rsidRPr="00D326F8" w:rsidRDefault="003E23E4" w:rsidP="00F90128">
      <w:pPr>
        <w:pStyle w:val="List1withbullet"/>
      </w:pPr>
      <w:r w:rsidRPr="00D326F8">
        <w:t xml:space="preserve">If the study is prematurely terminated or suspended, the Sponsor </w:t>
      </w:r>
      <w:r w:rsidR="00785BC8" w:rsidRPr="00D326F8">
        <w:t>will</w:t>
      </w:r>
      <w:r w:rsidRPr="00D326F8">
        <w:t xml:space="preserve"> promptly inform the Investigators, the IECs/IRBs, the regulatory authorities, and any </w:t>
      </w:r>
      <w:r w:rsidR="00E04954" w:rsidRPr="00D326F8">
        <w:t xml:space="preserve">third-party service providers </w:t>
      </w:r>
      <w:r w:rsidRPr="00D326F8">
        <w:t>of the reason for termination or suspension, as specified by the applicable regulatory requirements. The Investigator will promptly inform the participants and assure appropriate participant therapy and/or follow-up.</w:t>
      </w:r>
    </w:p>
    <w:p w14:paraId="601A83F8" w14:textId="77777777" w:rsidR="00FA1E6B" w:rsidRPr="00D326F8" w:rsidRDefault="003E23E4" w:rsidP="00AD35DC">
      <w:pPr>
        <w:pStyle w:val="Heading1"/>
        <w:pageBreakBefore/>
        <w:numPr>
          <w:ilvl w:val="0"/>
          <w:numId w:val="0"/>
        </w:numPr>
        <w:tabs>
          <w:tab w:val="left" w:pos="1985"/>
        </w:tabs>
      </w:pPr>
      <w:bookmarkStart w:id="322" w:name="_Appendix_3_Contraception"/>
      <w:bookmarkStart w:id="323" w:name="_Toc77839793"/>
      <w:bookmarkEnd w:id="322"/>
      <w:r w:rsidRPr="00D326F8">
        <w:lastRenderedPageBreak/>
        <w:t xml:space="preserve">Appendix </w:t>
      </w:r>
      <w:r w:rsidR="00F74889" w:rsidRPr="00D326F8">
        <w:t>3</w:t>
      </w:r>
      <w:r w:rsidRPr="00D326F8">
        <w:tab/>
        <w:t>Contracepti</w:t>
      </w:r>
      <w:r w:rsidR="00F24C69" w:rsidRPr="00D326F8">
        <w:t>on and Barrier Requirements</w:t>
      </w:r>
      <w:bookmarkEnd w:id="323"/>
    </w:p>
    <w:p w14:paraId="601A83F9" w14:textId="77777777" w:rsidR="00CC2A91" w:rsidRPr="00D326F8" w:rsidRDefault="003E23E4" w:rsidP="00CC2A91">
      <w:pPr>
        <w:tabs>
          <w:tab w:val="left" w:pos="284"/>
        </w:tabs>
        <w:spacing w:before="120"/>
        <w:rPr>
          <w:b/>
          <w:sz w:val="28"/>
          <w:szCs w:val="28"/>
        </w:rPr>
      </w:pPr>
      <w:r w:rsidRPr="00D326F8">
        <w:rPr>
          <w:b/>
          <w:sz w:val="28"/>
          <w:szCs w:val="28"/>
        </w:rPr>
        <w:t>Definitions:</w:t>
      </w:r>
    </w:p>
    <w:p w14:paraId="601A83FA" w14:textId="0497F3F0" w:rsidR="00CC2A91" w:rsidRPr="00D326F8" w:rsidRDefault="003E23E4" w:rsidP="00CC2A91">
      <w:pPr>
        <w:tabs>
          <w:tab w:val="left" w:pos="284"/>
        </w:tabs>
        <w:spacing w:after="120"/>
        <w:rPr>
          <w:b/>
        </w:rPr>
      </w:pPr>
      <w:r w:rsidRPr="00D326F8">
        <w:rPr>
          <w:b/>
        </w:rPr>
        <w:t>W</w:t>
      </w:r>
      <w:r w:rsidR="008D51D5" w:rsidRPr="00D326F8">
        <w:rPr>
          <w:b/>
        </w:rPr>
        <w:t>omen of Child-Bearing Potential</w:t>
      </w:r>
      <w:r w:rsidRPr="00D326F8">
        <w:rPr>
          <w:b/>
        </w:rPr>
        <w:t>:</w:t>
      </w:r>
    </w:p>
    <w:p w14:paraId="601A83FB" w14:textId="77777777" w:rsidR="00CC2A91" w:rsidRPr="00D326F8" w:rsidRDefault="003E23E4" w:rsidP="00CC2A91">
      <w:pPr>
        <w:tabs>
          <w:tab w:val="left" w:pos="284"/>
        </w:tabs>
        <w:spacing w:before="120"/>
      </w:pPr>
      <w:bookmarkStart w:id="324" w:name="_Hlk69397627"/>
      <w:r w:rsidRPr="00D326F8">
        <w:t>A woman is of childbearing potential (fertile) following menarche and until becoming postmenopausal unless permanently sterile, as specified below.</w:t>
      </w:r>
    </w:p>
    <w:bookmarkEnd w:id="324"/>
    <w:p w14:paraId="601A83FC" w14:textId="77777777" w:rsidR="00CC2A91" w:rsidRPr="00D326F8" w:rsidRDefault="003E23E4" w:rsidP="00CC2A91">
      <w:pPr>
        <w:tabs>
          <w:tab w:val="left" w:pos="284"/>
        </w:tabs>
        <w:spacing w:before="120"/>
      </w:pPr>
      <w:r w:rsidRPr="00D326F8">
        <w:t>If fertility is unclear (e.g., amenorrhea in adolescents or athletes) and a menstrual cycle cannot be confirmed before the first dose of study intervention, consider additional evaluation.</w:t>
      </w:r>
    </w:p>
    <w:p w14:paraId="601A83FD" w14:textId="77777777" w:rsidR="00CC2A91" w:rsidRPr="00D326F8" w:rsidRDefault="003E23E4" w:rsidP="00CC2A91">
      <w:pPr>
        <w:tabs>
          <w:tab w:val="left" w:pos="284"/>
        </w:tabs>
        <w:spacing w:after="120"/>
        <w:rPr>
          <w:b/>
        </w:rPr>
      </w:pPr>
      <w:proofErr w:type="spellStart"/>
      <w:r w:rsidRPr="00D326F8">
        <w:rPr>
          <w:b/>
        </w:rPr>
        <w:t>Postmenopause</w:t>
      </w:r>
      <w:proofErr w:type="spellEnd"/>
      <w:r w:rsidRPr="00D326F8">
        <w:rPr>
          <w:b/>
        </w:rPr>
        <w:t>:</w:t>
      </w:r>
    </w:p>
    <w:p w14:paraId="601A83FE" w14:textId="77777777" w:rsidR="00CC2A91" w:rsidRPr="00D326F8" w:rsidRDefault="003E23E4" w:rsidP="00CC2A91">
      <w:pPr>
        <w:autoSpaceDE w:val="0"/>
        <w:autoSpaceDN w:val="0"/>
        <w:adjustRightInd w:val="0"/>
        <w:spacing w:before="0"/>
        <w:rPr>
          <w:rFonts w:eastAsiaTheme="minorHAnsi"/>
        </w:rPr>
      </w:pPr>
      <w:proofErr w:type="spellStart"/>
      <w:r w:rsidRPr="00D326F8">
        <w:rPr>
          <w:rFonts w:ascii="TimesNewRomanPSMT" w:eastAsiaTheme="minorHAnsi" w:hAnsi="TimesNewRomanPSMT" w:cs="TimesNewRomanPSMT"/>
        </w:rPr>
        <w:t>Postmenopause</w:t>
      </w:r>
      <w:proofErr w:type="spellEnd"/>
      <w:r w:rsidRPr="00D326F8">
        <w:rPr>
          <w:rFonts w:ascii="TimesNewRomanPSMT" w:eastAsiaTheme="minorHAnsi" w:hAnsi="TimesNewRomanPSMT" w:cs="TimesNewRomanPSMT"/>
        </w:rPr>
        <w:t xml:space="preserve"> </w:t>
      </w:r>
      <w:r w:rsidRPr="00D326F8">
        <w:rPr>
          <w:rFonts w:eastAsiaTheme="minorHAnsi"/>
        </w:rPr>
        <w:t>is defined as no menses for 12 months without an alternative medical cause.</w:t>
      </w:r>
    </w:p>
    <w:p w14:paraId="601A83FF" w14:textId="77777777" w:rsidR="00CC2A91" w:rsidRPr="00D326F8" w:rsidRDefault="003E23E4" w:rsidP="0057019A">
      <w:pPr>
        <w:numPr>
          <w:ilvl w:val="0"/>
          <w:numId w:val="15"/>
        </w:numPr>
        <w:spacing w:before="120"/>
        <w:ind w:left="360"/>
        <w:rPr>
          <w:rFonts w:eastAsiaTheme="minorHAnsi"/>
          <w:lang w:eastAsia="ja-JP"/>
        </w:rPr>
      </w:pPr>
      <w:r w:rsidRPr="00D326F8">
        <w:rPr>
          <w:rFonts w:eastAsiaTheme="minorHAnsi"/>
          <w:lang w:eastAsia="ja-JP"/>
        </w:rPr>
        <w:t>A high FSH level in the postmenopausal range may be used to confirm a postmenopausal state in a female not using hormonal contraception or HRT. However, in the absence of 12</w:t>
      </w:r>
      <w:r w:rsidR="00960D9F" w:rsidRPr="00D326F8">
        <w:rPr>
          <w:rFonts w:eastAsiaTheme="minorHAnsi"/>
          <w:lang w:eastAsia="ja-JP"/>
        </w:rPr>
        <w:t> </w:t>
      </w:r>
      <w:r w:rsidRPr="00D326F8">
        <w:rPr>
          <w:rFonts w:eastAsiaTheme="minorHAnsi"/>
          <w:lang w:eastAsia="ja-JP"/>
        </w:rPr>
        <w:t xml:space="preserve">months of amenorrhea, confirmation with </w:t>
      </w:r>
      <w:r w:rsidRPr="00D326F8">
        <w:rPr>
          <w:lang w:eastAsia="ja-JP"/>
        </w:rPr>
        <w:t xml:space="preserve">more than 1 FSH measurement </w:t>
      </w:r>
      <w:r w:rsidR="00960D9F" w:rsidRPr="00D326F8">
        <w:rPr>
          <w:lang w:eastAsia="ja-JP"/>
        </w:rPr>
        <w:t>(</w:t>
      </w:r>
      <w:r w:rsidR="00960D9F" w:rsidRPr="00D326F8">
        <w:rPr>
          <w:rFonts w:eastAsia="MS Mincho"/>
          <w:szCs w:val="24"/>
          <w:lang w:eastAsia="ja-JP"/>
        </w:rPr>
        <w:t xml:space="preserve">&gt; 40 </w:t>
      </w:r>
      <w:proofErr w:type="spellStart"/>
      <w:r w:rsidR="00960D9F" w:rsidRPr="00D326F8">
        <w:rPr>
          <w:rFonts w:eastAsia="MS Mincho"/>
          <w:szCs w:val="24"/>
          <w:lang w:eastAsia="ja-JP"/>
        </w:rPr>
        <w:t>mIU</w:t>
      </w:r>
      <w:proofErr w:type="spellEnd"/>
      <w:r w:rsidR="00960D9F" w:rsidRPr="00D326F8">
        <w:rPr>
          <w:rFonts w:eastAsia="MS Mincho"/>
          <w:szCs w:val="24"/>
          <w:lang w:eastAsia="ja-JP"/>
        </w:rPr>
        <w:t>/mL</w:t>
      </w:r>
      <w:r w:rsidR="00960D9F" w:rsidRPr="00D326F8">
        <w:rPr>
          <w:lang w:eastAsia="ja-JP"/>
        </w:rPr>
        <w:t xml:space="preserve">) </w:t>
      </w:r>
      <w:r w:rsidRPr="00D326F8">
        <w:rPr>
          <w:lang w:eastAsia="ja-JP"/>
        </w:rPr>
        <w:t>is required.</w:t>
      </w:r>
    </w:p>
    <w:p w14:paraId="601A8400" w14:textId="72D7C410" w:rsidR="00CC2A91" w:rsidRPr="00D326F8" w:rsidRDefault="003E23E4" w:rsidP="0057019A">
      <w:pPr>
        <w:numPr>
          <w:ilvl w:val="0"/>
          <w:numId w:val="15"/>
        </w:numPr>
        <w:spacing w:before="120"/>
        <w:ind w:left="360"/>
        <w:rPr>
          <w:rFonts w:eastAsiaTheme="minorHAnsi"/>
          <w:lang w:eastAsia="ja-JP"/>
        </w:rPr>
      </w:pPr>
      <w:r w:rsidRPr="00D326F8">
        <w:rPr>
          <w:rFonts w:eastAsiaTheme="minorHAnsi"/>
          <w:lang w:eastAsia="ja-JP"/>
        </w:rPr>
        <w:t xml:space="preserve">A female on HRT and whose menopausal status are in doubt will be required to use </w:t>
      </w:r>
      <w:r w:rsidR="006D695D" w:rsidRPr="00D326F8">
        <w:rPr>
          <w:rFonts w:eastAsiaTheme="minorHAnsi"/>
          <w:lang w:eastAsia="ja-JP"/>
        </w:rPr>
        <w:t>1 </w:t>
      </w:r>
      <w:r w:rsidRPr="00D326F8">
        <w:rPr>
          <w:rFonts w:eastAsiaTheme="minorHAnsi"/>
          <w:lang w:eastAsia="ja-JP"/>
        </w:rPr>
        <w:t xml:space="preserve">of the </w:t>
      </w:r>
      <w:proofErr w:type="spellStart"/>
      <w:r w:rsidRPr="00D326F8">
        <w:rPr>
          <w:rFonts w:eastAsiaTheme="minorHAnsi"/>
          <w:lang w:eastAsia="ja-JP"/>
        </w:rPr>
        <w:t>nonestrogen</w:t>
      </w:r>
      <w:proofErr w:type="spellEnd"/>
      <w:r w:rsidRPr="00D326F8">
        <w:rPr>
          <w:rFonts w:eastAsiaTheme="minorHAnsi"/>
          <w:lang w:eastAsia="ja-JP"/>
        </w:rPr>
        <w:t xml:space="preserve"> hormonal highly effective contraception methods if she wishes to continue her HRT during the study. Otherwise, she must discontinue HRT to allow confirmation of postmenopausal status before study enrollment.</w:t>
      </w:r>
    </w:p>
    <w:p w14:paraId="601A8401" w14:textId="77777777" w:rsidR="00CC2A91" w:rsidRPr="00D326F8" w:rsidRDefault="003E23E4" w:rsidP="00CC2A91">
      <w:pPr>
        <w:tabs>
          <w:tab w:val="left" w:pos="284"/>
        </w:tabs>
        <w:spacing w:after="120"/>
        <w:rPr>
          <w:b/>
        </w:rPr>
      </w:pPr>
      <w:r w:rsidRPr="00D326F8">
        <w:rPr>
          <w:b/>
        </w:rPr>
        <w:t>Permanent sterilization:</w:t>
      </w:r>
    </w:p>
    <w:p w14:paraId="601A8402" w14:textId="77777777" w:rsidR="00CC2A91" w:rsidRPr="00D326F8" w:rsidRDefault="003E23E4" w:rsidP="00CC2A91">
      <w:pPr>
        <w:tabs>
          <w:tab w:val="left" w:pos="284"/>
        </w:tabs>
        <w:spacing w:before="0"/>
        <w:rPr>
          <w:bCs/>
        </w:rPr>
      </w:pPr>
      <w:r w:rsidRPr="00D326F8">
        <w:rPr>
          <w:bCs/>
        </w:rPr>
        <w:t>For this study, permanent sterilization includes:</w:t>
      </w:r>
    </w:p>
    <w:p w14:paraId="601A8403" w14:textId="77777777" w:rsidR="00CC2A91" w:rsidRPr="00D326F8" w:rsidRDefault="003E23E4" w:rsidP="0057019A">
      <w:pPr>
        <w:numPr>
          <w:ilvl w:val="0"/>
          <w:numId w:val="15"/>
        </w:numPr>
        <w:spacing w:before="120"/>
        <w:ind w:left="360"/>
        <w:rPr>
          <w:rFonts w:eastAsiaTheme="minorHAnsi"/>
          <w:lang w:eastAsia="ja-JP"/>
        </w:rPr>
      </w:pPr>
      <w:r w:rsidRPr="00D326F8">
        <w:rPr>
          <w:rFonts w:eastAsiaTheme="minorHAnsi"/>
          <w:lang w:eastAsia="ja-JP"/>
        </w:rPr>
        <w:t>Documented hysterectomy</w:t>
      </w:r>
    </w:p>
    <w:p w14:paraId="601A8404" w14:textId="77777777" w:rsidR="00CC2A91" w:rsidRPr="00D326F8" w:rsidRDefault="003E23E4" w:rsidP="0057019A">
      <w:pPr>
        <w:numPr>
          <w:ilvl w:val="0"/>
          <w:numId w:val="15"/>
        </w:numPr>
        <w:spacing w:before="120"/>
        <w:ind w:left="360"/>
        <w:rPr>
          <w:rFonts w:eastAsiaTheme="minorHAnsi"/>
          <w:lang w:eastAsia="ja-JP"/>
        </w:rPr>
      </w:pPr>
      <w:r w:rsidRPr="00D326F8">
        <w:rPr>
          <w:rFonts w:eastAsiaTheme="minorHAnsi"/>
          <w:lang w:eastAsia="ja-JP"/>
        </w:rPr>
        <w:t>Documented bilateral salpingectomy</w:t>
      </w:r>
    </w:p>
    <w:p w14:paraId="601A8405" w14:textId="77777777" w:rsidR="00CC2A91" w:rsidRPr="00D326F8" w:rsidRDefault="003E23E4" w:rsidP="0057019A">
      <w:pPr>
        <w:numPr>
          <w:ilvl w:val="0"/>
          <w:numId w:val="15"/>
        </w:numPr>
        <w:spacing w:before="120"/>
        <w:ind w:left="360"/>
        <w:rPr>
          <w:rFonts w:eastAsiaTheme="minorHAnsi"/>
          <w:lang w:eastAsia="ja-JP"/>
        </w:rPr>
      </w:pPr>
      <w:r w:rsidRPr="00D326F8">
        <w:rPr>
          <w:rFonts w:eastAsiaTheme="minorHAnsi"/>
          <w:lang w:eastAsia="ja-JP"/>
        </w:rPr>
        <w:t>Documented bilateral oophorectomy</w:t>
      </w:r>
    </w:p>
    <w:p w14:paraId="601A8406" w14:textId="77777777" w:rsidR="00CC2A91" w:rsidRPr="00D326F8" w:rsidRDefault="003E23E4" w:rsidP="00CC2A91">
      <w:pPr>
        <w:tabs>
          <w:tab w:val="left" w:pos="284"/>
        </w:tabs>
        <w:rPr>
          <w:bCs/>
        </w:rPr>
      </w:pPr>
      <w:r w:rsidRPr="00D326F8">
        <w:rPr>
          <w:bCs/>
        </w:rPr>
        <w:t>Documentation can come from the site personnel’s review of the individual’s medical records, medical examination, or medical history interview.</w:t>
      </w:r>
    </w:p>
    <w:p w14:paraId="601A8407" w14:textId="77777777" w:rsidR="00CC2A91" w:rsidRPr="00D326F8" w:rsidRDefault="003E23E4" w:rsidP="00CC2A91">
      <w:pPr>
        <w:spacing w:before="120"/>
        <w:rPr>
          <w:bCs/>
        </w:rPr>
      </w:pPr>
      <w:r w:rsidRPr="00D326F8">
        <w:rPr>
          <w:bCs/>
        </w:rPr>
        <w:t>For individuals with permanent infertility due to an alternate medical cause other than the above, (e.g., Mullerian agenesis, androgen insensitivity), Investigator discretion applies to determine study entry.</w:t>
      </w:r>
    </w:p>
    <w:p w14:paraId="601A8408" w14:textId="77777777" w:rsidR="00CC2A91" w:rsidRPr="00D326F8" w:rsidRDefault="003E23E4" w:rsidP="00721E04">
      <w:pPr>
        <w:keepNext/>
        <w:keepLines/>
        <w:tabs>
          <w:tab w:val="left" w:pos="284"/>
        </w:tabs>
        <w:spacing w:before="120" w:after="120"/>
        <w:rPr>
          <w:b/>
          <w:sz w:val="28"/>
          <w:szCs w:val="28"/>
        </w:rPr>
      </w:pPr>
      <w:r w:rsidRPr="00D326F8">
        <w:rPr>
          <w:b/>
          <w:sz w:val="28"/>
          <w:szCs w:val="28"/>
        </w:rPr>
        <w:lastRenderedPageBreak/>
        <w:t>Contraception Guidance:</w:t>
      </w:r>
    </w:p>
    <w:tbl>
      <w:tblPr>
        <w:tblStyle w:val="TableGrid"/>
        <w:tblW w:w="9360" w:type="dxa"/>
        <w:tblInd w:w="-5" w:type="dxa"/>
        <w:tblLayout w:type="fixed"/>
        <w:tblLook w:val="04A0" w:firstRow="1" w:lastRow="0" w:firstColumn="1" w:lastColumn="0" w:noHBand="0" w:noVBand="1"/>
      </w:tblPr>
      <w:tblGrid>
        <w:gridCol w:w="9360"/>
      </w:tblGrid>
      <w:tr w:rsidR="003B74AE" w:rsidRPr="00D326F8" w14:paraId="601A840A" w14:textId="77777777" w:rsidTr="00721E04">
        <w:tc>
          <w:tcPr>
            <w:tcW w:w="9360" w:type="dxa"/>
            <w:hideMark/>
          </w:tcPr>
          <w:p w14:paraId="601A8409" w14:textId="77777777" w:rsidR="00721E04" w:rsidRPr="00D326F8" w:rsidRDefault="003E23E4" w:rsidP="00721E04">
            <w:pPr>
              <w:keepNext/>
              <w:keepLines/>
              <w:spacing w:before="120"/>
              <w:ind w:hanging="13"/>
              <w:rPr>
                <w:rFonts w:ascii="Arial" w:hAnsi="Arial" w:cs="Arial"/>
                <w:b/>
                <w:sz w:val="18"/>
                <w:szCs w:val="18"/>
              </w:rPr>
            </w:pPr>
            <w:r w:rsidRPr="00D326F8">
              <w:rPr>
                <w:rFonts w:ascii="Arial" w:hAnsi="Arial" w:cs="Arial"/>
                <w:b/>
                <w:sz w:val="18"/>
                <w:szCs w:val="18"/>
              </w:rPr>
              <w:t>CONTRACEPTIVES ALLOWED DURING THE STUDY INCLUDE:</w:t>
            </w:r>
          </w:p>
        </w:tc>
      </w:tr>
      <w:tr w:rsidR="003B74AE" w:rsidRPr="00D326F8" w14:paraId="601A8411" w14:textId="77777777" w:rsidTr="00721E04">
        <w:trPr>
          <w:trHeight w:val="2289"/>
        </w:trPr>
        <w:tc>
          <w:tcPr>
            <w:tcW w:w="9360" w:type="dxa"/>
            <w:hideMark/>
          </w:tcPr>
          <w:p w14:paraId="601A840B" w14:textId="77777777" w:rsidR="00721E04" w:rsidRPr="00D326F8" w:rsidRDefault="003E23E4" w:rsidP="00721E04">
            <w:pPr>
              <w:keepNext/>
              <w:keepLines/>
              <w:spacing w:before="120"/>
              <w:ind w:hanging="13"/>
              <w:rPr>
                <w:sz w:val="18"/>
                <w:szCs w:val="18"/>
              </w:rPr>
            </w:pPr>
            <w:r w:rsidRPr="00D326F8">
              <w:rPr>
                <w:rFonts w:ascii="Arial" w:hAnsi="Arial" w:cs="Arial"/>
                <w:b/>
                <w:sz w:val="18"/>
                <w:szCs w:val="18"/>
              </w:rPr>
              <w:t>Highly Effective Methods That Have Low User Dependency</w:t>
            </w:r>
          </w:p>
          <w:p w14:paraId="601A840C" w14:textId="77777777" w:rsidR="00721E04" w:rsidRPr="00D326F8" w:rsidRDefault="003E23E4" w:rsidP="006A0BB7">
            <w:pPr>
              <w:keepNext/>
              <w:keepLines/>
              <w:numPr>
                <w:ilvl w:val="0"/>
                <w:numId w:val="5"/>
              </w:numPr>
              <w:tabs>
                <w:tab w:val="clear" w:pos="576"/>
                <w:tab w:val="num" w:pos="347"/>
              </w:tabs>
              <w:spacing w:before="0"/>
              <w:ind w:left="346" w:hanging="346"/>
              <w:rPr>
                <w:rFonts w:ascii="Arial" w:hAnsi="Arial" w:cs="Arial"/>
                <w:sz w:val="18"/>
                <w:szCs w:val="18"/>
              </w:rPr>
            </w:pPr>
            <w:r w:rsidRPr="00D326F8">
              <w:rPr>
                <w:rFonts w:ascii="Arial" w:hAnsi="Arial" w:cs="Arial"/>
                <w:sz w:val="18"/>
                <w:szCs w:val="18"/>
              </w:rPr>
              <w:t>Implantable progestogen-only hormone contraception associated with inhibition of ovulation</w:t>
            </w:r>
          </w:p>
          <w:p w14:paraId="601A840D" w14:textId="77777777" w:rsidR="00721E04" w:rsidRPr="00D326F8" w:rsidRDefault="003E23E4" w:rsidP="006A0BB7">
            <w:pPr>
              <w:keepNext/>
              <w:keepLines/>
              <w:numPr>
                <w:ilvl w:val="0"/>
                <w:numId w:val="5"/>
              </w:numPr>
              <w:tabs>
                <w:tab w:val="clear" w:pos="576"/>
                <w:tab w:val="num" w:pos="347"/>
              </w:tabs>
              <w:spacing w:before="0"/>
              <w:ind w:left="346" w:hanging="346"/>
              <w:rPr>
                <w:rFonts w:ascii="Arial" w:hAnsi="Arial" w:cs="Arial"/>
                <w:sz w:val="18"/>
                <w:szCs w:val="18"/>
              </w:rPr>
            </w:pPr>
            <w:r w:rsidRPr="00D326F8">
              <w:rPr>
                <w:rFonts w:ascii="Arial" w:hAnsi="Arial" w:cs="Arial"/>
                <w:sz w:val="18"/>
                <w:szCs w:val="18"/>
              </w:rPr>
              <w:t>IUD</w:t>
            </w:r>
          </w:p>
          <w:p w14:paraId="601A840E" w14:textId="77777777" w:rsidR="00721E04" w:rsidRPr="00D326F8" w:rsidRDefault="003E23E4" w:rsidP="006A0BB7">
            <w:pPr>
              <w:keepNext/>
              <w:keepLines/>
              <w:numPr>
                <w:ilvl w:val="0"/>
                <w:numId w:val="5"/>
              </w:numPr>
              <w:tabs>
                <w:tab w:val="clear" w:pos="576"/>
                <w:tab w:val="num" w:pos="347"/>
              </w:tabs>
              <w:spacing w:before="0"/>
              <w:ind w:left="346" w:hanging="346"/>
              <w:rPr>
                <w:rFonts w:ascii="Arial" w:hAnsi="Arial" w:cs="Arial"/>
                <w:sz w:val="18"/>
                <w:szCs w:val="18"/>
              </w:rPr>
            </w:pPr>
            <w:r w:rsidRPr="00D326F8">
              <w:rPr>
                <w:rFonts w:ascii="Arial" w:hAnsi="Arial" w:cs="Arial"/>
                <w:sz w:val="18"/>
                <w:szCs w:val="18"/>
              </w:rPr>
              <w:t>IUS</w:t>
            </w:r>
          </w:p>
          <w:p w14:paraId="601A840F" w14:textId="77777777" w:rsidR="00721E04" w:rsidRPr="00D326F8" w:rsidRDefault="003E23E4" w:rsidP="006A0BB7">
            <w:pPr>
              <w:keepNext/>
              <w:keepLines/>
              <w:numPr>
                <w:ilvl w:val="0"/>
                <w:numId w:val="5"/>
              </w:numPr>
              <w:tabs>
                <w:tab w:val="clear" w:pos="576"/>
                <w:tab w:val="num" w:pos="347"/>
              </w:tabs>
              <w:spacing w:before="0"/>
              <w:ind w:left="346" w:hanging="346"/>
              <w:rPr>
                <w:rFonts w:ascii="Arial" w:hAnsi="Arial" w:cs="Arial"/>
                <w:sz w:val="18"/>
                <w:szCs w:val="18"/>
              </w:rPr>
            </w:pPr>
            <w:r w:rsidRPr="00D326F8">
              <w:rPr>
                <w:rFonts w:ascii="Arial" w:hAnsi="Arial" w:cs="Arial"/>
                <w:sz w:val="18"/>
                <w:szCs w:val="18"/>
              </w:rPr>
              <w:t>Bilateral tubal occlusion</w:t>
            </w:r>
          </w:p>
          <w:p w14:paraId="601A8410" w14:textId="77777777" w:rsidR="00721E04" w:rsidRPr="00D326F8" w:rsidRDefault="003E23E4" w:rsidP="006A0BB7">
            <w:pPr>
              <w:keepNext/>
              <w:keepLines/>
              <w:numPr>
                <w:ilvl w:val="0"/>
                <w:numId w:val="5"/>
              </w:numPr>
              <w:tabs>
                <w:tab w:val="clear" w:pos="576"/>
                <w:tab w:val="num" w:pos="347"/>
              </w:tabs>
              <w:spacing w:before="0"/>
              <w:ind w:left="346" w:hanging="346"/>
              <w:rPr>
                <w:sz w:val="18"/>
                <w:szCs w:val="18"/>
              </w:rPr>
            </w:pPr>
            <w:r w:rsidRPr="00D326F8">
              <w:rPr>
                <w:rFonts w:ascii="Arial" w:hAnsi="Arial" w:cs="Arial"/>
                <w:sz w:val="18"/>
                <w:szCs w:val="18"/>
              </w:rPr>
              <w:t>Vasectomized partner: a highly effective contraceptive method provided that the partner is the sole sexual partner of a WOCBP, and the absence of sperm has been confirmed. Otherwise, use an additional highly effective method of contraception. The spermatogenesis cycle is approximately 90 days.</w:t>
            </w:r>
          </w:p>
        </w:tc>
      </w:tr>
      <w:tr w:rsidR="003B74AE" w:rsidRPr="00D326F8" w14:paraId="601A841C" w14:textId="77777777" w:rsidTr="005D2CAB">
        <w:trPr>
          <w:trHeight w:val="3577"/>
        </w:trPr>
        <w:tc>
          <w:tcPr>
            <w:tcW w:w="9360" w:type="dxa"/>
            <w:hideMark/>
          </w:tcPr>
          <w:p w14:paraId="601A8412" w14:textId="77777777" w:rsidR="00721E04" w:rsidRPr="00D326F8" w:rsidRDefault="003E23E4" w:rsidP="00D9103A">
            <w:pPr>
              <w:spacing w:before="120"/>
              <w:ind w:hanging="13"/>
              <w:rPr>
                <w:sz w:val="18"/>
                <w:szCs w:val="18"/>
              </w:rPr>
            </w:pPr>
            <w:r w:rsidRPr="00D326F8">
              <w:rPr>
                <w:rFonts w:ascii="Arial" w:hAnsi="Arial" w:cs="Arial"/>
                <w:b/>
                <w:sz w:val="18"/>
                <w:szCs w:val="18"/>
              </w:rPr>
              <w:t>Highly Effective Methods That Are User Dependent</w:t>
            </w:r>
          </w:p>
          <w:p w14:paraId="601A8413" w14:textId="77777777" w:rsidR="00721E04" w:rsidRPr="00D326F8" w:rsidRDefault="003E23E4" w:rsidP="006A0BB7">
            <w:pPr>
              <w:numPr>
                <w:ilvl w:val="0"/>
                <w:numId w:val="5"/>
              </w:numPr>
              <w:tabs>
                <w:tab w:val="clear" w:pos="576"/>
                <w:tab w:val="num" w:pos="347"/>
              </w:tabs>
              <w:spacing w:before="0"/>
              <w:ind w:left="347" w:hanging="347"/>
              <w:rPr>
                <w:rFonts w:ascii="Arial" w:hAnsi="Arial" w:cs="Arial"/>
                <w:sz w:val="18"/>
                <w:szCs w:val="18"/>
              </w:rPr>
            </w:pPr>
            <w:r w:rsidRPr="00D326F8">
              <w:rPr>
                <w:rFonts w:ascii="Arial" w:hAnsi="Arial" w:cs="Arial"/>
                <w:sz w:val="18"/>
                <w:szCs w:val="18"/>
              </w:rPr>
              <w:t>Combined (estrogen- and progestogen-containing) hormonal contraception associated with inhibition of ovulation</w:t>
            </w:r>
          </w:p>
          <w:p w14:paraId="601A8414" w14:textId="77777777" w:rsidR="00721E04" w:rsidRPr="00D326F8" w:rsidRDefault="003E23E4" w:rsidP="006A0BB7">
            <w:pPr>
              <w:numPr>
                <w:ilvl w:val="0"/>
                <w:numId w:val="5"/>
              </w:numPr>
              <w:tabs>
                <w:tab w:val="clear" w:pos="576"/>
                <w:tab w:val="num" w:pos="887"/>
              </w:tabs>
              <w:spacing w:before="0"/>
              <w:ind w:left="707" w:hanging="360"/>
              <w:rPr>
                <w:rFonts w:ascii="Arial" w:hAnsi="Arial" w:cs="Arial"/>
                <w:sz w:val="18"/>
                <w:szCs w:val="18"/>
              </w:rPr>
            </w:pPr>
            <w:r w:rsidRPr="00D326F8">
              <w:rPr>
                <w:rFonts w:ascii="Arial" w:hAnsi="Arial" w:cs="Arial"/>
                <w:sz w:val="18"/>
                <w:szCs w:val="18"/>
              </w:rPr>
              <w:t>Oral</w:t>
            </w:r>
          </w:p>
          <w:p w14:paraId="601A8415" w14:textId="77777777" w:rsidR="00721E04" w:rsidRPr="00D326F8" w:rsidRDefault="003E23E4" w:rsidP="006A0BB7">
            <w:pPr>
              <w:numPr>
                <w:ilvl w:val="0"/>
                <w:numId w:val="5"/>
              </w:numPr>
              <w:tabs>
                <w:tab w:val="clear" w:pos="576"/>
                <w:tab w:val="num" w:pos="887"/>
              </w:tabs>
              <w:spacing w:before="0"/>
              <w:ind w:left="707" w:hanging="360"/>
              <w:rPr>
                <w:rFonts w:ascii="Arial" w:hAnsi="Arial" w:cs="Arial"/>
                <w:sz w:val="18"/>
                <w:szCs w:val="18"/>
              </w:rPr>
            </w:pPr>
            <w:r w:rsidRPr="00D326F8">
              <w:rPr>
                <w:rFonts w:ascii="Arial" w:hAnsi="Arial" w:cs="Arial"/>
                <w:sz w:val="18"/>
                <w:szCs w:val="18"/>
              </w:rPr>
              <w:t>Intravaginal</w:t>
            </w:r>
          </w:p>
          <w:p w14:paraId="601A8416" w14:textId="77777777" w:rsidR="00721E04" w:rsidRPr="00D326F8" w:rsidRDefault="003E23E4" w:rsidP="006A0BB7">
            <w:pPr>
              <w:numPr>
                <w:ilvl w:val="0"/>
                <w:numId w:val="5"/>
              </w:numPr>
              <w:tabs>
                <w:tab w:val="clear" w:pos="576"/>
                <w:tab w:val="num" w:pos="887"/>
              </w:tabs>
              <w:spacing w:before="0"/>
              <w:ind w:left="707" w:hanging="360"/>
              <w:rPr>
                <w:rFonts w:ascii="Arial" w:hAnsi="Arial" w:cs="Arial"/>
                <w:sz w:val="18"/>
                <w:szCs w:val="18"/>
              </w:rPr>
            </w:pPr>
            <w:r w:rsidRPr="00D326F8">
              <w:rPr>
                <w:rFonts w:ascii="Arial" w:hAnsi="Arial" w:cs="Arial"/>
                <w:sz w:val="18"/>
                <w:szCs w:val="18"/>
              </w:rPr>
              <w:t>Transdermal</w:t>
            </w:r>
          </w:p>
          <w:p w14:paraId="601A8417" w14:textId="77777777" w:rsidR="00721E04" w:rsidRPr="00D326F8" w:rsidRDefault="003E23E4" w:rsidP="006A0BB7">
            <w:pPr>
              <w:numPr>
                <w:ilvl w:val="0"/>
                <w:numId w:val="5"/>
              </w:numPr>
              <w:tabs>
                <w:tab w:val="clear" w:pos="576"/>
                <w:tab w:val="num" w:pos="887"/>
              </w:tabs>
              <w:spacing w:before="0"/>
              <w:ind w:left="707" w:hanging="360"/>
              <w:rPr>
                <w:rFonts w:ascii="Arial" w:hAnsi="Arial" w:cs="Arial"/>
                <w:sz w:val="18"/>
                <w:szCs w:val="18"/>
              </w:rPr>
            </w:pPr>
            <w:r w:rsidRPr="00D326F8">
              <w:rPr>
                <w:rFonts w:ascii="Arial" w:hAnsi="Arial" w:cs="Arial"/>
                <w:sz w:val="18"/>
                <w:szCs w:val="18"/>
              </w:rPr>
              <w:t>Injectable</w:t>
            </w:r>
          </w:p>
          <w:p w14:paraId="601A8418" w14:textId="77777777" w:rsidR="00721E04" w:rsidRPr="00D326F8" w:rsidRDefault="003E23E4" w:rsidP="006A0BB7">
            <w:pPr>
              <w:numPr>
                <w:ilvl w:val="0"/>
                <w:numId w:val="5"/>
              </w:numPr>
              <w:tabs>
                <w:tab w:val="clear" w:pos="576"/>
                <w:tab w:val="num" w:pos="347"/>
              </w:tabs>
              <w:spacing w:before="0"/>
              <w:ind w:left="347" w:hanging="347"/>
              <w:rPr>
                <w:rFonts w:ascii="Arial" w:hAnsi="Arial" w:cs="Arial"/>
                <w:sz w:val="18"/>
                <w:szCs w:val="18"/>
              </w:rPr>
            </w:pPr>
            <w:r w:rsidRPr="00D326F8">
              <w:rPr>
                <w:rFonts w:ascii="Arial" w:hAnsi="Arial" w:cs="Arial"/>
                <w:sz w:val="18"/>
                <w:szCs w:val="18"/>
              </w:rPr>
              <w:t>Progestogen-only hormone contraception associated with inhibition of ovulation</w:t>
            </w:r>
          </w:p>
          <w:p w14:paraId="601A8419" w14:textId="77777777" w:rsidR="00721E04" w:rsidRPr="00D326F8" w:rsidRDefault="003E23E4" w:rsidP="006A0BB7">
            <w:pPr>
              <w:numPr>
                <w:ilvl w:val="0"/>
                <w:numId w:val="5"/>
              </w:numPr>
              <w:tabs>
                <w:tab w:val="clear" w:pos="576"/>
                <w:tab w:val="num" w:pos="887"/>
              </w:tabs>
              <w:spacing w:before="0"/>
              <w:ind w:left="707" w:hanging="360"/>
              <w:rPr>
                <w:rFonts w:ascii="Arial" w:hAnsi="Arial" w:cs="Arial"/>
                <w:sz w:val="18"/>
                <w:szCs w:val="18"/>
              </w:rPr>
            </w:pPr>
            <w:r w:rsidRPr="00D326F8">
              <w:rPr>
                <w:rFonts w:ascii="Arial" w:hAnsi="Arial" w:cs="Arial"/>
                <w:sz w:val="18"/>
                <w:szCs w:val="18"/>
              </w:rPr>
              <w:t>Oral</w:t>
            </w:r>
          </w:p>
          <w:p w14:paraId="601A841A" w14:textId="77777777" w:rsidR="00721E04" w:rsidRPr="00D326F8" w:rsidRDefault="003E23E4" w:rsidP="006A0BB7">
            <w:pPr>
              <w:numPr>
                <w:ilvl w:val="0"/>
                <w:numId w:val="5"/>
              </w:numPr>
              <w:tabs>
                <w:tab w:val="clear" w:pos="576"/>
                <w:tab w:val="num" w:pos="887"/>
              </w:tabs>
              <w:spacing w:before="0"/>
              <w:ind w:left="707" w:hanging="360"/>
              <w:rPr>
                <w:rFonts w:ascii="Arial" w:hAnsi="Arial" w:cs="Arial"/>
                <w:sz w:val="18"/>
                <w:szCs w:val="18"/>
              </w:rPr>
            </w:pPr>
            <w:r w:rsidRPr="00D326F8">
              <w:rPr>
                <w:rFonts w:ascii="Arial" w:hAnsi="Arial" w:cs="Arial"/>
                <w:sz w:val="18"/>
                <w:szCs w:val="18"/>
              </w:rPr>
              <w:t>Injectable</w:t>
            </w:r>
          </w:p>
          <w:p w14:paraId="601A841B" w14:textId="77777777" w:rsidR="00721E04" w:rsidRPr="00D326F8" w:rsidRDefault="003E23E4" w:rsidP="006A0BB7">
            <w:pPr>
              <w:numPr>
                <w:ilvl w:val="0"/>
                <w:numId w:val="5"/>
              </w:numPr>
              <w:tabs>
                <w:tab w:val="clear" w:pos="576"/>
                <w:tab w:val="num" w:pos="347"/>
              </w:tabs>
              <w:spacing w:before="0"/>
              <w:ind w:left="347" w:hanging="347"/>
              <w:rPr>
                <w:sz w:val="18"/>
                <w:szCs w:val="18"/>
              </w:rPr>
            </w:pPr>
            <w:r w:rsidRPr="00D326F8">
              <w:rPr>
                <w:rFonts w:ascii="Arial" w:hAnsi="Arial" w:cs="Arial"/>
                <w:sz w:val="18"/>
                <w:szCs w:val="18"/>
              </w:rPr>
              <w:t xml:space="preserve">Sexual abstinence: a highly effective method </w:t>
            </w:r>
            <w:r w:rsidRPr="00D326F8">
              <w:rPr>
                <w:rFonts w:ascii="Arial" w:hAnsi="Arial" w:cs="Arial"/>
                <w:b/>
                <w:bCs/>
                <w:sz w:val="18"/>
                <w:szCs w:val="18"/>
              </w:rPr>
              <w:t>only</w:t>
            </w:r>
            <w:r w:rsidRPr="00D326F8">
              <w:rPr>
                <w:rFonts w:ascii="Arial" w:hAnsi="Arial" w:cs="Arial"/>
                <w:sz w:val="18"/>
                <w:szCs w:val="18"/>
              </w:rPr>
              <w:t xml:space="preserve"> if defined as refraining from intercourse during the entire period of risk associated with the study intervention. The reliability of sexual abstinence needs to be evaluated in relation to the duration of the study and the preferred and usual lifestyle of the participant.</w:t>
            </w:r>
          </w:p>
        </w:tc>
      </w:tr>
      <w:tr w:rsidR="003B74AE" w:rsidRPr="00D326F8" w14:paraId="601A8422" w14:textId="77777777" w:rsidTr="00721E04">
        <w:tc>
          <w:tcPr>
            <w:tcW w:w="9360" w:type="dxa"/>
          </w:tcPr>
          <w:p w14:paraId="601A841D" w14:textId="77777777" w:rsidR="00721E04" w:rsidRPr="00D326F8" w:rsidRDefault="003E23E4" w:rsidP="00721E04">
            <w:pPr>
              <w:tabs>
                <w:tab w:val="left" w:pos="-13"/>
                <w:tab w:val="left" w:pos="576"/>
                <w:tab w:val="left" w:pos="864"/>
              </w:tabs>
              <w:spacing w:before="120" w:after="120"/>
              <w:ind w:left="-14"/>
              <w:jc w:val="left"/>
              <w:rPr>
                <w:rFonts w:ascii="Arial" w:hAnsi="Arial" w:cs="Arial"/>
                <w:sz w:val="18"/>
                <w:szCs w:val="18"/>
                <w:lang w:eastAsia="ja-JP"/>
              </w:rPr>
            </w:pPr>
            <w:r w:rsidRPr="00D326F8">
              <w:rPr>
                <w:rFonts w:ascii="Arial" w:hAnsi="Arial" w:cs="Arial"/>
                <w:sz w:val="18"/>
                <w:szCs w:val="18"/>
                <w:lang w:eastAsia="ja-JP"/>
              </w:rPr>
              <w:t>Notes:</w:t>
            </w:r>
          </w:p>
          <w:p w14:paraId="601A841E" w14:textId="77777777" w:rsidR="00721E04" w:rsidRPr="00D326F8" w:rsidRDefault="003E23E4" w:rsidP="00721E04">
            <w:pPr>
              <w:tabs>
                <w:tab w:val="left" w:pos="-13"/>
                <w:tab w:val="left" w:pos="576"/>
                <w:tab w:val="left" w:pos="864"/>
              </w:tabs>
              <w:spacing w:before="120" w:after="120"/>
              <w:ind w:left="-14"/>
              <w:jc w:val="left"/>
              <w:rPr>
                <w:rFonts w:ascii="Arial" w:hAnsi="Arial" w:cs="Arial"/>
                <w:sz w:val="18"/>
                <w:szCs w:val="18"/>
                <w:lang w:eastAsia="ja-JP"/>
              </w:rPr>
            </w:pPr>
            <w:r w:rsidRPr="00D326F8">
              <w:rPr>
                <w:rFonts w:ascii="Arial" w:hAnsi="Arial" w:cs="Arial"/>
                <w:sz w:val="18"/>
                <w:szCs w:val="18"/>
                <w:lang w:eastAsia="ja-JP"/>
              </w:rPr>
              <w:t>Contraceptive use by men or women is consistent with local regulations on the use of contraceptive methods for clinical study participants.</w:t>
            </w:r>
          </w:p>
          <w:p w14:paraId="601A841F" w14:textId="77777777" w:rsidR="00721E04" w:rsidRPr="00D326F8" w:rsidRDefault="003E23E4" w:rsidP="00721E04">
            <w:pPr>
              <w:tabs>
                <w:tab w:val="left" w:pos="288"/>
                <w:tab w:val="left" w:pos="576"/>
                <w:tab w:val="left" w:pos="864"/>
              </w:tabs>
              <w:spacing w:before="120" w:after="120"/>
              <w:jc w:val="left"/>
              <w:rPr>
                <w:rFonts w:ascii="Arial" w:hAnsi="Arial" w:cs="Arial"/>
                <w:sz w:val="18"/>
                <w:szCs w:val="18"/>
                <w:lang w:eastAsia="ja-JP"/>
              </w:rPr>
            </w:pPr>
            <w:r w:rsidRPr="00D326F8">
              <w:rPr>
                <w:rFonts w:ascii="Arial" w:hAnsi="Arial" w:cs="Arial"/>
                <w:sz w:val="18"/>
                <w:szCs w:val="18"/>
                <w:lang w:eastAsia="ja-JP"/>
              </w:rPr>
              <w:t>Highly effective methods are those with a failure rate of &lt;</w:t>
            </w:r>
            <w:r w:rsidR="002F32DE" w:rsidRPr="00D326F8">
              <w:rPr>
                <w:rFonts w:ascii="Arial" w:hAnsi="Arial" w:cs="Arial"/>
                <w:sz w:val="18"/>
                <w:szCs w:val="18"/>
                <w:lang w:eastAsia="ja-JP"/>
              </w:rPr>
              <w:t> </w:t>
            </w:r>
            <w:r w:rsidRPr="00D326F8">
              <w:rPr>
                <w:rFonts w:ascii="Arial" w:hAnsi="Arial" w:cs="Arial"/>
                <w:sz w:val="18"/>
                <w:szCs w:val="18"/>
                <w:lang w:eastAsia="ja-JP"/>
              </w:rPr>
              <w:t>1% per year when used consistently and correctly. Typical use failure rates differ from those when used consistently and correctly.</w:t>
            </w:r>
          </w:p>
          <w:p w14:paraId="601A8420" w14:textId="77777777" w:rsidR="00721E04" w:rsidRPr="00D326F8" w:rsidRDefault="003E23E4" w:rsidP="00721E04">
            <w:pPr>
              <w:tabs>
                <w:tab w:val="left" w:pos="-13"/>
                <w:tab w:val="left" w:pos="576"/>
                <w:tab w:val="left" w:pos="864"/>
              </w:tabs>
              <w:spacing w:before="120" w:after="120"/>
              <w:ind w:left="-14"/>
              <w:jc w:val="left"/>
              <w:rPr>
                <w:rFonts w:ascii="Arial" w:hAnsi="Arial" w:cs="Arial"/>
                <w:sz w:val="18"/>
                <w:szCs w:val="18"/>
                <w:lang w:eastAsia="ja-JP"/>
              </w:rPr>
            </w:pPr>
            <w:r w:rsidRPr="00D326F8">
              <w:rPr>
                <w:rFonts w:ascii="Arial" w:hAnsi="Arial" w:cs="Arial"/>
                <w:sz w:val="18"/>
                <w:szCs w:val="18"/>
                <w:lang w:eastAsia="ja-JP"/>
              </w:rPr>
              <w:t>If locally required, in accordance with CTFG guidelines, acceptable contraceptive methods are limited to those which inhibit ovulation as the primary mode of action.</w:t>
            </w:r>
          </w:p>
          <w:p w14:paraId="601A8421" w14:textId="5475FF27" w:rsidR="00721E04" w:rsidRPr="00D326F8" w:rsidRDefault="003E23E4" w:rsidP="00721E04">
            <w:pPr>
              <w:spacing w:before="120" w:after="120"/>
              <w:jc w:val="left"/>
              <w:rPr>
                <w:sz w:val="18"/>
                <w:szCs w:val="18"/>
              </w:rPr>
            </w:pPr>
            <w:r w:rsidRPr="00D326F8">
              <w:rPr>
                <w:rFonts w:ascii="Arial" w:eastAsia="MS Mincho" w:hAnsi="Arial" w:cs="Arial"/>
                <w:sz w:val="18"/>
                <w:szCs w:val="18"/>
              </w:rPr>
              <w:t xml:space="preserve">Periodic abstinence (calendar, </w:t>
            </w:r>
            <w:proofErr w:type="spellStart"/>
            <w:r w:rsidRPr="00D326F8">
              <w:rPr>
                <w:rFonts w:ascii="Arial" w:eastAsia="MS Mincho" w:hAnsi="Arial" w:cs="Arial"/>
                <w:sz w:val="18"/>
                <w:szCs w:val="18"/>
              </w:rPr>
              <w:t>symptothermal</w:t>
            </w:r>
            <w:proofErr w:type="spellEnd"/>
            <w:r w:rsidRPr="00D326F8">
              <w:rPr>
                <w:rFonts w:ascii="Arial" w:eastAsia="MS Mincho" w:hAnsi="Arial" w:cs="Arial"/>
                <w:sz w:val="18"/>
                <w:szCs w:val="18"/>
              </w:rPr>
              <w:t xml:space="preserve">, </w:t>
            </w:r>
            <w:proofErr w:type="spellStart"/>
            <w:r w:rsidRPr="00D326F8">
              <w:rPr>
                <w:rFonts w:ascii="Arial" w:eastAsia="MS Mincho" w:hAnsi="Arial" w:cs="Arial"/>
                <w:sz w:val="18"/>
                <w:szCs w:val="18"/>
              </w:rPr>
              <w:t>postovulation</w:t>
            </w:r>
            <w:proofErr w:type="spellEnd"/>
            <w:r w:rsidRPr="00D326F8">
              <w:rPr>
                <w:rFonts w:ascii="Arial" w:eastAsia="MS Mincho" w:hAnsi="Arial" w:cs="Arial"/>
                <w:sz w:val="18"/>
                <w:szCs w:val="18"/>
              </w:rPr>
              <w:t xml:space="preserve"> methods), withdrawal (coitus interruptus), spermicides only, and </w:t>
            </w:r>
            <w:r w:rsidR="002F32DE" w:rsidRPr="00D326F8">
              <w:rPr>
                <w:rFonts w:ascii="Arial" w:eastAsia="MS Mincho" w:hAnsi="Arial" w:cs="Arial"/>
                <w:sz w:val="18"/>
                <w:szCs w:val="18"/>
              </w:rPr>
              <w:t xml:space="preserve">lactation </w:t>
            </w:r>
            <w:proofErr w:type="spellStart"/>
            <w:r w:rsidR="002F32DE" w:rsidRPr="00D326F8">
              <w:rPr>
                <w:rFonts w:ascii="Arial" w:eastAsia="MS Mincho" w:hAnsi="Arial" w:cs="Arial"/>
                <w:sz w:val="18"/>
                <w:szCs w:val="18"/>
              </w:rPr>
              <w:t>amenorrheae</w:t>
            </w:r>
            <w:proofErr w:type="spellEnd"/>
            <w:r w:rsidR="002F32DE" w:rsidRPr="00D326F8">
              <w:rPr>
                <w:rFonts w:ascii="Arial" w:eastAsia="MS Mincho" w:hAnsi="Arial" w:cs="Arial"/>
                <w:sz w:val="18"/>
                <w:szCs w:val="18"/>
              </w:rPr>
              <w:t xml:space="preserve"> method </w:t>
            </w:r>
            <w:r w:rsidRPr="00D326F8">
              <w:rPr>
                <w:rFonts w:ascii="Arial" w:eastAsia="MS Mincho" w:hAnsi="Arial" w:cs="Arial"/>
                <w:sz w:val="18"/>
                <w:szCs w:val="18"/>
              </w:rPr>
              <w:t xml:space="preserve">are </w:t>
            </w:r>
            <w:r w:rsidRPr="00D326F8">
              <w:rPr>
                <w:rFonts w:ascii="Arial" w:eastAsia="MS Mincho" w:hAnsi="Arial" w:cs="Arial"/>
                <w:b/>
                <w:sz w:val="18"/>
                <w:szCs w:val="18"/>
              </w:rPr>
              <w:t>not</w:t>
            </w:r>
            <w:r w:rsidRPr="00D326F8">
              <w:rPr>
                <w:rFonts w:ascii="Arial" w:eastAsia="MS Mincho" w:hAnsi="Arial" w:cs="Arial"/>
                <w:sz w:val="18"/>
                <w:szCs w:val="18"/>
              </w:rPr>
              <w:t xml:space="preserve"> acceptable methods of contraception for this study. </w:t>
            </w:r>
            <w:r w:rsidRPr="00D326F8">
              <w:rPr>
                <w:rFonts w:ascii="Arial" w:hAnsi="Arial" w:cs="Arial"/>
                <w:sz w:val="18"/>
                <w:szCs w:val="18"/>
              </w:rPr>
              <w:t>Male condom and female condom cannot be used together (due to risk of failure from friction).</w:t>
            </w:r>
          </w:p>
        </w:tc>
      </w:tr>
    </w:tbl>
    <w:p w14:paraId="601A8423" w14:textId="77777777" w:rsidR="006162D0" w:rsidRPr="00D326F8" w:rsidRDefault="006162D0" w:rsidP="006162D0">
      <w:pPr>
        <w:pStyle w:val="List1withbullet"/>
        <w:numPr>
          <w:ilvl w:val="0"/>
          <w:numId w:val="0"/>
        </w:numPr>
      </w:pPr>
    </w:p>
    <w:p w14:paraId="601A8424" w14:textId="77777777" w:rsidR="005971DC" w:rsidRPr="00D326F8" w:rsidRDefault="003E23E4" w:rsidP="00AD35DC">
      <w:pPr>
        <w:pStyle w:val="Heading1"/>
        <w:pageBreakBefore/>
        <w:numPr>
          <w:ilvl w:val="0"/>
          <w:numId w:val="0"/>
        </w:numPr>
        <w:tabs>
          <w:tab w:val="left" w:pos="1985"/>
        </w:tabs>
        <w:ind w:left="1985" w:hanging="1985"/>
      </w:pPr>
      <w:bookmarkStart w:id="325" w:name="_Appendix_4_Adverse"/>
      <w:bookmarkStart w:id="326" w:name="_Ref3990242"/>
      <w:bookmarkStart w:id="327" w:name="_Ref3990331"/>
      <w:bookmarkStart w:id="328" w:name="_Ref3990374"/>
      <w:bookmarkStart w:id="329" w:name="_Ref3990403"/>
      <w:bookmarkStart w:id="330" w:name="_Ref3990430"/>
      <w:bookmarkStart w:id="331" w:name="_Ref3990461"/>
      <w:bookmarkStart w:id="332" w:name="_Ref3990546"/>
      <w:bookmarkStart w:id="333" w:name="_Toc77839794"/>
      <w:bookmarkEnd w:id="325"/>
      <w:r w:rsidRPr="00D326F8">
        <w:lastRenderedPageBreak/>
        <w:t xml:space="preserve">Appendix </w:t>
      </w:r>
      <w:r w:rsidR="00575A24" w:rsidRPr="00D326F8">
        <w:t>4</w:t>
      </w:r>
      <w:r w:rsidRPr="00D326F8">
        <w:tab/>
        <w:t>Adverse Events: Definitions and Procedures for Recording, Evaluating, Follow-up, and Reporting</w:t>
      </w:r>
      <w:bookmarkEnd w:id="326"/>
      <w:bookmarkEnd w:id="327"/>
      <w:bookmarkEnd w:id="328"/>
      <w:bookmarkEnd w:id="329"/>
      <w:bookmarkEnd w:id="330"/>
      <w:bookmarkEnd w:id="331"/>
      <w:bookmarkEnd w:id="332"/>
      <w:bookmarkEnd w:id="333"/>
    </w:p>
    <w:p w14:paraId="601A8425" w14:textId="77777777" w:rsidR="00D528AA" w:rsidRPr="00D326F8" w:rsidRDefault="003E23E4" w:rsidP="006028E7">
      <w:pPr>
        <w:pStyle w:val="List1withoutbullet"/>
        <w:tabs>
          <w:tab w:val="clear" w:pos="284"/>
          <w:tab w:val="left" w:pos="450"/>
        </w:tabs>
        <w:spacing w:after="120"/>
        <w:ind w:left="0"/>
      </w:pPr>
      <w:bookmarkStart w:id="334" w:name="_Toc877215"/>
      <w:r w:rsidRPr="00D326F8">
        <w:rPr>
          <w:rStyle w:val="BodyTextChar"/>
          <w:b/>
          <w:bCs/>
          <w:sz w:val="28"/>
          <w:szCs w:val="28"/>
        </w:rPr>
        <w:t>AE Definition</w:t>
      </w:r>
      <w:bookmarkEnd w:id="3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2"/>
      </w:tblGrid>
      <w:tr w:rsidR="003B74AE" w:rsidRPr="00D326F8" w14:paraId="601A8427" w14:textId="77777777" w:rsidTr="005D2CAB">
        <w:tc>
          <w:tcPr>
            <w:tcW w:w="5000" w:type="pct"/>
            <w:shd w:val="clear" w:color="auto" w:fill="EEECE1" w:themeFill="background2"/>
          </w:tcPr>
          <w:p w14:paraId="601A8426" w14:textId="77777777" w:rsidR="00D528AA" w:rsidRPr="00D326F8" w:rsidRDefault="003E23E4" w:rsidP="002959B8">
            <w:pPr>
              <w:pStyle w:val="BodyText"/>
              <w:spacing w:before="120"/>
              <w:rPr>
                <w:b/>
                <w:bCs/>
              </w:rPr>
            </w:pPr>
            <w:r w:rsidRPr="00D326F8">
              <w:rPr>
                <w:b/>
                <w:bCs/>
              </w:rPr>
              <w:t>AE Definition</w:t>
            </w:r>
          </w:p>
        </w:tc>
      </w:tr>
      <w:tr w:rsidR="003B74AE" w:rsidRPr="00D326F8" w14:paraId="601A842A" w14:textId="77777777" w:rsidTr="005D2CAB">
        <w:tc>
          <w:tcPr>
            <w:tcW w:w="5000" w:type="pct"/>
          </w:tcPr>
          <w:p w14:paraId="601A8428" w14:textId="77777777" w:rsidR="00D528AA" w:rsidRPr="00D326F8" w:rsidRDefault="003E23E4" w:rsidP="005160A9">
            <w:pPr>
              <w:pStyle w:val="List2withbullet"/>
              <w:tabs>
                <w:tab w:val="clear" w:pos="576"/>
                <w:tab w:val="num" w:pos="342"/>
              </w:tabs>
              <w:ind w:left="342" w:hanging="342"/>
              <w:rPr>
                <w:lang w:val="en-GB"/>
              </w:rPr>
            </w:pPr>
            <w:r w:rsidRPr="00D326F8">
              <w:rPr>
                <w:lang w:val="en-GB"/>
              </w:rPr>
              <w:t>An AE is any untoward medical occurrence in a patient or clinical study participant, temporally associated with the use of study intervention, whether considered related to the study intervention</w:t>
            </w:r>
            <w:r w:rsidR="00F022CE" w:rsidRPr="00D326F8">
              <w:rPr>
                <w:lang w:val="en-GB"/>
              </w:rPr>
              <w:t xml:space="preserve"> or not</w:t>
            </w:r>
            <w:r w:rsidRPr="00D326F8">
              <w:rPr>
                <w:lang w:val="en-GB"/>
              </w:rPr>
              <w:t>.</w:t>
            </w:r>
          </w:p>
          <w:p w14:paraId="601A8429" w14:textId="5187814A" w:rsidR="00D528AA" w:rsidRPr="00D326F8" w:rsidRDefault="003E23E4" w:rsidP="005160A9">
            <w:pPr>
              <w:pStyle w:val="List2withbullet"/>
              <w:tabs>
                <w:tab w:val="clear" w:pos="576"/>
                <w:tab w:val="num" w:pos="342"/>
              </w:tabs>
              <w:ind w:left="342" w:hanging="342"/>
            </w:pPr>
            <w:r w:rsidRPr="00D326F8">
              <w:rPr>
                <w:lang w:val="en-GB"/>
              </w:rPr>
              <w:t xml:space="preserve">An AE can therefore be any </w:t>
            </w:r>
            <w:r w:rsidRPr="00D326F8">
              <w:t>unfavorable</w:t>
            </w:r>
            <w:r w:rsidRPr="00D326F8">
              <w:rPr>
                <w:lang w:val="en-GB"/>
              </w:rPr>
              <w:t xml:space="preserve"> and unintended sign (including an abnormal laboratory finding), symptom, or disease (new or exacerbated) temporally associated with the use of study intervention</w:t>
            </w:r>
            <w:r w:rsidRPr="00D326F8">
              <w:t xml:space="preserve">. </w:t>
            </w:r>
            <w:r w:rsidRPr="00D326F8">
              <w:rPr>
                <w:lang w:val="en-GB"/>
              </w:rPr>
              <w:t>For surgical or diagnostic procedures, the condition/illness leading to such a procedure is considered as the AE rather than the procedure itself.</w:t>
            </w:r>
          </w:p>
        </w:tc>
      </w:tr>
      <w:tr w:rsidR="003B74AE" w:rsidRPr="00D326F8" w14:paraId="601A842C" w14:textId="77777777" w:rsidTr="005D2CAB">
        <w:tc>
          <w:tcPr>
            <w:tcW w:w="5000" w:type="pct"/>
            <w:shd w:val="clear" w:color="auto" w:fill="EEECE1" w:themeFill="background2"/>
          </w:tcPr>
          <w:p w14:paraId="601A842B" w14:textId="77777777" w:rsidR="00D528AA" w:rsidRPr="00D326F8" w:rsidRDefault="003E23E4" w:rsidP="002959B8">
            <w:pPr>
              <w:pStyle w:val="BodyText"/>
              <w:spacing w:before="120"/>
              <w:rPr>
                <w:b/>
                <w:bCs/>
              </w:rPr>
            </w:pPr>
            <w:r w:rsidRPr="00D326F8">
              <w:rPr>
                <w:b/>
                <w:bCs/>
              </w:rPr>
              <w:t xml:space="preserve">Events </w:t>
            </w:r>
            <w:r w:rsidRPr="00D326F8">
              <w:rPr>
                <w:b/>
                <w:bCs/>
                <w:u w:val="single"/>
              </w:rPr>
              <w:t>Meeting</w:t>
            </w:r>
            <w:r w:rsidRPr="00D326F8">
              <w:rPr>
                <w:b/>
                <w:bCs/>
              </w:rPr>
              <w:t xml:space="preserve"> the AE Definition</w:t>
            </w:r>
          </w:p>
        </w:tc>
      </w:tr>
      <w:tr w:rsidR="003B74AE" w:rsidRPr="00D326F8" w14:paraId="601A8433" w14:textId="77777777" w:rsidTr="005D2CAB">
        <w:tc>
          <w:tcPr>
            <w:tcW w:w="5000" w:type="pct"/>
          </w:tcPr>
          <w:p w14:paraId="601A842D" w14:textId="77777777" w:rsidR="00D528AA" w:rsidRPr="00D326F8" w:rsidRDefault="003E23E4" w:rsidP="005160A9">
            <w:pPr>
              <w:pStyle w:val="List2withbullet"/>
              <w:tabs>
                <w:tab w:val="clear" w:pos="576"/>
                <w:tab w:val="num" w:pos="342"/>
              </w:tabs>
              <w:ind w:left="342" w:hanging="342"/>
              <w:rPr>
                <w:lang w:val="en-GB"/>
              </w:rPr>
            </w:pPr>
            <w:r w:rsidRPr="00D326F8">
              <w:rPr>
                <w:lang w:val="en-GB"/>
              </w:rPr>
              <w:t>Any abnormal laboratory test results (</w:t>
            </w:r>
            <w:r w:rsidRPr="00D326F8">
              <w:t>hematology</w:t>
            </w:r>
            <w:r w:rsidRPr="00D326F8">
              <w:rPr>
                <w:lang w:val="en-GB"/>
              </w:rPr>
              <w:t>, clinical chemistry, or urinalysis) or other safety assessments (e.g., ECG, radiological scans, vital signs measurements), including those that worsen from baseline</w:t>
            </w:r>
            <w:r w:rsidR="004C1B29" w:rsidRPr="00D326F8">
              <w:rPr>
                <w:lang w:val="en-GB"/>
              </w:rPr>
              <w:t xml:space="preserve"> and are judged to be more severe than expected for the participant’s condition are </w:t>
            </w:r>
            <w:r w:rsidRPr="00D326F8">
              <w:rPr>
                <w:lang w:val="en-GB"/>
              </w:rPr>
              <w:t xml:space="preserve">considered clinically significant in the medical and scientific judgment of the </w:t>
            </w:r>
            <w:r w:rsidR="008C7E09" w:rsidRPr="00D326F8">
              <w:rPr>
                <w:lang w:val="en-GB"/>
              </w:rPr>
              <w:t>I</w:t>
            </w:r>
            <w:r w:rsidRPr="00D326F8">
              <w:rPr>
                <w:lang w:val="en-GB"/>
              </w:rPr>
              <w:t>nvestigator (i.e., not related to progression of underlying disease</w:t>
            </w:r>
            <w:r w:rsidR="004C1B29" w:rsidRPr="00D326F8">
              <w:rPr>
                <w:lang w:val="en-GB"/>
              </w:rPr>
              <w:t>, but may be leading to study intervention discontinuation</w:t>
            </w:r>
            <w:r w:rsidRPr="00D326F8">
              <w:rPr>
                <w:lang w:val="en-GB"/>
              </w:rPr>
              <w:t>).</w:t>
            </w:r>
          </w:p>
          <w:p w14:paraId="601A842E" w14:textId="41034172" w:rsidR="00D528AA" w:rsidRPr="00D326F8" w:rsidRDefault="003E23E4" w:rsidP="005160A9">
            <w:pPr>
              <w:pStyle w:val="List2withbullet"/>
              <w:tabs>
                <w:tab w:val="clear" w:pos="576"/>
                <w:tab w:val="num" w:pos="342"/>
              </w:tabs>
              <w:ind w:left="342" w:hanging="342"/>
              <w:rPr>
                <w:lang w:val="en-GB"/>
              </w:rPr>
            </w:pPr>
            <w:r w:rsidRPr="00D326F8">
              <w:rPr>
                <w:lang w:val="en-GB"/>
              </w:rPr>
              <w:t xml:space="preserve">Exacerbation of a chronic or intermittent </w:t>
            </w:r>
            <w:proofErr w:type="spellStart"/>
            <w:r w:rsidRPr="00D326F8">
              <w:rPr>
                <w:lang w:val="en-GB"/>
              </w:rPr>
              <w:t>preexisting</w:t>
            </w:r>
            <w:proofErr w:type="spellEnd"/>
            <w:r w:rsidRPr="00D326F8">
              <w:rPr>
                <w:lang w:val="en-GB"/>
              </w:rPr>
              <w:t xml:space="preserve"> condition including either an increase in frequency and/or intensity of the condition.</w:t>
            </w:r>
          </w:p>
          <w:p w14:paraId="601A842F" w14:textId="77777777" w:rsidR="00D528AA" w:rsidRPr="00D326F8" w:rsidRDefault="003E23E4" w:rsidP="005160A9">
            <w:pPr>
              <w:pStyle w:val="List2withbullet"/>
              <w:tabs>
                <w:tab w:val="clear" w:pos="576"/>
                <w:tab w:val="num" w:pos="342"/>
              </w:tabs>
              <w:ind w:left="342" w:hanging="342"/>
              <w:rPr>
                <w:lang w:val="en-GB"/>
              </w:rPr>
            </w:pPr>
            <w:r w:rsidRPr="00D326F8">
              <w:rPr>
                <w:lang w:val="en-GB"/>
              </w:rPr>
              <w:t>New conditions detected or diagnosed after study intervention administration even though it may have been present before the start of the study.</w:t>
            </w:r>
          </w:p>
          <w:p w14:paraId="601A8430" w14:textId="77777777" w:rsidR="00D528AA" w:rsidRPr="00D326F8" w:rsidRDefault="003E23E4" w:rsidP="005160A9">
            <w:pPr>
              <w:pStyle w:val="List2withbullet"/>
              <w:tabs>
                <w:tab w:val="clear" w:pos="576"/>
                <w:tab w:val="num" w:pos="342"/>
              </w:tabs>
              <w:ind w:left="342" w:hanging="342"/>
              <w:rPr>
                <w:lang w:val="en-GB"/>
              </w:rPr>
            </w:pPr>
            <w:r w:rsidRPr="00D326F8">
              <w:rPr>
                <w:lang w:val="en-GB"/>
              </w:rPr>
              <w:t>Signs, symptoms, or the clinical sequelae of a suspected drug-drug interaction.</w:t>
            </w:r>
          </w:p>
          <w:p w14:paraId="601A8431" w14:textId="77777777" w:rsidR="00D528AA" w:rsidRPr="00D326F8" w:rsidRDefault="003E23E4" w:rsidP="005160A9">
            <w:pPr>
              <w:pStyle w:val="List2withbullet"/>
              <w:tabs>
                <w:tab w:val="clear" w:pos="576"/>
                <w:tab w:val="num" w:pos="342"/>
              </w:tabs>
              <w:ind w:left="342" w:hanging="342"/>
              <w:rPr>
                <w:lang w:val="en-GB"/>
              </w:rPr>
            </w:pPr>
            <w:r w:rsidRPr="00D326F8">
              <w:rPr>
                <w:lang w:val="en-GB"/>
              </w:rPr>
              <w:t>Signs, symptoms, or the clinical sequelae of a suspected overdose of either study intervention or a concomitant medication.</w:t>
            </w:r>
          </w:p>
          <w:p w14:paraId="601A8432" w14:textId="77777777" w:rsidR="00D528AA" w:rsidRPr="00D326F8" w:rsidRDefault="003E23E4" w:rsidP="005160A9">
            <w:pPr>
              <w:pStyle w:val="List2withbullet"/>
              <w:tabs>
                <w:tab w:val="clear" w:pos="576"/>
                <w:tab w:val="num" w:pos="342"/>
              </w:tabs>
              <w:ind w:left="342" w:hanging="342"/>
              <w:rPr>
                <w:lang w:val="en-GB"/>
              </w:rPr>
            </w:pPr>
            <w:r w:rsidRPr="00D326F8">
              <w:rPr>
                <w:lang w:val="en-GB"/>
              </w:rPr>
              <w:t>“Lack of efficacy” or “failure of expected pharmacological action” per se will not be reported as an AE or a SAE.  However, the signs, symptoms, and/or clinical sequelae resulting from lack of efficacy will be reported as an AE or a SAE if they fulfil the definition of an AE or SAE.</w:t>
            </w:r>
          </w:p>
        </w:tc>
      </w:tr>
      <w:tr w:rsidR="003B74AE" w:rsidRPr="00D326F8" w14:paraId="601A8435" w14:textId="77777777" w:rsidTr="005D2CAB">
        <w:tc>
          <w:tcPr>
            <w:tcW w:w="5000" w:type="pct"/>
            <w:shd w:val="clear" w:color="auto" w:fill="EEECE1" w:themeFill="background2"/>
          </w:tcPr>
          <w:p w14:paraId="601A8434" w14:textId="77777777" w:rsidR="00D528AA" w:rsidRPr="00D326F8" w:rsidRDefault="003E23E4" w:rsidP="002959B8">
            <w:pPr>
              <w:pStyle w:val="BodyText"/>
              <w:spacing w:before="120"/>
              <w:rPr>
                <w:b/>
                <w:bCs/>
              </w:rPr>
            </w:pPr>
            <w:r w:rsidRPr="00D326F8">
              <w:rPr>
                <w:b/>
                <w:bCs/>
              </w:rPr>
              <w:t xml:space="preserve">Events </w:t>
            </w:r>
            <w:r w:rsidRPr="00D326F8">
              <w:rPr>
                <w:b/>
                <w:bCs/>
                <w:u w:val="single"/>
              </w:rPr>
              <w:t>NOT</w:t>
            </w:r>
            <w:r w:rsidRPr="00D326F8">
              <w:rPr>
                <w:b/>
                <w:bCs/>
              </w:rPr>
              <w:t xml:space="preserve"> Meeting the AE Definition</w:t>
            </w:r>
          </w:p>
        </w:tc>
      </w:tr>
      <w:tr w:rsidR="003B74AE" w:rsidRPr="00D326F8" w14:paraId="601A843A" w14:textId="77777777" w:rsidTr="005D2CAB">
        <w:tc>
          <w:tcPr>
            <w:tcW w:w="5000" w:type="pct"/>
          </w:tcPr>
          <w:p w14:paraId="601A8436" w14:textId="77777777" w:rsidR="00D528AA" w:rsidRPr="00D326F8" w:rsidRDefault="003E23E4" w:rsidP="005160A9">
            <w:pPr>
              <w:pStyle w:val="List2withbullet"/>
              <w:tabs>
                <w:tab w:val="clear" w:pos="576"/>
                <w:tab w:val="num" w:pos="342"/>
              </w:tabs>
              <w:ind w:left="342" w:hanging="342"/>
              <w:rPr>
                <w:lang w:val="en-GB"/>
              </w:rPr>
            </w:pPr>
            <w:r w:rsidRPr="00D326F8">
              <w:rPr>
                <w:lang w:val="en-GB"/>
              </w:rPr>
              <w:t xml:space="preserve">Unless judged by the </w:t>
            </w:r>
            <w:r w:rsidR="008C7E09" w:rsidRPr="00D326F8">
              <w:rPr>
                <w:lang w:val="en-GB"/>
              </w:rPr>
              <w:t>I</w:t>
            </w:r>
            <w:r w:rsidRPr="00D326F8">
              <w:rPr>
                <w:lang w:val="en-GB"/>
              </w:rPr>
              <w:t>nvestigator to be more severe than expected for the participant’s condition, any clinically significant abnormal laboratory findings, other abnormal safety assessments that are associated with the underlying disease, the disease/disorder being studied</w:t>
            </w:r>
            <w:r w:rsidR="004C1B29" w:rsidRPr="00D326F8">
              <w:rPr>
                <w:lang w:val="en-GB"/>
              </w:rPr>
              <w:t xml:space="preserve"> within the expectedness for participant’s condition, as judged by the Investiga</w:t>
            </w:r>
            <w:r w:rsidR="007B5766" w:rsidRPr="00D326F8">
              <w:rPr>
                <w:lang w:val="en-GB"/>
              </w:rPr>
              <w:t>t</w:t>
            </w:r>
            <w:r w:rsidR="004C1B29" w:rsidRPr="00D326F8">
              <w:rPr>
                <w:lang w:val="en-GB"/>
              </w:rPr>
              <w:t>or.</w:t>
            </w:r>
          </w:p>
          <w:p w14:paraId="601A8437" w14:textId="77777777" w:rsidR="00133E43" w:rsidRPr="00D326F8" w:rsidRDefault="003E23E4" w:rsidP="00E32189">
            <w:pPr>
              <w:pStyle w:val="List2withbullet"/>
              <w:tabs>
                <w:tab w:val="clear" w:pos="576"/>
                <w:tab w:val="num" w:pos="342"/>
              </w:tabs>
              <w:ind w:left="342" w:hanging="342"/>
              <w:rPr>
                <w:lang w:val="en-GB"/>
              </w:rPr>
            </w:pPr>
            <w:r w:rsidRPr="00D326F8">
              <w:rPr>
                <w:lang w:val="en-GB"/>
              </w:rPr>
              <w:t>Medical or surgical procedure (e.g., endoscopy, appendectomy): the condition that leads to the procedure is the AE.</w:t>
            </w:r>
          </w:p>
          <w:p w14:paraId="601A8438" w14:textId="77777777" w:rsidR="00D528AA" w:rsidRPr="00D326F8" w:rsidRDefault="003E23E4" w:rsidP="00E32189">
            <w:pPr>
              <w:pStyle w:val="List2withbullet"/>
              <w:tabs>
                <w:tab w:val="clear" w:pos="576"/>
                <w:tab w:val="num" w:pos="342"/>
              </w:tabs>
              <w:ind w:left="342" w:hanging="342"/>
              <w:rPr>
                <w:lang w:val="en-GB"/>
              </w:rPr>
            </w:pPr>
            <w:r w:rsidRPr="00D326F8">
              <w:rPr>
                <w:lang w:val="en-GB"/>
              </w:rPr>
              <w:t>Situations in which an untoward medical occurrence did not occur (social and/or convenience admission to a hospital).</w:t>
            </w:r>
          </w:p>
          <w:p w14:paraId="601A8439" w14:textId="19924580" w:rsidR="00D528AA" w:rsidRPr="00D326F8" w:rsidRDefault="003E23E4" w:rsidP="00E32189">
            <w:pPr>
              <w:pStyle w:val="List2withbullet"/>
              <w:tabs>
                <w:tab w:val="clear" w:pos="576"/>
                <w:tab w:val="num" w:pos="342"/>
              </w:tabs>
              <w:ind w:left="342" w:hanging="342"/>
            </w:pPr>
            <w:r w:rsidRPr="00D326F8">
              <w:rPr>
                <w:lang w:val="en-GB"/>
              </w:rPr>
              <w:lastRenderedPageBreak/>
              <w:t xml:space="preserve">Anticipated day-to-day fluctuations of </w:t>
            </w:r>
            <w:proofErr w:type="spellStart"/>
            <w:r w:rsidRPr="00D326F8">
              <w:rPr>
                <w:lang w:val="en-GB"/>
              </w:rPr>
              <w:t>preexisting</w:t>
            </w:r>
            <w:proofErr w:type="spellEnd"/>
            <w:r w:rsidRPr="00D326F8">
              <w:rPr>
                <w:lang w:val="en-GB"/>
              </w:rPr>
              <w:t xml:space="preserve"> disease(s) or condition(s) present or detected at the start of the study that do not worsen.</w:t>
            </w:r>
          </w:p>
        </w:tc>
      </w:tr>
    </w:tbl>
    <w:p w14:paraId="601A843B" w14:textId="77777777" w:rsidR="0053428B" w:rsidRPr="00D326F8" w:rsidRDefault="003E23E4" w:rsidP="006028E7">
      <w:pPr>
        <w:pStyle w:val="List1withoutbullet"/>
        <w:spacing w:before="360"/>
        <w:ind w:left="0"/>
        <w:rPr>
          <w:b/>
          <w:bCs/>
          <w:sz w:val="28"/>
          <w:szCs w:val="28"/>
        </w:rPr>
      </w:pPr>
      <w:bookmarkStart w:id="335" w:name="_Toc877216"/>
      <w:r w:rsidRPr="00D326F8">
        <w:rPr>
          <w:b/>
          <w:bCs/>
          <w:sz w:val="28"/>
          <w:szCs w:val="28"/>
        </w:rPr>
        <w:lastRenderedPageBreak/>
        <w:t>SAE Definition</w:t>
      </w:r>
      <w:bookmarkEnd w:id="335"/>
    </w:p>
    <w:p w14:paraId="601A843D" w14:textId="3D7369F5" w:rsidR="001E02B9" w:rsidRPr="00D326F8" w:rsidRDefault="003E23E4" w:rsidP="006028E7">
      <w:pPr>
        <w:pStyle w:val="List1withoutbullet"/>
        <w:spacing w:after="120"/>
        <w:ind w:left="0"/>
      </w:pPr>
      <w:r w:rsidRPr="00D326F8">
        <w:t xml:space="preserve">If an event is not an AE per </w:t>
      </w:r>
      <w:r w:rsidR="008C1904" w:rsidRPr="00D326F8">
        <w:t xml:space="preserve">the </w:t>
      </w:r>
      <w:r w:rsidRPr="00D326F8">
        <w:t>definition above, then it cannot be an SAE even if serious conditions are met (e.g., hospitalization for signs/symptoms of the disease under study, death due to progression of disease).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2"/>
      </w:tblGrid>
      <w:tr w:rsidR="003B74AE" w:rsidRPr="00D326F8" w14:paraId="601A843F" w14:textId="77777777" w:rsidTr="002B13E8">
        <w:tc>
          <w:tcPr>
            <w:tcW w:w="5000" w:type="pct"/>
            <w:shd w:val="clear" w:color="auto" w:fill="EEECE1"/>
          </w:tcPr>
          <w:p w14:paraId="601A843E" w14:textId="77777777" w:rsidR="007D0D0A" w:rsidRPr="00D326F8" w:rsidRDefault="003E23E4" w:rsidP="00777F19">
            <w:pPr>
              <w:pStyle w:val="BodyText"/>
              <w:spacing w:before="120"/>
              <w:rPr>
                <w:b/>
                <w:bCs/>
              </w:rPr>
            </w:pPr>
            <w:r w:rsidRPr="00D326F8">
              <w:rPr>
                <w:b/>
                <w:bCs/>
              </w:rPr>
              <w:t>A SAE is defined as any untoward medical occurrence that, at any dose:</w:t>
            </w:r>
          </w:p>
        </w:tc>
      </w:tr>
      <w:tr w:rsidR="003B74AE" w:rsidRPr="00D326F8" w14:paraId="601A8441" w14:textId="77777777" w:rsidTr="002B13E8">
        <w:tc>
          <w:tcPr>
            <w:tcW w:w="5000" w:type="pct"/>
          </w:tcPr>
          <w:p w14:paraId="601A8440" w14:textId="77777777" w:rsidR="007D0D0A" w:rsidRPr="00D326F8" w:rsidRDefault="003E23E4" w:rsidP="0057019A">
            <w:pPr>
              <w:pStyle w:val="List2withbullet"/>
              <w:numPr>
                <w:ilvl w:val="0"/>
                <w:numId w:val="12"/>
              </w:numPr>
              <w:tabs>
                <w:tab w:val="clear" w:pos="576"/>
              </w:tabs>
              <w:ind w:left="342" w:hanging="360"/>
              <w:rPr>
                <w:b/>
                <w:bCs/>
                <w:lang w:val="en-GB"/>
              </w:rPr>
            </w:pPr>
            <w:r w:rsidRPr="00D326F8">
              <w:rPr>
                <w:b/>
                <w:bCs/>
                <w:lang w:val="en-GB"/>
              </w:rPr>
              <w:t>Results in death</w:t>
            </w:r>
          </w:p>
        </w:tc>
      </w:tr>
      <w:tr w:rsidR="003B74AE" w:rsidRPr="00D326F8" w14:paraId="601A8444" w14:textId="77777777" w:rsidTr="002B13E8">
        <w:tc>
          <w:tcPr>
            <w:tcW w:w="5000" w:type="pct"/>
          </w:tcPr>
          <w:p w14:paraId="601A8442" w14:textId="77777777" w:rsidR="007D0D0A" w:rsidRPr="00D326F8" w:rsidRDefault="003E23E4" w:rsidP="0057019A">
            <w:pPr>
              <w:pStyle w:val="List2withbullet"/>
              <w:numPr>
                <w:ilvl w:val="0"/>
                <w:numId w:val="12"/>
              </w:numPr>
              <w:tabs>
                <w:tab w:val="clear" w:pos="576"/>
              </w:tabs>
              <w:ind w:left="342" w:hanging="360"/>
              <w:rPr>
                <w:b/>
                <w:bCs/>
                <w:lang w:val="en-GB"/>
              </w:rPr>
            </w:pPr>
            <w:r w:rsidRPr="00D326F8">
              <w:rPr>
                <w:b/>
                <w:bCs/>
                <w:lang w:val="en-GB"/>
              </w:rPr>
              <w:t>Is life-threatening</w:t>
            </w:r>
          </w:p>
          <w:p w14:paraId="601A8443" w14:textId="77777777" w:rsidR="007D0D0A" w:rsidRPr="00D326F8" w:rsidRDefault="003E23E4" w:rsidP="00777F19">
            <w:pPr>
              <w:pStyle w:val="BodyText"/>
              <w:spacing w:before="120"/>
            </w:pPr>
            <w:r w:rsidRPr="00D326F8">
              <w:t>The term 'life-threatening' in the definition of 'serious' refers to an event in which the participant was at risk of death at the time of the event. It does not refer to an event, which hypothetically might have caused death, if it were more severe.</w:t>
            </w:r>
          </w:p>
        </w:tc>
      </w:tr>
      <w:tr w:rsidR="003B74AE" w:rsidRPr="00D326F8" w14:paraId="601A8449" w14:textId="77777777" w:rsidTr="002B13E8">
        <w:tc>
          <w:tcPr>
            <w:tcW w:w="5000" w:type="pct"/>
          </w:tcPr>
          <w:p w14:paraId="601A8445" w14:textId="77777777" w:rsidR="007D0D0A" w:rsidRPr="00D326F8" w:rsidRDefault="003E23E4" w:rsidP="0057019A">
            <w:pPr>
              <w:pStyle w:val="List2withbullet"/>
              <w:numPr>
                <w:ilvl w:val="0"/>
                <w:numId w:val="12"/>
              </w:numPr>
              <w:tabs>
                <w:tab w:val="clear" w:pos="576"/>
              </w:tabs>
              <w:ind w:left="342" w:hanging="360"/>
              <w:rPr>
                <w:b/>
                <w:bCs/>
                <w:lang w:val="en-GB"/>
              </w:rPr>
            </w:pPr>
            <w:r w:rsidRPr="00D326F8">
              <w:rPr>
                <w:b/>
                <w:bCs/>
                <w:lang w:val="en-GB"/>
              </w:rPr>
              <w:t>Requires inpatient hospitalization or prolongation of existing hospitalization</w:t>
            </w:r>
          </w:p>
          <w:p w14:paraId="601A8446" w14:textId="77777777" w:rsidR="007D0D0A"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 xml:space="preserve">In general, hospitalization signifies that the participant has been detained (usually involving at least an overnight stay) at the hospital or emergency ward for observation and/or treatment that would not have been appropriate in the physician’s office or outpatient setting. Complications that occur during hospitalization are AEs. If a complication prolongs hospitalization or </w:t>
            </w:r>
            <w:r w:rsidR="00AC65A4" w:rsidRPr="00D326F8">
              <w:rPr>
                <w:lang w:val="en-GB"/>
              </w:rPr>
              <w:t>fulfils</w:t>
            </w:r>
            <w:r w:rsidRPr="00D326F8">
              <w:rPr>
                <w:lang w:val="en-GB"/>
              </w:rPr>
              <w:t xml:space="preserve"> any other serious criteria, the event is serious. When in doubt as to whether “hospitalization” occurred or was necessary, the AE </w:t>
            </w:r>
            <w:r w:rsidR="00386F94" w:rsidRPr="00D326F8">
              <w:rPr>
                <w:lang w:val="en-GB"/>
              </w:rPr>
              <w:t>will</w:t>
            </w:r>
            <w:r w:rsidRPr="00D326F8">
              <w:rPr>
                <w:lang w:val="en-GB"/>
              </w:rPr>
              <w:t xml:space="preserve"> be considered serious.</w:t>
            </w:r>
          </w:p>
          <w:p w14:paraId="601A8447" w14:textId="1B80FA8C" w:rsidR="007D0D0A"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 xml:space="preserve">Hospitalization for elective treatment of a </w:t>
            </w:r>
            <w:proofErr w:type="spellStart"/>
            <w:r w:rsidRPr="00D326F8">
              <w:rPr>
                <w:lang w:val="en-GB"/>
              </w:rPr>
              <w:t>preexisting</w:t>
            </w:r>
            <w:proofErr w:type="spellEnd"/>
            <w:r w:rsidRPr="00D326F8">
              <w:rPr>
                <w:lang w:val="en-GB"/>
              </w:rPr>
              <w:t xml:space="preserve"> condition that did not worsen from baseline is not considered an AE.</w:t>
            </w:r>
          </w:p>
          <w:p w14:paraId="601A8448" w14:textId="77777777" w:rsidR="007D0D0A"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However, all events leading to unplanned hospitalizations or unplanned prolongation of an elective hospitalization must be documented and reported as SAEs.</w:t>
            </w:r>
          </w:p>
        </w:tc>
      </w:tr>
      <w:tr w:rsidR="003B74AE" w:rsidRPr="00D326F8" w14:paraId="601A844D" w14:textId="77777777" w:rsidTr="002B13E8">
        <w:tc>
          <w:tcPr>
            <w:tcW w:w="5000" w:type="pct"/>
          </w:tcPr>
          <w:p w14:paraId="601A844A" w14:textId="77777777" w:rsidR="007D0D0A" w:rsidRPr="00D326F8" w:rsidRDefault="003E23E4" w:rsidP="0057019A">
            <w:pPr>
              <w:pStyle w:val="List2withbullet"/>
              <w:numPr>
                <w:ilvl w:val="0"/>
                <w:numId w:val="12"/>
              </w:numPr>
              <w:tabs>
                <w:tab w:val="clear" w:pos="576"/>
              </w:tabs>
              <w:ind w:left="342" w:hanging="360"/>
              <w:rPr>
                <w:b/>
                <w:bCs/>
                <w:lang w:val="en-GB"/>
              </w:rPr>
            </w:pPr>
            <w:r w:rsidRPr="00D326F8">
              <w:rPr>
                <w:b/>
                <w:bCs/>
                <w:lang w:val="en-GB"/>
              </w:rPr>
              <w:t>Results in persistent disability/incapacity</w:t>
            </w:r>
          </w:p>
          <w:p w14:paraId="601A844B" w14:textId="77777777" w:rsidR="00C67F3B" w:rsidRPr="00D326F8" w:rsidRDefault="003E23E4" w:rsidP="00777F19">
            <w:pPr>
              <w:pStyle w:val="BodyText"/>
              <w:spacing w:before="120"/>
            </w:pPr>
            <w:r w:rsidRPr="00D326F8">
              <w:t>The term disability means a substantial disruption of a person’s ability to conduct normal life functions.</w:t>
            </w:r>
          </w:p>
          <w:p w14:paraId="601A844C" w14:textId="77777777" w:rsidR="007D0D0A" w:rsidRPr="00D326F8" w:rsidRDefault="003E23E4" w:rsidP="00777F19">
            <w:pPr>
              <w:pStyle w:val="BodyText"/>
              <w:spacing w:before="120"/>
              <w:rPr>
                <w:rFonts w:ascii="Calibri" w:hAnsi="Calibri" w:cs="Cordia New"/>
                <w:szCs w:val="22"/>
              </w:rPr>
            </w:pPr>
            <w:r w:rsidRPr="00D326F8">
              <w:t xml:space="preserve">This definition is </w:t>
            </w:r>
            <w:r w:rsidRPr="00D326F8">
              <w:rPr>
                <w:b/>
              </w:rPr>
              <w:t>not</w:t>
            </w:r>
            <w:r w:rsidRPr="00D326F8">
              <w:t xml:space="preserve"> intended to include experiences of relatively minor medical significance such as uncomplicated headache, nausea, vomiting, diarrhea, influenza, and accidental trauma (e.g., sprained ankle) which may interfere with or prevent everyday life functions but do not constitute a substantial disruption.</w:t>
            </w:r>
          </w:p>
        </w:tc>
      </w:tr>
      <w:tr w:rsidR="003B74AE" w:rsidRPr="00D326F8" w14:paraId="601A844F" w14:textId="77777777" w:rsidTr="002B13E8">
        <w:tc>
          <w:tcPr>
            <w:tcW w:w="5000" w:type="pct"/>
          </w:tcPr>
          <w:p w14:paraId="601A844E" w14:textId="77777777" w:rsidR="007D0D0A" w:rsidRPr="00D326F8" w:rsidRDefault="003E23E4" w:rsidP="0057019A">
            <w:pPr>
              <w:pStyle w:val="List2withbullet"/>
              <w:numPr>
                <w:ilvl w:val="0"/>
                <w:numId w:val="12"/>
              </w:numPr>
              <w:tabs>
                <w:tab w:val="clear" w:pos="576"/>
              </w:tabs>
              <w:ind w:left="342" w:hanging="360"/>
              <w:rPr>
                <w:b/>
                <w:bCs/>
              </w:rPr>
            </w:pPr>
            <w:r w:rsidRPr="00D326F8">
              <w:rPr>
                <w:b/>
                <w:bCs/>
                <w:lang w:val="en-GB"/>
              </w:rPr>
              <w:t>Is a congenital anomaly/birth defect</w:t>
            </w:r>
          </w:p>
        </w:tc>
      </w:tr>
      <w:tr w:rsidR="003B74AE" w:rsidRPr="00D326F8" w14:paraId="601A8453" w14:textId="77777777" w:rsidTr="002B13E8">
        <w:tc>
          <w:tcPr>
            <w:tcW w:w="5000" w:type="pct"/>
          </w:tcPr>
          <w:p w14:paraId="601A8450" w14:textId="77777777" w:rsidR="007D0D0A" w:rsidRPr="00D326F8" w:rsidRDefault="003E23E4" w:rsidP="006028E7">
            <w:pPr>
              <w:pStyle w:val="List2withbullet"/>
              <w:keepNext/>
              <w:keepLines/>
              <w:numPr>
                <w:ilvl w:val="0"/>
                <w:numId w:val="12"/>
              </w:numPr>
              <w:tabs>
                <w:tab w:val="clear" w:pos="576"/>
              </w:tabs>
              <w:ind w:left="340" w:hanging="360"/>
              <w:rPr>
                <w:b/>
                <w:bCs/>
                <w:lang w:val="en-GB"/>
              </w:rPr>
            </w:pPr>
            <w:r w:rsidRPr="00D326F8">
              <w:rPr>
                <w:b/>
                <w:bCs/>
                <w:lang w:val="en-GB"/>
              </w:rPr>
              <w:lastRenderedPageBreak/>
              <w:t>Other situations:</w:t>
            </w:r>
          </w:p>
          <w:p w14:paraId="601A8451" w14:textId="4163F9BE" w:rsidR="007D0D0A" w:rsidRPr="00D326F8" w:rsidRDefault="003E23E4" w:rsidP="006028E7">
            <w:pPr>
              <w:pStyle w:val="List1withbullet"/>
              <w:keepNext/>
              <w:keepLines/>
              <w:numPr>
                <w:ilvl w:val="0"/>
                <w:numId w:val="5"/>
              </w:numPr>
              <w:tabs>
                <w:tab w:val="clear" w:pos="576"/>
                <w:tab w:val="num" w:pos="342"/>
              </w:tabs>
              <w:ind w:left="340" w:hanging="342"/>
              <w:rPr>
                <w:lang w:val="en-GB"/>
              </w:rPr>
            </w:pPr>
            <w:r w:rsidRPr="00D326F8">
              <w:rPr>
                <w:lang w:val="en-GB"/>
              </w:rPr>
              <w:t xml:space="preserve">Medical or scientific judgment </w:t>
            </w:r>
            <w:r w:rsidR="00386F94" w:rsidRPr="00D326F8">
              <w:rPr>
                <w:lang w:val="en-GB"/>
              </w:rPr>
              <w:t>will</w:t>
            </w:r>
            <w:r w:rsidRPr="00D326F8">
              <w:rPr>
                <w:lang w:val="en-GB"/>
              </w:rPr>
              <w:t xml:space="preserve"> be exercised in deciding whether SAE reporting is appropriate in other situations</w:t>
            </w:r>
            <w:r w:rsidR="009A0566" w:rsidRPr="00D326F8">
              <w:rPr>
                <w:lang w:val="en-GB"/>
              </w:rPr>
              <w:t>,</w:t>
            </w:r>
            <w:r w:rsidRPr="00D326F8">
              <w:rPr>
                <w:lang w:val="en-GB"/>
              </w:rPr>
              <w:t xml:space="preserve"> such as important medical events that may not be immediately life-threatening or result in death or hospitalization but may jeopardize the participant or may require medical or surgical intervention to prevent </w:t>
            </w:r>
            <w:r w:rsidR="006D695D" w:rsidRPr="00D326F8">
              <w:rPr>
                <w:lang w:val="en-GB"/>
              </w:rPr>
              <w:t>1 </w:t>
            </w:r>
            <w:r w:rsidRPr="00D326F8">
              <w:rPr>
                <w:lang w:val="en-GB"/>
              </w:rPr>
              <w:t xml:space="preserve">of the other outcomes listed in the above definition. These events </w:t>
            </w:r>
            <w:r w:rsidR="00386F94" w:rsidRPr="00D326F8">
              <w:rPr>
                <w:lang w:val="en-GB"/>
              </w:rPr>
              <w:t>are</w:t>
            </w:r>
            <w:r w:rsidRPr="00D326F8">
              <w:rPr>
                <w:lang w:val="en-GB"/>
              </w:rPr>
              <w:t xml:space="preserve"> usually considered </w:t>
            </w:r>
            <w:r w:rsidR="00386F94" w:rsidRPr="00D326F8">
              <w:rPr>
                <w:lang w:val="en-GB"/>
              </w:rPr>
              <w:t xml:space="preserve">as </w:t>
            </w:r>
            <w:r w:rsidRPr="00D326F8">
              <w:rPr>
                <w:lang w:val="en-GB"/>
              </w:rPr>
              <w:t>serious.</w:t>
            </w:r>
          </w:p>
          <w:p w14:paraId="601A8452" w14:textId="77777777" w:rsidR="007D0D0A" w:rsidRPr="00D326F8" w:rsidRDefault="003E23E4" w:rsidP="006028E7">
            <w:pPr>
              <w:pStyle w:val="List1withbullet"/>
              <w:keepNext/>
              <w:keepLines/>
              <w:numPr>
                <w:ilvl w:val="0"/>
                <w:numId w:val="5"/>
              </w:numPr>
              <w:tabs>
                <w:tab w:val="clear" w:pos="576"/>
                <w:tab w:val="num" w:pos="342"/>
              </w:tabs>
              <w:ind w:left="340" w:hanging="342"/>
              <w:rPr>
                <w:rFonts w:ascii="Calibri" w:hAnsi="Calibri" w:cs="Cordia New"/>
                <w:sz w:val="22"/>
              </w:rPr>
            </w:pPr>
            <w:r w:rsidRPr="00D326F8">
              <w:rPr>
                <w:lang w:val="en-GB"/>
              </w:rPr>
              <w:t xml:space="preserve">Examples of such events include </w:t>
            </w:r>
            <w:r w:rsidR="0077701B" w:rsidRPr="00D326F8">
              <w:rPr>
                <w:lang w:val="en-GB"/>
              </w:rPr>
              <w:t>invasive or malignant cancers</w:t>
            </w:r>
            <w:r w:rsidRPr="00D326F8">
              <w:rPr>
                <w:lang w:val="en-GB"/>
              </w:rPr>
              <w:t>, intensive treatment in an emergency room or at home for allergic bronchospasm, blood dyscrasias or convulsions that do not result in hospitalization, or development of drug dependency or drug abuse.</w:t>
            </w:r>
          </w:p>
        </w:tc>
      </w:tr>
    </w:tbl>
    <w:p w14:paraId="601A8454" w14:textId="77777777" w:rsidR="0077701B" w:rsidRPr="00D326F8" w:rsidRDefault="003E23E4" w:rsidP="002B13E8">
      <w:pPr>
        <w:pStyle w:val="List1withoutbullet"/>
        <w:ind w:left="0"/>
        <w:rPr>
          <w:rFonts w:eastAsia="Calibri"/>
        </w:rPr>
      </w:pPr>
      <w:r w:rsidRPr="00D326F8">
        <w:rPr>
          <w:rFonts w:eastAsia="Calibri"/>
        </w:rPr>
        <w:t>Any suspected transmission of an infectious agent via a study intervention is also considered an SAE for reporting purposes, as specified below for reporting SAEs</w:t>
      </w:r>
      <w:r w:rsidR="00971FA3" w:rsidRPr="00D326F8">
        <w:rPr>
          <w:rFonts w:eastAsia="Calibri"/>
        </w:rPr>
        <w:t xml:space="preserve"> or AESIs</w:t>
      </w:r>
      <w:r w:rsidRPr="00D326F8">
        <w:rPr>
          <w:rFonts w:eastAsia="Calibri"/>
        </w:rPr>
        <w:t>.</w:t>
      </w:r>
    </w:p>
    <w:p w14:paraId="601A8455" w14:textId="77777777" w:rsidR="00C46DCB" w:rsidRPr="00D326F8" w:rsidRDefault="003E23E4" w:rsidP="002B13E8">
      <w:pPr>
        <w:pStyle w:val="BodyText"/>
        <w:spacing w:after="120"/>
        <w:rPr>
          <w:b/>
          <w:bCs/>
          <w:sz w:val="28"/>
          <w:szCs w:val="28"/>
        </w:rPr>
      </w:pPr>
      <w:bookmarkStart w:id="336" w:name="_Toc528734935"/>
      <w:bookmarkStart w:id="337" w:name="_Toc877217"/>
      <w:r w:rsidRPr="00D326F8">
        <w:rPr>
          <w:b/>
          <w:bCs/>
          <w:sz w:val="28"/>
          <w:szCs w:val="28"/>
        </w:rPr>
        <w:t>Recording and Follow-Up of AE and/or SAE</w:t>
      </w:r>
      <w:bookmarkEnd w:id="336"/>
      <w:bookmarkEnd w:id="3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2"/>
      </w:tblGrid>
      <w:tr w:rsidR="003B74AE" w:rsidRPr="00D326F8" w14:paraId="601A8457" w14:textId="77777777" w:rsidTr="002B13E8">
        <w:tc>
          <w:tcPr>
            <w:tcW w:w="5000" w:type="pct"/>
            <w:shd w:val="clear" w:color="auto" w:fill="EEECE1" w:themeFill="background2"/>
          </w:tcPr>
          <w:p w14:paraId="601A8456" w14:textId="77777777" w:rsidR="00C46DCB" w:rsidRPr="00D326F8" w:rsidRDefault="003E23E4" w:rsidP="00777F19">
            <w:pPr>
              <w:pStyle w:val="BodyText"/>
              <w:spacing w:before="120"/>
              <w:rPr>
                <w:b/>
                <w:bCs/>
              </w:rPr>
            </w:pPr>
            <w:r w:rsidRPr="00D326F8">
              <w:rPr>
                <w:b/>
                <w:bCs/>
              </w:rPr>
              <w:t>AE and SAE Recording</w:t>
            </w:r>
          </w:p>
        </w:tc>
      </w:tr>
      <w:tr w:rsidR="003B74AE" w:rsidRPr="00D326F8" w14:paraId="601A845D" w14:textId="77777777" w:rsidTr="002B13E8">
        <w:tc>
          <w:tcPr>
            <w:tcW w:w="5000" w:type="pct"/>
          </w:tcPr>
          <w:p w14:paraId="601A8458" w14:textId="77777777" w:rsidR="00C46DC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 xml:space="preserve">When an AE/SAE occurs, it is the responsibility of the </w:t>
            </w:r>
            <w:r w:rsidR="008C7E09" w:rsidRPr="00D326F8">
              <w:rPr>
                <w:lang w:val="en-GB"/>
              </w:rPr>
              <w:t>I</w:t>
            </w:r>
            <w:r w:rsidRPr="00D326F8">
              <w:rPr>
                <w:lang w:val="en-GB"/>
              </w:rPr>
              <w:t>nvestigator to review all documentation (e.g., hospital progress notes, laboratory reports, and diagnostics reports) related to the event.</w:t>
            </w:r>
          </w:p>
          <w:p w14:paraId="601A8459" w14:textId="77777777" w:rsidR="00C46DC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 xml:space="preserve">The </w:t>
            </w:r>
            <w:r w:rsidR="008C7E09" w:rsidRPr="00D326F8">
              <w:rPr>
                <w:lang w:val="en-GB"/>
              </w:rPr>
              <w:t>I</w:t>
            </w:r>
            <w:r w:rsidRPr="00D326F8">
              <w:rPr>
                <w:lang w:val="en-GB"/>
              </w:rPr>
              <w:t>nvestigator will then record all relevant AE/SAE information in the CRF.</w:t>
            </w:r>
          </w:p>
          <w:p w14:paraId="601A845A" w14:textId="77777777" w:rsidR="00C46DC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 xml:space="preserve">As needed, </w:t>
            </w:r>
            <w:r w:rsidR="002B13E8" w:rsidRPr="00D326F8">
              <w:rPr>
                <w:lang w:val="en-GB"/>
              </w:rPr>
              <w:t>the Sponsor/designee</w:t>
            </w:r>
            <w:r w:rsidR="003C11F7" w:rsidRPr="00D326F8">
              <w:rPr>
                <w:lang w:val="en-GB"/>
              </w:rPr>
              <w:t xml:space="preserve"> </w:t>
            </w:r>
            <w:r w:rsidRPr="00D326F8">
              <w:rPr>
                <w:lang w:val="en-GB"/>
              </w:rPr>
              <w:t>may ask for copies of certain medical records (e.g., autopsy reports, supplemental lab reports, documents on medical history/concomitant medications, discharge letters), as supporting source documentation. All participant identifiers, except the participant number, will be redacted on the</w:t>
            </w:r>
            <w:r w:rsidR="003C11F7" w:rsidRPr="00D326F8">
              <w:rPr>
                <w:lang w:val="en-GB"/>
              </w:rPr>
              <w:t>se</w:t>
            </w:r>
            <w:r w:rsidRPr="00D326F8">
              <w:rPr>
                <w:lang w:val="en-GB"/>
              </w:rPr>
              <w:t xml:space="preserve"> copies before submission to </w:t>
            </w:r>
            <w:r w:rsidR="002B13E8" w:rsidRPr="00D326F8">
              <w:rPr>
                <w:lang w:val="en-GB"/>
              </w:rPr>
              <w:t xml:space="preserve">the Sponsor designee. </w:t>
            </w:r>
          </w:p>
          <w:p w14:paraId="601A845B" w14:textId="77777777" w:rsidR="00C46DC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 xml:space="preserve">The </w:t>
            </w:r>
            <w:r w:rsidR="008C7E09" w:rsidRPr="00D326F8">
              <w:rPr>
                <w:lang w:val="en-GB"/>
              </w:rPr>
              <w:t>I</w:t>
            </w:r>
            <w:r w:rsidRPr="00D326F8">
              <w:rPr>
                <w:lang w:val="en-GB"/>
              </w:rPr>
              <w:t>nvestigator will attempt to establish a diagnosis of the event based on signs, symptoms, and/or other clinical information. Whenever possible, the diagnosis (not the individual signs/symptoms) will be documented as the AE/SAE.</w:t>
            </w:r>
          </w:p>
          <w:p w14:paraId="601A845C" w14:textId="77777777" w:rsidR="00C46DCB" w:rsidRPr="00D326F8" w:rsidRDefault="003E23E4" w:rsidP="006A0BB7">
            <w:pPr>
              <w:pStyle w:val="List1withbullet"/>
              <w:numPr>
                <w:ilvl w:val="0"/>
                <w:numId w:val="5"/>
              </w:numPr>
              <w:tabs>
                <w:tab w:val="clear" w:pos="576"/>
                <w:tab w:val="num" w:pos="342"/>
              </w:tabs>
              <w:ind w:left="342" w:hanging="342"/>
              <w:rPr>
                <w:rFonts w:ascii="Calibri" w:hAnsi="Calibri" w:cs="Cordia New"/>
              </w:rPr>
            </w:pPr>
            <w:r w:rsidRPr="00D326F8">
              <w:rPr>
                <w:lang w:val="en-GB"/>
              </w:rPr>
              <w:t>Specific guidance is in the CRF Completion and Monitoring Conventions.</w:t>
            </w:r>
          </w:p>
        </w:tc>
      </w:tr>
    </w:tbl>
    <w:p w14:paraId="601A845E" w14:textId="77777777" w:rsidR="0077701B" w:rsidRPr="00D326F8" w:rsidRDefault="0077701B" w:rsidP="006028E7">
      <w:pPr>
        <w:pStyle w:val="BodyText"/>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2"/>
      </w:tblGrid>
      <w:tr w:rsidR="003B74AE" w:rsidRPr="00D326F8" w14:paraId="601A8460" w14:textId="77777777" w:rsidTr="002B13E8">
        <w:tc>
          <w:tcPr>
            <w:tcW w:w="5000" w:type="pct"/>
            <w:shd w:val="clear" w:color="auto" w:fill="EEECE1" w:themeFill="background2"/>
          </w:tcPr>
          <w:p w14:paraId="601A845F" w14:textId="77777777" w:rsidR="00C46DCB" w:rsidRPr="00D326F8" w:rsidRDefault="003E23E4" w:rsidP="006028E7">
            <w:pPr>
              <w:pStyle w:val="BodyText"/>
              <w:spacing w:before="120"/>
              <w:rPr>
                <w:b/>
                <w:bCs/>
              </w:rPr>
            </w:pPr>
            <w:r w:rsidRPr="00D326F8">
              <w:rPr>
                <w:b/>
                <w:bCs/>
              </w:rPr>
              <w:t>Assessment of Intensity</w:t>
            </w:r>
          </w:p>
        </w:tc>
      </w:tr>
      <w:tr w:rsidR="003B74AE" w:rsidRPr="00D326F8" w14:paraId="601A8466" w14:textId="77777777" w:rsidTr="002B13E8">
        <w:tc>
          <w:tcPr>
            <w:tcW w:w="5000" w:type="pct"/>
          </w:tcPr>
          <w:p w14:paraId="601A8461" w14:textId="77777777" w:rsidR="00C46DCB" w:rsidRPr="00D326F8" w:rsidRDefault="003E23E4" w:rsidP="006028E7">
            <w:pPr>
              <w:pStyle w:val="BodyText"/>
              <w:spacing w:before="120"/>
              <w:rPr>
                <w:rFonts w:eastAsia="Calibri"/>
              </w:rPr>
            </w:pPr>
            <w:r w:rsidRPr="00D326F8">
              <w:rPr>
                <w:rFonts w:eastAsia="Calibri"/>
              </w:rPr>
              <w:t xml:space="preserve">The </w:t>
            </w:r>
            <w:r w:rsidR="008C7E09" w:rsidRPr="00D326F8">
              <w:rPr>
                <w:rFonts w:eastAsia="Calibri"/>
              </w:rPr>
              <w:t>I</w:t>
            </w:r>
            <w:r w:rsidRPr="00D326F8">
              <w:rPr>
                <w:rFonts w:eastAsia="Calibri"/>
              </w:rPr>
              <w:t>nvestigator will assess the intensity of each AE and SAE reported during the study and assign it to 1 of the following categories:</w:t>
            </w:r>
          </w:p>
          <w:p w14:paraId="601A8462" w14:textId="77777777" w:rsidR="00C46DCB" w:rsidRPr="00D326F8" w:rsidRDefault="003E23E4" w:rsidP="006028E7">
            <w:pPr>
              <w:pStyle w:val="List1withbullet"/>
              <w:numPr>
                <w:ilvl w:val="0"/>
                <w:numId w:val="5"/>
              </w:numPr>
              <w:tabs>
                <w:tab w:val="clear" w:pos="576"/>
                <w:tab w:val="num" w:pos="342"/>
              </w:tabs>
              <w:ind w:left="342" w:hanging="342"/>
              <w:rPr>
                <w:lang w:val="en-GB"/>
              </w:rPr>
            </w:pPr>
            <w:r w:rsidRPr="00D326F8">
              <w:rPr>
                <w:lang w:val="en-GB"/>
              </w:rPr>
              <w:t xml:space="preserve">Mild: An event that is easily tolerated by the participant, causing minimal </w:t>
            </w:r>
            <w:proofErr w:type="gramStart"/>
            <w:r w:rsidRPr="00D326F8">
              <w:rPr>
                <w:lang w:val="en-GB"/>
              </w:rPr>
              <w:t>discomfort</w:t>
            </w:r>
            <w:proofErr w:type="gramEnd"/>
            <w:r w:rsidRPr="00D326F8">
              <w:rPr>
                <w:lang w:val="en-GB"/>
              </w:rPr>
              <w:t xml:space="preserve"> and not interfering with everyday activities.</w:t>
            </w:r>
          </w:p>
          <w:p w14:paraId="601A8463" w14:textId="44CE97CD" w:rsidR="00C46DCB" w:rsidRDefault="003E23E4" w:rsidP="006028E7">
            <w:pPr>
              <w:pStyle w:val="List1withbullet"/>
              <w:numPr>
                <w:ilvl w:val="0"/>
                <w:numId w:val="5"/>
              </w:numPr>
              <w:tabs>
                <w:tab w:val="clear" w:pos="576"/>
                <w:tab w:val="num" w:pos="342"/>
              </w:tabs>
              <w:ind w:left="342" w:hanging="342"/>
              <w:rPr>
                <w:lang w:val="en-GB"/>
              </w:rPr>
            </w:pPr>
            <w:r w:rsidRPr="00D326F8">
              <w:rPr>
                <w:lang w:val="en-GB"/>
              </w:rPr>
              <w:t>Moderate: An event that causes sufficient discomfort and interferes with normal everyday activities.</w:t>
            </w:r>
          </w:p>
          <w:p w14:paraId="44A25C87" w14:textId="77777777" w:rsidR="006028E7" w:rsidRPr="006028E7" w:rsidRDefault="006028E7" w:rsidP="006028E7">
            <w:pPr>
              <w:pStyle w:val="List1withoutbullet"/>
              <w:rPr>
                <w:lang w:val="en-GB"/>
              </w:rPr>
            </w:pPr>
          </w:p>
          <w:p w14:paraId="601A8464" w14:textId="77777777" w:rsidR="00C46DCB" w:rsidRPr="00D326F8" w:rsidRDefault="003E23E4" w:rsidP="006028E7">
            <w:pPr>
              <w:pStyle w:val="List1withbullet"/>
              <w:numPr>
                <w:ilvl w:val="0"/>
                <w:numId w:val="5"/>
              </w:numPr>
              <w:tabs>
                <w:tab w:val="clear" w:pos="576"/>
                <w:tab w:val="num" w:pos="342"/>
              </w:tabs>
              <w:ind w:left="342" w:hanging="342"/>
              <w:rPr>
                <w:lang w:val="en-GB"/>
              </w:rPr>
            </w:pPr>
            <w:r w:rsidRPr="00D326F8">
              <w:rPr>
                <w:lang w:val="en-GB"/>
              </w:rPr>
              <w:lastRenderedPageBreak/>
              <w:t>Severe: An event that prevents normal everyday activities.  Do not confuse an AE that is assessed as severe with a SAE. Severe is a category used to rate the intensity of an event; both AEs and SAEs can be assessed as severe.</w:t>
            </w:r>
          </w:p>
          <w:p w14:paraId="601A8465" w14:textId="77777777" w:rsidR="00C46DCB" w:rsidRPr="00D326F8" w:rsidRDefault="003E23E4" w:rsidP="006028E7">
            <w:pPr>
              <w:pStyle w:val="List1withoutbullet"/>
              <w:tabs>
                <w:tab w:val="clear" w:pos="284"/>
                <w:tab w:val="left" w:pos="426"/>
              </w:tabs>
              <w:ind w:left="336"/>
              <w:rPr>
                <w:lang w:val="en-GB"/>
              </w:rPr>
            </w:pPr>
            <w:r w:rsidRPr="00D326F8">
              <w:rPr>
                <w:lang w:val="en-GB"/>
              </w:rPr>
              <w:t xml:space="preserve">An event is defined as “serious” when it meets at least 1 of the predefined </w:t>
            </w:r>
            <w:r w:rsidR="00A46B5E" w:rsidRPr="00D326F8">
              <w:rPr>
                <w:lang w:val="en-GB"/>
              </w:rPr>
              <w:t>criteria</w:t>
            </w:r>
            <w:r w:rsidRPr="00D326F8">
              <w:rPr>
                <w:lang w:val="en-GB"/>
              </w:rPr>
              <w:t xml:space="preserve"> </w:t>
            </w:r>
            <w:r w:rsidR="00C67F3B" w:rsidRPr="00D326F8">
              <w:rPr>
                <w:lang w:val="en-GB"/>
              </w:rPr>
              <w:t xml:space="preserve">specified </w:t>
            </w:r>
            <w:r w:rsidRPr="00D326F8">
              <w:rPr>
                <w:lang w:val="en-GB"/>
              </w:rPr>
              <w:t>in the definition of an SAE, NOT when it is rated as severe.</w:t>
            </w:r>
          </w:p>
        </w:tc>
      </w:tr>
    </w:tbl>
    <w:p w14:paraId="601A8467" w14:textId="77777777" w:rsidR="00C46DCB" w:rsidRPr="00D326F8" w:rsidRDefault="00C46DCB" w:rsidP="005971DC">
      <w:pPr>
        <w:pStyle w:val="BodyText"/>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2"/>
      </w:tblGrid>
      <w:tr w:rsidR="003B74AE" w:rsidRPr="00D326F8" w14:paraId="601A8469" w14:textId="77777777" w:rsidTr="002B13E8">
        <w:tc>
          <w:tcPr>
            <w:tcW w:w="5000" w:type="pct"/>
            <w:shd w:val="clear" w:color="auto" w:fill="EEECE1"/>
          </w:tcPr>
          <w:p w14:paraId="601A8468" w14:textId="77777777" w:rsidR="00C67F3B" w:rsidRPr="00D326F8" w:rsidRDefault="003E23E4" w:rsidP="00777F19">
            <w:pPr>
              <w:pStyle w:val="BodyText"/>
              <w:spacing w:before="120"/>
              <w:rPr>
                <w:b/>
                <w:bCs/>
              </w:rPr>
            </w:pPr>
            <w:r w:rsidRPr="00D326F8">
              <w:rPr>
                <w:b/>
                <w:bCs/>
              </w:rPr>
              <w:t>Assessment of Causality</w:t>
            </w:r>
          </w:p>
        </w:tc>
      </w:tr>
      <w:tr w:rsidR="003B74AE" w:rsidRPr="00D326F8" w14:paraId="601A8475" w14:textId="77777777" w:rsidTr="002B13E8">
        <w:tc>
          <w:tcPr>
            <w:tcW w:w="5000" w:type="pct"/>
          </w:tcPr>
          <w:p w14:paraId="601A846A" w14:textId="77777777" w:rsidR="00C67F3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The Investigator will assess the relationship between study intervention and each AE/SAE occurrence:</w:t>
            </w:r>
          </w:p>
          <w:p w14:paraId="601A846B" w14:textId="77777777" w:rsidR="00C67F3B" w:rsidRPr="00D326F8" w:rsidRDefault="003E23E4" w:rsidP="001E02B9">
            <w:pPr>
              <w:pStyle w:val="List2withbullet"/>
            </w:pPr>
            <w:r w:rsidRPr="00D326F8">
              <w:t xml:space="preserve">Unrelated: Not reasonably related to the study intervention. AE could not medically (pharmacologically/clinically) be attributed to the study intervention. A reasonable alternative explanation </w:t>
            </w:r>
            <w:r w:rsidR="00DE57D7" w:rsidRPr="00D326F8">
              <w:t>will</w:t>
            </w:r>
            <w:r w:rsidRPr="00D326F8">
              <w:t xml:space="preserve"> be available.</w:t>
            </w:r>
          </w:p>
          <w:p w14:paraId="601A846C" w14:textId="77777777" w:rsidR="00C67F3B" w:rsidRPr="00D326F8" w:rsidRDefault="003E23E4" w:rsidP="001E02B9">
            <w:pPr>
              <w:pStyle w:val="List2withbullet"/>
            </w:pPr>
            <w:r w:rsidRPr="00D326F8">
              <w:t>Related: Reasonably related to the study intervention. AE could medically (pharmacologically/clinically) be attributed to the study intervention.</w:t>
            </w:r>
          </w:p>
          <w:p w14:paraId="601A846D" w14:textId="77777777" w:rsidR="00C67F3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A “reasonable possibility” of a relationship conveys that there are facts, evidence, and/or arguments to suggest a causal relationship, rather than a relationship cannot be ruled out.</w:t>
            </w:r>
          </w:p>
          <w:p w14:paraId="601A846E" w14:textId="77777777" w:rsidR="00C67F3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The Investigator will use clinical judgment to determine the relationship.</w:t>
            </w:r>
          </w:p>
          <w:p w14:paraId="601A846F" w14:textId="77777777" w:rsidR="00C67F3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Alternative causes, such as underlying disease(s), concomitant therapy, and other risk factors, as well as the temporal relationship of the event to study intervention administration will be considered and investigated.</w:t>
            </w:r>
          </w:p>
          <w:p w14:paraId="601A8470" w14:textId="77777777" w:rsidR="00C67F3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The Investigator will also consult the IB and/or Product Information, for marketed products, in his/her assessment.</w:t>
            </w:r>
          </w:p>
          <w:p w14:paraId="601A8471" w14:textId="77777777" w:rsidR="00C67F3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 xml:space="preserve">For each AE/SAE, the Investigator </w:t>
            </w:r>
            <w:r w:rsidR="00DE57D7" w:rsidRPr="00D326F8">
              <w:rPr>
                <w:lang w:val="en-GB"/>
              </w:rPr>
              <w:t>will</w:t>
            </w:r>
            <w:r w:rsidRPr="00D326F8">
              <w:rPr>
                <w:lang w:val="en-GB"/>
              </w:rPr>
              <w:t xml:space="preserve"> document in the medical notes that he/she has reviewed the AE/SAE and </w:t>
            </w:r>
            <w:r w:rsidR="00615266" w:rsidRPr="00D326F8">
              <w:rPr>
                <w:lang w:val="en-GB"/>
              </w:rPr>
              <w:t xml:space="preserve">assessed </w:t>
            </w:r>
            <w:r w:rsidRPr="00D326F8">
              <w:rPr>
                <w:lang w:val="en-GB"/>
              </w:rPr>
              <w:t>causality.</w:t>
            </w:r>
          </w:p>
          <w:p w14:paraId="601A8472" w14:textId="77777777" w:rsidR="00C67F3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 xml:space="preserve">There may be situations </w:t>
            </w:r>
            <w:r w:rsidR="00244CE1" w:rsidRPr="00D326F8">
              <w:rPr>
                <w:lang w:val="en-GB"/>
              </w:rPr>
              <w:t xml:space="preserve">when </w:t>
            </w:r>
            <w:r w:rsidRPr="00D326F8">
              <w:rPr>
                <w:lang w:val="en-GB"/>
              </w:rPr>
              <w:t>an SAE has occurred</w:t>
            </w:r>
            <w:r w:rsidR="00B863BF" w:rsidRPr="00D326F8">
              <w:rPr>
                <w:lang w:val="en-GB"/>
              </w:rPr>
              <w:t>,</w:t>
            </w:r>
            <w:r w:rsidR="00244CE1" w:rsidRPr="00D326F8">
              <w:rPr>
                <w:lang w:val="en-GB"/>
              </w:rPr>
              <w:t xml:space="preserve"> </w:t>
            </w:r>
            <w:r w:rsidRPr="00D326F8">
              <w:rPr>
                <w:lang w:val="en-GB"/>
              </w:rPr>
              <w:t xml:space="preserve">and the </w:t>
            </w:r>
            <w:r w:rsidR="00244CE1" w:rsidRPr="00D326F8">
              <w:rPr>
                <w:lang w:val="en-GB"/>
              </w:rPr>
              <w:t xml:space="preserve">Investigator has </w:t>
            </w:r>
            <w:r w:rsidRPr="00D326F8">
              <w:rPr>
                <w:lang w:val="en-GB"/>
              </w:rPr>
              <w:t>minimal information to include in the initial report to the Sponsor or its designee</w:t>
            </w:r>
            <w:r w:rsidR="00244CE1" w:rsidRPr="00D326F8">
              <w:rPr>
                <w:lang w:val="en-GB"/>
              </w:rPr>
              <w:t xml:space="preserve">.  </w:t>
            </w:r>
            <w:r w:rsidR="00B863BF" w:rsidRPr="00D326F8">
              <w:rPr>
                <w:lang w:val="en-GB"/>
              </w:rPr>
              <w:t>To meet the reporting timeline, the causality assessment is not required for the initial report.</w:t>
            </w:r>
          </w:p>
          <w:p w14:paraId="601A8473" w14:textId="77777777" w:rsidR="00C67F3B" w:rsidRPr="00D326F8" w:rsidRDefault="003E23E4" w:rsidP="006A0BB7">
            <w:pPr>
              <w:pStyle w:val="List1withbullet"/>
              <w:numPr>
                <w:ilvl w:val="0"/>
                <w:numId w:val="5"/>
              </w:numPr>
              <w:tabs>
                <w:tab w:val="clear" w:pos="576"/>
                <w:tab w:val="num" w:pos="342"/>
              </w:tabs>
              <w:ind w:left="342" w:hanging="342"/>
              <w:rPr>
                <w:lang w:val="en-GB"/>
              </w:rPr>
            </w:pPr>
            <w:r w:rsidRPr="00D326F8">
              <w:rPr>
                <w:lang w:val="en-GB"/>
              </w:rPr>
              <w:t xml:space="preserve">The </w:t>
            </w:r>
            <w:r w:rsidR="008C7E09" w:rsidRPr="00D326F8">
              <w:rPr>
                <w:lang w:val="en-GB"/>
              </w:rPr>
              <w:t>I</w:t>
            </w:r>
            <w:r w:rsidRPr="00D326F8">
              <w:rPr>
                <w:lang w:val="en-GB"/>
              </w:rPr>
              <w:t xml:space="preserve">nvestigator may change his/her causality </w:t>
            </w:r>
            <w:r w:rsidR="00B863BF" w:rsidRPr="00D326F8">
              <w:rPr>
                <w:lang w:val="en-GB"/>
              </w:rPr>
              <w:t xml:space="preserve">assessment after </w:t>
            </w:r>
            <w:r w:rsidRPr="00D326F8">
              <w:rPr>
                <w:lang w:val="en-GB"/>
              </w:rPr>
              <w:t>considering follow-up information and send a SAE follow-up report with the updated causality assessment.</w:t>
            </w:r>
          </w:p>
          <w:p w14:paraId="601A8474" w14:textId="1AFF2345" w:rsidR="00C67F3B" w:rsidRPr="00D326F8" w:rsidRDefault="003E23E4" w:rsidP="006A0BB7">
            <w:pPr>
              <w:pStyle w:val="List1withbullet"/>
              <w:numPr>
                <w:ilvl w:val="0"/>
                <w:numId w:val="5"/>
              </w:numPr>
              <w:tabs>
                <w:tab w:val="clear" w:pos="576"/>
                <w:tab w:val="num" w:pos="342"/>
              </w:tabs>
              <w:ind w:left="342" w:hanging="342"/>
            </w:pPr>
            <w:r w:rsidRPr="00D326F8">
              <w:rPr>
                <w:lang w:val="en-GB"/>
              </w:rPr>
              <w:t xml:space="preserve">The causality assessment is </w:t>
            </w:r>
            <w:r w:rsidR="006D695D" w:rsidRPr="00D326F8">
              <w:rPr>
                <w:lang w:val="en-GB"/>
              </w:rPr>
              <w:t>1 </w:t>
            </w:r>
            <w:r w:rsidRPr="00D326F8">
              <w:rPr>
                <w:lang w:val="en-GB"/>
              </w:rPr>
              <w:t>of the criteria used when determining regulatory reporting requirements.</w:t>
            </w:r>
          </w:p>
        </w:tc>
      </w:tr>
    </w:tbl>
    <w:p w14:paraId="601A8476" w14:textId="77777777" w:rsidR="00C67F3B" w:rsidRPr="00D326F8" w:rsidRDefault="00C67F3B" w:rsidP="005971DC">
      <w:pPr>
        <w:pStyle w:val="BodyText"/>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2"/>
      </w:tblGrid>
      <w:tr w:rsidR="003B74AE" w:rsidRPr="00D326F8" w14:paraId="601A8478" w14:textId="77777777" w:rsidTr="002B13E8">
        <w:tc>
          <w:tcPr>
            <w:tcW w:w="5000" w:type="pct"/>
            <w:shd w:val="clear" w:color="auto" w:fill="EEECE1"/>
          </w:tcPr>
          <w:p w14:paraId="601A8477" w14:textId="77777777" w:rsidR="00B863BF" w:rsidRPr="00D326F8" w:rsidRDefault="003E23E4" w:rsidP="006028E7">
            <w:pPr>
              <w:pStyle w:val="BodyText"/>
              <w:keepNext/>
              <w:keepLines/>
              <w:spacing w:before="120"/>
              <w:rPr>
                <w:b/>
                <w:bCs/>
              </w:rPr>
            </w:pPr>
            <w:r w:rsidRPr="00D326F8">
              <w:rPr>
                <w:b/>
                <w:bCs/>
              </w:rPr>
              <w:lastRenderedPageBreak/>
              <w:t>Follow-up of AEs and SAEs</w:t>
            </w:r>
          </w:p>
        </w:tc>
      </w:tr>
      <w:tr w:rsidR="003B74AE" w:rsidRPr="00D326F8" w14:paraId="601A847D" w14:textId="77777777" w:rsidTr="002B13E8">
        <w:tc>
          <w:tcPr>
            <w:tcW w:w="5000" w:type="pct"/>
          </w:tcPr>
          <w:p w14:paraId="601A8479" w14:textId="77777777" w:rsidR="00B863BF" w:rsidRPr="00D326F8" w:rsidRDefault="003E23E4" w:rsidP="006028E7">
            <w:pPr>
              <w:pStyle w:val="List1withbullet"/>
              <w:keepNext/>
              <w:keepLines/>
              <w:numPr>
                <w:ilvl w:val="0"/>
                <w:numId w:val="5"/>
              </w:numPr>
              <w:tabs>
                <w:tab w:val="clear" w:pos="576"/>
                <w:tab w:val="num" w:pos="342"/>
              </w:tabs>
              <w:ind w:left="342" w:hanging="342"/>
              <w:rPr>
                <w:lang w:val="en-GB"/>
              </w:rPr>
            </w:pPr>
            <w:r w:rsidRPr="00D326F8">
              <w:rPr>
                <w:lang w:val="en-GB"/>
              </w:rPr>
              <w:t xml:space="preserve">The </w:t>
            </w:r>
            <w:r w:rsidR="008C7E09" w:rsidRPr="00D326F8">
              <w:rPr>
                <w:lang w:val="en-GB"/>
              </w:rPr>
              <w:t>I</w:t>
            </w:r>
            <w:r w:rsidRPr="00D326F8">
              <w:rPr>
                <w:lang w:val="en-GB"/>
              </w:rPr>
              <w:t xml:space="preserve">nvestigator will perform or arrange for the conduct of supplemental measurements and/or evaluations, as medically indicated or as requested by </w:t>
            </w:r>
            <w:r w:rsidR="002B13E8" w:rsidRPr="00D326F8">
              <w:rPr>
                <w:lang w:val="en-GB"/>
              </w:rPr>
              <w:t xml:space="preserve">the Sponsor/designee </w:t>
            </w:r>
            <w:r w:rsidRPr="00D326F8">
              <w:rPr>
                <w:lang w:val="en-GB"/>
              </w:rPr>
              <w:t>to elucidate the nature and/or causality of the AE or SAE, as fully as possible. This may include additional laboratory tests or investigations, histopathological examinations, or consultation with other health care professionals.</w:t>
            </w:r>
          </w:p>
          <w:p w14:paraId="601A847A" w14:textId="68D67930" w:rsidR="00B863BF" w:rsidRPr="00D326F8" w:rsidRDefault="003E23E4" w:rsidP="006028E7">
            <w:pPr>
              <w:pStyle w:val="List1withbullet"/>
              <w:keepNext/>
              <w:keepLines/>
              <w:numPr>
                <w:ilvl w:val="0"/>
                <w:numId w:val="7"/>
              </w:numPr>
              <w:ind w:left="334" w:hanging="334"/>
            </w:pPr>
            <w:r w:rsidRPr="00D326F8">
              <w:t xml:space="preserve">If a participant dies during participation in the study or during a recognized follow-up period, the </w:t>
            </w:r>
            <w:r w:rsidR="008C7E09" w:rsidRPr="00D326F8">
              <w:t>I</w:t>
            </w:r>
            <w:r w:rsidRPr="00D326F8">
              <w:t xml:space="preserve">nvestigator will provide </w:t>
            </w:r>
            <w:r w:rsidR="002B13E8" w:rsidRPr="00D326F8">
              <w:t>the Sponsor/designee</w:t>
            </w:r>
            <w:r w:rsidRPr="00D326F8">
              <w:t xml:space="preserve"> with a copy of any postmortem findings including histopathology.</w:t>
            </w:r>
          </w:p>
          <w:p w14:paraId="601A847B" w14:textId="77777777" w:rsidR="00B863BF" w:rsidRPr="00D326F8" w:rsidRDefault="003E23E4" w:rsidP="006028E7">
            <w:pPr>
              <w:pStyle w:val="List1withbullet"/>
              <w:keepNext/>
              <w:keepLines/>
              <w:numPr>
                <w:ilvl w:val="0"/>
                <w:numId w:val="8"/>
              </w:numPr>
              <w:ind w:left="334" w:hanging="334"/>
            </w:pPr>
            <w:r w:rsidRPr="00D326F8">
              <w:t>New or updated information will be recorded in the originally completed CRF.</w:t>
            </w:r>
          </w:p>
          <w:p w14:paraId="601A847C" w14:textId="77777777" w:rsidR="00B863BF" w:rsidRPr="00D326F8" w:rsidRDefault="003E23E4" w:rsidP="006028E7">
            <w:pPr>
              <w:pStyle w:val="List1withbullet"/>
              <w:keepNext/>
              <w:keepLines/>
              <w:numPr>
                <w:ilvl w:val="0"/>
                <w:numId w:val="8"/>
              </w:numPr>
              <w:ind w:left="334" w:hanging="334"/>
            </w:pPr>
            <w:r w:rsidRPr="00D326F8">
              <w:t xml:space="preserve">The </w:t>
            </w:r>
            <w:r w:rsidR="008C7E09" w:rsidRPr="00D326F8">
              <w:t>I</w:t>
            </w:r>
            <w:r w:rsidRPr="00D326F8">
              <w:t xml:space="preserve">nvestigator will submit any updated SAE data to </w:t>
            </w:r>
            <w:r w:rsidR="002B13E8" w:rsidRPr="00D326F8">
              <w:t xml:space="preserve">the Sponsor/designee </w:t>
            </w:r>
            <w:r w:rsidRPr="00D326F8">
              <w:t>within 24 hours of receipt of the information.</w:t>
            </w:r>
          </w:p>
        </w:tc>
      </w:tr>
    </w:tbl>
    <w:p w14:paraId="601A8482" w14:textId="77777777" w:rsidR="00BA2282" w:rsidRPr="00D326F8" w:rsidRDefault="003E23E4" w:rsidP="005C2EC9">
      <w:pPr>
        <w:pStyle w:val="BodyText"/>
        <w:spacing w:after="120"/>
        <w:rPr>
          <w:b/>
          <w:bCs/>
          <w:sz w:val="28"/>
          <w:szCs w:val="28"/>
        </w:rPr>
      </w:pPr>
      <w:bookmarkStart w:id="338" w:name="_Toc528734936"/>
      <w:bookmarkStart w:id="339" w:name="_Toc877218"/>
      <w:r w:rsidRPr="00D326F8">
        <w:rPr>
          <w:b/>
          <w:bCs/>
          <w:sz w:val="28"/>
          <w:szCs w:val="28"/>
        </w:rPr>
        <w:t>Reporting of SAEs</w:t>
      </w:r>
      <w:bookmarkEnd w:id="338"/>
      <w:bookmarkEnd w:id="3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2"/>
      </w:tblGrid>
      <w:tr w:rsidR="003B74AE" w:rsidRPr="00D326F8" w14:paraId="601A8484" w14:textId="77777777" w:rsidTr="002B13E8">
        <w:tc>
          <w:tcPr>
            <w:tcW w:w="5000" w:type="pct"/>
            <w:shd w:val="clear" w:color="auto" w:fill="EEECE1"/>
          </w:tcPr>
          <w:p w14:paraId="601A8483" w14:textId="77777777" w:rsidR="00BA2282" w:rsidRPr="00D326F8" w:rsidRDefault="003E23E4" w:rsidP="005C2EC9">
            <w:pPr>
              <w:pStyle w:val="BodyText"/>
              <w:spacing w:before="120"/>
              <w:rPr>
                <w:b/>
                <w:bCs/>
              </w:rPr>
            </w:pPr>
            <w:r w:rsidRPr="00D326F8">
              <w:rPr>
                <w:b/>
                <w:bCs/>
              </w:rPr>
              <w:t xml:space="preserve">SAE Reporting </w:t>
            </w:r>
            <w:r w:rsidR="00F30148" w:rsidRPr="00D326F8">
              <w:rPr>
                <w:b/>
                <w:bCs/>
              </w:rPr>
              <w:t xml:space="preserve">by a </w:t>
            </w:r>
            <w:r w:rsidRPr="00D326F8">
              <w:rPr>
                <w:b/>
                <w:bCs/>
              </w:rPr>
              <w:t>Paper Form</w:t>
            </w:r>
          </w:p>
        </w:tc>
      </w:tr>
      <w:tr w:rsidR="003B74AE" w:rsidRPr="00D326F8" w14:paraId="601A848A" w14:textId="77777777" w:rsidTr="0059489E">
        <w:tc>
          <w:tcPr>
            <w:tcW w:w="5000" w:type="pct"/>
            <w:tcBorders>
              <w:bottom w:val="single" w:sz="4" w:space="0" w:color="auto"/>
            </w:tcBorders>
          </w:tcPr>
          <w:p w14:paraId="601A8485" w14:textId="77777777" w:rsidR="00BA2282" w:rsidRPr="00D326F8" w:rsidRDefault="003E23E4" w:rsidP="0057019A">
            <w:pPr>
              <w:pStyle w:val="List1withbullet"/>
              <w:numPr>
                <w:ilvl w:val="0"/>
                <w:numId w:val="9"/>
              </w:numPr>
            </w:pPr>
            <w:r w:rsidRPr="00D326F8">
              <w:t xml:space="preserve">SAE reporting on a paper report form </w:t>
            </w:r>
            <w:r w:rsidR="004C1B29" w:rsidRPr="00D326F8">
              <w:t xml:space="preserve">may be </w:t>
            </w:r>
            <w:r w:rsidRPr="00D326F8">
              <w:t xml:space="preserve">used </w:t>
            </w:r>
            <w:r w:rsidR="004C1B29" w:rsidRPr="00D326F8">
              <w:t xml:space="preserve">in single center studies </w:t>
            </w:r>
            <w:r w:rsidR="00A839E8" w:rsidRPr="00D326F8">
              <w:t xml:space="preserve">in addition to the standard electronic CRF </w:t>
            </w:r>
            <w:r w:rsidR="004C1B29" w:rsidRPr="00D326F8">
              <w:t xml:space="preserve">and </w:t>
            </w:r>
            <w:r w:rsidRPr="00D326F8">
              <w:t xml:space="preserve">as a back-up method for an EDC system failure. </w:t>
            </w:r>
            <w:r w:rsidR="009331EE" w:rsidRPr="00D326F8">
              <w:t>The form includes</w:t>
            </w:r>
            <w:r w:rsidR="009331EE" w:rsidRPr="00D326F8">
              <w:rPr>
                <w:color w:val="7030A0"/>
                <w:sz w:val="22"/>
              </w:rPr>
              <w:t xml:space="preserve"> </w:t>
            </w:r>
            <w:r w:rsidR="009331EE" w:rsidRPr="00D326F8">
              <w:t>completion instructions for the Investigator, n</w:t>
            </w:r>
            <w:r w:rsidRPr="00D326F8">
              <w:t>ames, addresses, and telephone and fax numbers</w:t>
            </w:r>
            <w:r w:rsidR="009331EE" w:rsidRPr="00D326F8">
              <w:t>.</w:t>
            </w:r>
            <w:r w:rsidRPr="00D326F8">
              <w:t xml:space="preserve"> All information from the paper form </w:t>
            </w:r>
            <w:r w:rsidR="00615266" w:rsidRPr="00D326F8">
              <w:t>will</w:t>
            </w:r>
            <w:r w:rsidRPr="00D326F8">
              <w:t xml:space="preserve"> be transcribed into the electronic form as soon as the system becomes available.</w:t>
            </w:r>
          </w:p>
          <w:p w14:paraId="601A8486" w14:textId="77777777" w:rsidR="00BA2282" w:rsidRPr="00D326F8" w:rsidRDefault="003E23E4" w:rsidP="0057019A">
            <w:pPr>
              <w:pStyle w:val="List1withbullet"/>
              <w:numPr>
                <w:ilvl w:val="0"/>
                <w:numId w:val="9"/>
              </w:numPr>
            </w:pPr>
            <w:r w:rsidRPr="00D326F8">
              <w:t xml:space="preserve">Facsimile transmission (fax to mail) </w:t>
            </w:r>
            <w:r w:rsidR="00F30148" w:rsidRPr="00D326F8">
              <w:t xml:space="preserve">of the paper form </w:t>
            </w:r>
            <w:r w:rsidRPr="00D326F8">
              <w:t xml:space="preserve">or any follow-up information is the preferred method </w:t>
            </w:r>
            <w:r w:rsidR="009331EE" w:rsidRPr="00D326F8">
              <w:t xml:space="preserve">for transmission and will be done </w:t>
            </w:r>
            <w:r w:rsidRPr="00D326F8">
              <w:t>within 24 hours to the Sponsor or its designee.</w:t>
            </w:r>
          </w:p>
          <w:p w14:paraId="601A8487" w14:textId="77777777" w:rsidR="00BA2282" w:rsidRPr="00D326F8" w:rsidRDefault="003E23E4" w:rsidP="0057019A">
            <w:pPr>
              <w:pStyle w:val="List1withbullet"/>
              <w:numPr>
                <w:ilvl w:val="0"/>
                <w:numId w:val="9"/>
              </w:numPr>
            </w:pPr>
            <w:r w:rsidRPr="00D326F8">
              <w:t xml:space="preserve">In rare circumstances and in the absence of facsimile equipment, notification by telephone is acceptable with a copy of the </w:t>
            </w:r>
            <w:r w:rsidR="009331EE" w:rsidRPr="00D326F8">
              <w:t xml:space="preserve">form </w:t>
            </w:r>
            <w:r w:rsidRPr="00D326F8">
              <w:t>sent by overnight mail or courier service.</w:t>
            </w:r>
          </w:p>
          <w:p w14:paraId="601A8488" w14:textId="77777777" w:rsidR="00BA2282" w:rsidRPr="00D326F8" w:rsidRDefault="003E23E4" w:rsidP="0057019A">
            <w:pPr>
              <w:pStyle w:val="List1withbullet"/>
              <w:numPr>
                <w:ilvl w:val="0"/>
                <w:numId w:val="9"/>
              </w:numPr>
            </w:pPr>
            <w:r w:rsidRPr="00D326F8">
              <w:t xml:space="preserve">Initial notification via telephone does not replace the need for the </w:t>
            </w:r>
            <w:r w:rsidR="008C7E09" w:rsidRPr="00D326F8">
              <w:t>I</w:t>
            </w:r>
            <w:r w:rsidRPr="00D326F8">
              <w:t>nvestigator to complete and sign the form</w:t>
            </w:r>
            <w:r w:rsidR="009331EE" w:rsidRPr="00D326F8">
              <w:rPr>
                <w:color w:val="7030A0"/>
                <w:sz w:val="22"/>
              </w:rPr>
              <w:t xml:space="preserve"> </w:t>
            </w:r>
            <w:r w:rsidRPr="00D326F8">
              <w:t>within 24 hours after becoming aware of the event.</w:t>
            </w:r>
          </w:p>
          <w:p w14:paraId="601A8489" w14:textId="77777777" w:rsidR="00BA2282" w:rsidRPr="00D326F8" w:rsidRDefault="003E23E4" w:rsidP="0057019A">
            <w:pPr>
              <w:pStyle w:val="List1withbullet"/>
              <w:numPr>
                <w:ilvl w:val="0"/>
                <w:numId w:val="9"/>
              </w:numPr>
              <w:rPr>
                <w:szCs w:val="24"/>
              </w:rPr>
            </w:pPr>
            <w:r w:rsidRPr="00D326F8">
              <w:t>Additional documents (e.g.</w:t>
            </w:r>
            <w:r w:rsidR="00B617D3" w:rsidRPr="00D326F8">
              <w:t>,</w:t>
            </w:r>
            <w:r w:rsidRPr="00D326F8">
              <w:t xml:space="preserve"> laboratory reports, autopsy report, hospital discharge letter) and relevant pages from the CRF may be required in addition (e.g.</w:t>
            </w:r>
            <w:r w:rsidR="00B617D3" w:rsidRPr="00D326F8">
              <w:t>,</w:t>
            </w:r>
            <w:r w:rsidRPr="00D326F8">
              <w:t xml:space="preserve"> medical history, concomitant medication). The data provided </w:t>
            </w:r>
            <w:r w:rsidR="00615266" w:rsidRPr="00D326F8">
              <w:t>will</w:t>
            </w:r>
            <w:r w:rsidRPr="00D326F8">
              <w:t xml:space="preserve"> be consistent with the information in the CRF.</w:t>
            </w:r>
          </w:p>
        </w:tc>
      </w:tr>
      <w:tr w:rsidR="003B74AE" w:rsidRPr="00D326F8" w14:paraId="3038B550" w14:textId="77777777" w:rsidTr="0059489E">
        <w:tc>
          <w:tcPr>
            <w:tcW w:w="5000" w:type="pct"/>
            <w:tcBorders>
              <w:left w:val="nil"/>
              <w:bottom w:val="single" w:sz="4" w:space="0" w:color="auto"/>
              <w:right w:val="nil"/>
            </w:tcBorders>
          </w:tcPr>
          <w:p w14:paraId="037EBD81" w14:textId="4CCACE52" w:rsidR="0059489E" w:rsidRPr="00D326F8" w:rsidRDefault="003E23E4" w:rsidP="006028E7">
            <w:pPr>
              <w:pStyle w:val="List1withbullet"/>
              <w:numPr>
                <w:ilvl w:val="0"/>
                <w:numId w:val="0"/>
              </w:numPr>
              <w:spacing w:before="240" w:after="120"/>
            </w:pPr>
            <w:r w:rsidRPr="00D326F8">
              <w:rPr>
                <w:b/>
                <w:bCs/>
                <w:sz w:val="28"/>
                <w:szCs w:val="28"/>
              </w:rPr>
              <w:t>Reporting of AESIs</w:t>
            </w:r>
          </w:p>
        </w:tc>
      </w:tr>
      <w:tr w:rsidR="003B74AE" w:rsidRPr="00D326F8" w14:paraId="168ACD88" w14:textId="77777777" w:rsidTr="0059489E">
        <w:tc>
          <w:tcPr>
            <w:tcW w:w="5000" w:type="pct"/>
            <w:tcBorders>
              <w:top w:val="single" w:sz="4" w:space="0" w:color="auto"/>
              <w:left w:val="single" w:sz="4" w:space="0" w:color="auto"/>
              <w:bottom w:val="single" w:sz="4" w:space="0" w:color="auto"/>
              <w:right w:val="single" w:sz="4" w:space="0" w:color="auto"/>
            </w:tcBorders>
          </w:tcPr>
          <w:p w14:paraId="00F85CA9" w14:textId="77777777" w:rsidR="002F67D0" w:rsidRPr="00D326F8" w:rsidRDefault="003E23E4" w:rsidP="006028E7">
            <w:pPr>
              <w:numPr>
                <w:ilvl w:val="0"/>
                <w:numId w:val="26"/>
              </w:numPr>
              <w:spacing w:before="120"/>
              <w:rPr>
                <w:lang w:eastAsia="de-DE"/>
              </w:rPr>
            </w:pPr>
            <w:r w:rsidRPr="00D326F8">
              <w:rPr>
                <w:lang w:eastAsia="de-DE"/>
              </w:rPr>
              <w:t>For a non-serious AESI, the site will complete the specific AESI report form and notify the Sponsor immediately (within 24 hours), using the same process for reporting SAEs, as specified above.</w:t>
            </w:r>
          </w:p>
          <w:p w14:paraId="525B6050" w14:textId="530767C8" w:rsidR="0059489E" w:rsidRPr="00D326F8" w:rsidRDefault="003E23E4" w:rsidP="006028E7">
            <w:pPr>
              <w:numPr>
                <w:ilvl w:val="0"/>
                <w:numId w:val="26"/>
              </w:numPr>
              <w:spacing w:before="120"/>
              <w:rPr>
                <w:sz w:val="28"/>
                <w:szCs w:val="28"/>
              </w:rPr>
            </w:pPr>
            <w:r w:rsidRPr="00D326F8">
              <w:rPr>
                <w:lang w:eastAsia="de-DE"/>
              </w:rPr>
              <w:t>For a serious AESI, the site will complete an SAE report form, using the SAE reporting process, specified above.</w:t>
            </w:r>
          </w:p>
        </w:tc>
      </w:tr>
    </w:tbl>
    <w:p w14:paraId="601A848B" w14:textId="77777777" w:rsidR="008F3677" w:rsidRPr="00D326F8" w:rsidRDefault="003E23E4" w:rsidP="00A57542">
      <w:pPr>
        <w:pStyle w:val="BodyText"/>
        <w:keepNext/>
        <w:keepLines/>
        <w:spacing w:after="120"/>
        <w:rPr>
          <w:b/>
          <w:bCs/>
          <w:sz w:val="28"/>
          <w:szCs w:val="28"/>
        </w:rPr>
      </w:pPr>
      <w:r w:rsidRPr="00D326F8">
        <w:rPr>
          <w:b/>
          <w:bCs/>
          <w:sz w:val="28"/>
          <w:szCs w:val="28"/>
        </w:rPr>
        <w:lastRenderedPageBreak/>
        <w:t>Reporting of Pregnancies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2"/>
      </w:tblGrid>
      <w:tr w:rsidR="003B74AE" w:rsidRPr="00D326F8" w14:paraId="601A848F" w14:textId="77777777" w:rsidTr="00D176FB">
        <w:tc>
          <w:tcPr>
            <w:tcW w:w="5000" w:type="pct"/>
          </w:tcPr>
          <w:p w14:paraId="601A848C" w14:textId="77777777" w:rsidR="002B51AB" w:rsidRPr="00D326F8" w:rsidRDefault="003E23E4" w:rsidP="0057019A">
            <w:pPr>
              <w:pStyle w:val="List1withbullet"/>
              <w:keepNext/>
              <w:keepLines/>
              <w:numPr>
                <w:ilvl w:val="0"/>
                <w:numId w:val="10"/>
              </w:numPr>
              <w:rPr>
                <w:szCs w:val="22"/>
              </w:rPr>
            </w:pPr>
            <w:r w:rsidRPr="00D326F8">
              <w:t xml:space="preserve">Pregnancy </w:t>
            </w:r>
            <w:r w:rsidR="00615266" w:rsidRPr="00D326F8">
              <w:t>will</w:t>
            </w:r>
            <w:r w:rsidRPr="00D326F8">
              <w:t xml:space="preserve"> be reported whether related to the study intervention using the applicable paper form.</w:t>
            </w:r>
          </w:p>
          <w:p w14:paraId="601A848D" w14:textId="77777777" w:rsidR="004D6EAA" w:rsidRPr="00D326F8" w:rsidRDefault="003E23E4" w:rsidP="0057019A">
            <w:pPr>
              <w:pStyle w:val="List1withbullet"/>
              <w:keepNext/>
              <w:keepLines/>
              <w:numPr>
                <w:ilvl w:val="0"/>
                <w:numId w:val="10"/>
              </w:numPr>
            </w:pPr>
            <w:r w:rsidRPr="00D326F8">
              <w:t xml:space="preserve">The </w:t>
            </w:r>
            <w:r w:rsidR="003C11F7" w:rsidRPr="00D326F8">
              <w:t xml:space="preserve">applicable </w:t>
            </w:r>
            <w:r w:rsidRPr="00D326F8">
              <w:t xml:space="preserve">form </w:t>
            </w:r>
            <w:r w:rsidR="003C11F7" w:rsidRPr="00D326F8">
              <w:t>will be</w:t>
            </w:r>
            <w:r w:rsidRPr="00D326F8">
              <w:t xml:space="preserve"> used to report </w:t>
            </w:r>
            <w:r w:rsidR="003C11F7" w:rsidRPr="00D326F8">
              <w:t>if</w:t>
            </w:r>
            <w:r w:rsidRPr="00D326F8">
              <w:t xml:space="preserve"> an abnormal outcome of the pregnancy </w:t>
            </w:r>
            <w:proofErr w:type="gramStart"/>
            <w:r w:rsidRPr="00D326F8">
              <w:t>occurs</w:t>
            </w:r>
            <w:proofErr w:type="gramEnd"/>
            <w:r w:rsidRPr="00D326F8">
              <w:t xml:space="preserve"> and the child/fetus sustains an event.</w:t>
            </w:r>
            <w:bookmarkStart w:id="340" w:name="_Hlk21524941"/>
          </w:p>
          <w:bookmarkEnd w:id="340"/>
          <w:p w14:paraId="601A848E" w14:textId="77777777" w:rsidR="001F4A9F" w:rsidRPr="00D326F8" w:rsidRDefault="003E23E4" w:rsidP="0057019A">
            <w:pPr>
              <w:pStyle w:val="List1withbullet"/>
              <w:keepNext/>
              <w:keepLines/>
              <w:numPr>
                <w:ilvl w:val="0"/>
                <w:numId w:val="10"/>
              </w:numPr>
            </w:pPr>
            <w:r w:rsidRPr="00D326F8">
              <w:rPr>
                <w:szCs w:val="22"/>
              </w:rPr>
              <w:t>Facsimile transmission (fax to mail) of the paper form or any follow-up information is the preferred method for transmission and will be done within 24 hours to the Sponsor or its designee</w:t>
            </w:r>
            <w:r w:rsidR="002B51AB" w:rsidRPr="00D326F8">
              <w:rPr>
                <w:szCs w:val="22"/>
              </w:rPr>
              <w:t>.</w:t>
            </w:r>
          </w:p>
        </w:tc>
      </w:tr>
    </w:tbl>
    <w:p w14:paraId="601A8490" w14:textId="77777777" w:rsidR="005971DC" w:rsidRPr="00D326F8" w:rsidRDefault="003E23E4" w:rsidP="001E53D4">
      <w:pPr>
        <w:pStyle w:val="Heading1"/>
        <w:pageBreakBefore/>
        <w:numPr>
          <w:ilvl w:val="0"/>
          <w:numId w:val="0"/>
        </w:numPr>
        <w:tabs>
          <w:tab w:val="left" w:pos="1985"/>
        </w:tabs>
      </w:pPr>
      <w:bookmarkStart w:id="341" w:name="_Appendix_5_Clinical"/>
      <w:bookmarkStart w:id="342" w:name="_Ref3990203"/>
      <w:bookmarkStart w:id="343" w:name="_Toc77839795"/>
      <w:bookmarkEnd w:id="341"/>
      <w:r w:rsidRPr="00D326F8">
        <w:lastRenderedPageBreak/>
        <w:t xml:space="preserve">Appendix </w:t>
      </w:r>
      <w:r w:rsidR="000668AC" w:rsidRPr="00D326F8">
        <w:t>5</w:t>
      </w:r>
      <w:r w:rsidRPr="00D326F8">
        <w:tab/>
        <w:t>Clinical Laboratory Tests</w:t>
      </w:r>
      <w:bookmarkEnd w:id="342"/>
      <w:bookmarkEnd w:id="343"/>
    </w:p>
    <w:p w14:paraId="601A8491" w14:textId="77777777" w:rsidR="002E09A8" w:rsidRPr="00D326F8" w:rsidRDefault="003E23E4" w:rsidP="00AC65A4">
      <w:pPr>
        <w:pStyle w:val="BodyText"/>
        <w:spacing w:before="120" w:after="120"/>
      </w:pPr>
      <w:r w:rsidRPr="00D326F8">
        <w:t>The protocol-required clinical laboratory assessments are in the following table: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324"/>
        <w:gridCol w:w="1324"/>
        <w:gridCol w:w="2778"/>
        <w:gridCol w:w="2069"/>
      </w:tblGrid>
      <w:tr w:rsidR="003B74AE" w:rsidRPr="00D326F8" w14:paraId="601A8494" w14:textId="77777777" w:rsidTr="00216854">
        <w:trPr>
          <w:tblHeader/>
        </w:trPr>
        <w:tc>
          <w:tcPr>
            <w:tcW w:w="1827" w:type="dxa"/>
            <w:tcBorders>
              <w:top w:val="single" w:sz="4" w:space="0" w:color="auto"/>
              <w:left w:val="single" w:sz="4" w:space="0" w:color="auto"/>
              <w:bottom w:val="single" w:sz="4" w:space="0" w:color="auto"/>
              <w:right w:val="single" w:sz="4" w:space="0" w:color="auto"/>
            </w:tcBorders>
            <w:hideMark/>
          </w:tcPr>
          <w:p w14:paraId="601A8492" w14:textId="77777777" w:rsidR="00216854" w:rsidRPr="00D326F8" w:rsidRDefault="003E23E4" w:rsidP="00092205">
            <w:pPr>
              <w:pStyle w:val="Tableheading"/>
              <w:spacing w:before="20" w:after="20"/>
              <w:rPr>
                <w:rFonts w:cs="Arial"/>
                <w:szCs w:val="18"/>
              </w:rPr>
            </w:pPr>
            <w:bookmarkStart w:id="344" w:name="_Hlk73471578"/>
            <w:r w:rsidRPr="00D326F8">
              <w:rPr>
                <w:rFonts w:cs="Arial"/>
                <w:szCs w:val="18"/>
              </w:rPr>
              <w:t>Laboratory Assessments</w:t>
            </w:r>
          </w:p>
        </w:tc>
        <w:tc>
          <w:tcPr>
            <w:tcW w:w="7495" w:type="dxa"/>
            <w:gridSpan w:val="4"/>
            <w:tcBorders>
              <w:top w:val="single" w:sz="4" w:space="0" w:color="auto"/>
              <w:left w:val="single" w:sz="4" w:space="0" w:color="auto"/>
              <w:bottom w:val="single" w:sz="4" w:space="0" w:color="auto"/>
              <w:right w:val="single" w:sz="4" w:space="0" w:color="auto"/>
            </w:tcBorders>
            <w:hideMark/>
          </w:tcPr>
          <w:p w14:paraId="601A8493" w14:textId="77777777" w:rsidR="00216854" w:rsidRPr="00D326F8" w:rsidRDefault="003E23E4" w:rsidP="00092205">
            <w:pPr>
              <w:pStyle w:val="Tableheading"/>
              <w:spacing w:before="20" w:after="20"/>
              <w:rPr>
                <w:rFonts w:cs="Arial"/>
                <w:szCs w:val="18"/>
              </w:rPr>
            </w:pPr>
            <w:r w:rsidRPr="00D326F8">
              <w:rPr>
                <w:rFonts w:cs="Arial"/>
                <w:szCs w:val="18"/>
              </w:rPr>
              <w:t>Parameters</w:t>
            </w:r>
          </w:p>
        </w:tc>
      </w:tr>
      <w:tr w:rsidR="003B74AE" w:rsidRPr="00D326F8" w14:paraId="601A849E" w14:textId="77777777" w:rsidTr="00216854">
        <w:trPr>
          <w:trHeight w:val="584"/>
        </w:trPr>
        <w:tc>
          <w:tcPr>
            <w:tcW w:w="1827" w:type="dxa"/>
            <w:vMerge w:val="restart"/>
            <w:tcBorders>
              <w:top w:val="single" w:sz="4" w:space="0" w:color="auto"/>
              <w:left w:val="single" w:sz="4" w:space="0" w:color="auto"/>
              <w:bottom w:val="single" w:sz="4" w:space="0" w:color="auto"/>
              <w:right w:val="single" w:sz="4" w:space="0" w:color="auto"/>
            </w:tcBorders>
            <w:hideMark/>
          </w:tcPr>
          <w:p w14:paraId="601A8495" w14:textId="77777777" w:rsidR="00216854" w:rsidRPr="00D326F8" w:rsidRDefault="003E23E4" w:rsidP="00092205">
            <w:pPr>
              <w:pStyle w:val="Tabletext"/>
              <w:spacing w:before="20" w:after="20"/>
              <w:rPr>
                <w:rFonts w:cs="Arial"/>
                <w:szCs w:val="18"/>
              </w:rPr>
            </w:pPr>
            <w:bookmarkStart w:id="345" w:name="_Hlk517354711"/>
            <w:r w:rsidRPr="00D326F8">
              <w:rPr>
                <w:rFonts w:cs="Arial"/>
                <w:szCs w:val="18"/>
              </w:rPr>
              <w:t>Hematology</w:t>
            </w:r>
          </w:p>
        </w:tc>
        <w:tc>
          <w:tcPr>
            <w:tcW w:w="2648" w:type="dxa"/>
            <w:gridSpan w:val="2"/>
            <w:tcBorders>
              <w:top w:val="single" w:sz="4" w:space="0" w:color="auto"/>
              <w:left w:val="single" w:sz="4" w:space="0" w:color="auto"/>
              <w:bottom w:val="single" w:sz="4" w:space="0" w:color="auto"/>
              <w:right w:val="single" w:sz="4" w:space="0" w:color="auto"/>
            </w:tcBorders>
            <w:hideMark/>
          </w:tcPr>
          <w:p w14:paraId="601A8496" w14:textId="77777777" w:rsidR="00216854" w:rsidRPr="00D326F8" w:rsidRDefault="003E23E4" w:rsidP="00092205">
            <w:pPr>
              <w:pStyle w:val="Tabletext"/>
              <w:spacing w:before="20" w:after="20"/>
              <w:rPr>
                <w:rFonts w:cs="Arial"/>
                <w:szCs w:val="18"/>
              </w:rPr>
            </w:pPr>
            <w:r w:rsidRPr="00D326F8">
              <w:rPr>
                <w:rFonts w:cs="Arial"/>
                <w:szCs w:val="18"/>
              </w:rPr>
              <w:t>Platelet count</w:t>
            </w:r>
          </w:p>
        </w:tc>
        <w:tc>
          <w:tcPr>
            <w:tcW w:w="2778" w:type="dxa"/>
            <w:tcBorders>
              <w:top w:val="single" w:sz="4" w:space="0" w:color="auto"/>
              <w:left w:val="single" w:sz="4" w:space="0" w:color="auto"/>
              <w:bottom w:val="single" w:sz="4" w:space="0" w:color="auto"/>
              <w:right w:val="single" w:sz="4" w:space="0" w:color="auto"/>
            </w:tcBorders>
            <w:hideMark/>
          </w:tcPr>
          <w:p w14:paraId="601A8497" w14:textId="77777777" w:rsidR="00216854" w:rsidRPr="00D326F8" w:rsidRDefault="003E23E4" w:rsidP="00092205">
            <w:pPr>
              <w:pStyle w:val="Tablelist"/>
              <w:numPr>
                <w:ilvl w:val="0"/>
                <w:numId w:val="0"/>
              </w:numPr>
              <w:tabs>
                <w:tab w:val="left" w:pos="708"/>
              </w:tabs>
              <w:spacing w:before="20" w:after="20"/>
              <w:rPr>
                <w:rFonts w:cs="Arial"/>
                <w:szCs w:val="18"/>
              </w:rPr>
            </w:pPr>
            <w:r w:rsidRPr="00D326F8">
              <w:rPr>
                <w:rFonts w:cs="Arial"/>
                <w:szCs w:val="18"/>
              </w:rPr>
              <w:t>Mean corpuscular volume (MCV)</w:t>
            </w:r>
          </w:p>
        </w:tc>
        <w:tc>
          <w:tcPr>
            <w:tcW w:w="2069" w:type="dxa"/>
            <w:vMerge w:val="restart"/>
            <w:tcBorders>
              <w:top w:val="single" w:sz="4" w:space="0" w:color="auto"/>
              <w:left w:val="single" w:sz="4" w:space="0" w:color="auto"/>
              <w:bottom w:val="single" w:sz="4" w:space="0" w:color="auto"/>
              <w:right w:val="single" w:sz="4" w:space="0" w:color="auto"/>
            </w:tcBorders>
            <w:hideMark/>
          </w:tcPr>
          <w:p w14:paraId="601A8498" w14:textId="77777777" w:rsidR="00216854" w:rsidRPr="00D326F8" w:rsidRDefault="003E23E4" w:rsidP="00092205">
            <w:pPr>
              <w:pStyle w:val="Tabletext"/>
              <w:spacing w:before="20" w:after="20"/>
              <w:rPr>
                <w:rFonts w:cs="Arial"/>
                <w:szCs w:val="18"/>
              </w:rPr>
            </w:pPr>
            <w:r w:rsidRPr="00D326F8">
              <w:rPr>
                <w:rFonts w:cs="Arial"/>
                <w:szCs w:val="18"/>
                <w:u w:val="single"/>
              </w:rPr>
              <w:t>White Blood Cell Count with Differential</w:t>
            </w:r>
            <w:r w:rsidRPr="00D326F8">
              <w:rPr>
                <w:rFonts w:cs="Arial"/>
                <w:szCs w:val="18"/>
              </w:rPr>
              <w:t>:</w:t>
            </w:r>
          </w:p>
          <w:p w14:paraId="601A8499" w14:textId="77777777" w:rsidR="00216854" w:rsidRPr="00D326F8" w:rsidRDefault="003E23E4" w:rsidP="0057019A">
            <w:pPr>
              <w:pStyle w:val="Tablelist"/>
              <w:numPr>
                <w:ilvl w:val="0"/>
                <w:numId w:val="25"/>
              </w:numPr>
              <w:spacing w:before="20" w:after="20"/>
              <w:rPr>
                <w:rFonts w:cs="Arial"/>
                <w:szCs w:val="18"/>
              </w:rPr>
            </w:pPr>
            <w:r w:rsidRPr="00D326F8">
              <w:rPr>
                <w:rFonts w:cs="Arial"/>
                <w:szCs w:val="18"/>
              </w:rPr>
              <w:t>Neutrophils</w:t>
            </w:r>
          </w:p>
          <w:p w14:paraId="601A849A" w14:textId="77777777" w:rsidR="00216854" w:rsidRPr="00D326F8" w:rsidRDefault="003E23E4" w:rsidP="0057019A">
            <w:pPr>
              <w:pStyle w:val="Tablelist"/>
              <w:numPr>
                <w:ilvl w:val="0"/>
                <w:numId w:val="25"/>
              </w:numPr>
              <w:spacing w:before="20" w:after="20"/>
              <w:rPr>
                <w:rFonts w:cs="Arial"/>
                <w:szCs w:val="18"/>
              </w:rPr>
            </w:pPr>
            <w:r w:rsidRPr="00D326F8">
              <w:rPr>
                <w:rFonts w:cs="Arial"/>
                <w:szCs w:val="18"/>
              </w:rPr>
              <w:t>Lymphocytes</w:t>
            </w:r>
          </w:p>
          <w:p w14:paraId="601A849B" w14:textId="77777777" w:rsidR="00216854" w:rsidRPr="00D326F8" w:rsidRDefault="003E23E4" w:rsidP="0057019A">
            <w:pPr>
              <w:pStyle w:val="Tablelist"/>
              <w:numPr>
                <w:ilvl w:val="0"/>
                <w:numId w:val="25"/>
              </w:numPr>
              <w:spacing w:before="20" w:after="20"/>
              <w:rPr>
                <w:rFonts w:cs="Arial"/>
                <w:szCs w:val="18"/>
              </w:rPr>
            </w:pPr>
            <w:r w:rsidRPr="00D326F8">
              <w:rPr>
                <w:rFonts w:cs="Arial"/>
                <w:szCs w:val="18"/>
              </w:rPr>
              <w:t>Monocytes</w:t>
            </w:r>
          </w:p>
          <w:p w14:paraId="601A849C" w14:textId="77777777" w:rsidR="00216854" w:rsidRPr="00D326F8" w:rsidRDefault="003E23E4" w:rsidP="0057019A">
            <w:pPr>
              <w:pStyle w:val="Tablelist"/>
              <w:numPr>
                <w:ilvl w:val="0"/>
                <w:numId w:val="25"/>
              </w:numPr>
              <w:spacing w:before="20" w:after="20"/>
              <w:rPr>
                <w:rFonts w:cs="Arial"/>
                <w:szCs w:val="18"/>
              </w:rPr>
            </w:pPr>
            <w:r w:rsidRPr="00D326F8">
              <w:rPr>
                <w:rFonts w:cs="Arial"/>
                <w:szCs w:val="18"/>
              </w:rPr>
              <w:t>Eosinophils</w:t>
            </w:r>
          </w:p>
          <w:p w14:paraId="601A849D" w14:textId="77777777" w:rsidR="00216854" w:rsidRPr="00D326F8" w:rsidRDefault="003E23E4" w:rsidP="0057019A">
            <w:pPr>
              <w:pStyle w:val="Tablelist"/>
              <w:numPr>
                <w:ilvl w:val="0"/>
                <w:numId w:val="25"/>
              </w:numPr>
              <w:spacing w:before="20" w:after="20"/>
              <w:rPr>
                <w:rFonts w:cs="Arial"/>
                <w:szCs w:val="18"/>
              </w:rPr>
            </w:pPr>
            <w:r w:rsidRPr="00D326F8">
              <w:rPr>
                <w:rFonts w:cs="Arial"/>
                <w:szCs w:val="18"/>
              </w:rPr>
              <w:t>Basophils</w:t>
            </w:r>
          </w:p>
        </w:tc>
      </w:tr>
      <w:bookmarkEnd w:id="345"/>
      <w:tr w:rsidR="003B74AE" w:rsidRPr="00D326F8" w14:paraId="601A84A3" w14:textId="77777777" w:rsidTr="00216854">
        <w:tc>
          <w:tcPr>
            <w:tcW w:w="0" w:type="auto"/>
            <w:vMerge/>
            <w:tcBorders>
              <w:top w:val="single" w:sz="4" w:space="0" w:color="auto"/>
              <w:left w:val="single" w:sz="4" w:space="0" w:color="auto"/>
              <w:bottom w:val="single" w:sz="4" w:space="0" w:color="auto"/>
              <w:right w:val="single" w:sz="4" w:space="0" w:color="auto"/>
            </w:tcBorders>
            <w:vAlign w:val="center"/>
            <w:hideMark/>
          </w:tcPr>
          <w:p w14:paraId="601A849F" w14:textId="77777777" w:rsidR="00216854" w:rsidRPr="00D326F8" w:rsidRDefault="00216854" w:rsidP="00092205">
            <w:pPr>
              <w:spacing w:before="20" w:after="20"/>
              <w:jc w:val="left"/>
              <w:rPr>
                <w:rFonts w:ascii="Arial" w:hAnsi="Arial" w:cs="Arial"/>
                <w:sz w:val="18"/>
                <w:szCs w:val="18"/>
              </w:rPr>
            </w:pPr>
          </w:p>
        </w:tc>
        <w:tc>
          <w:tcPr>
            <w:tcW w:w="2648" w:type="dxa"/>
            <w:gridSpan w:val="2"/>
            <w:tcBorders>
              <w:top w:val="single" w:sz="4" w:space="0" w:color="auto"/>
              <w:left w:val="single" w:sz="4" w:space="0" w:color="auto"/>
              <w:bottom w:val="single" w:sz="4" w:space="0" w:color="auto"/>
              <w:right w:val="single" w:sz="4" w:space="0" w:color="auto"/>
            </w:tcBorders>
            <w:hideMark/>
          </w:tcPr>
          <w:p w14:paraId="601A84A0" w14:textId="77777777" w:rsidR="00216854" w:rsidRPr="00D326F8" w:rsidRDefault="003E23E4" w:rsidP="00092205">
            <w:pPr>
              <w:pStyle w:val="Tabletext"/>
              <w:spacing w:before="20" w:after="20"/>
              <w:rPr>
                <w:rFonts w:cs="Arial"/>
                <w:szCs w:val="18"/>
              </w:rPr>
            </w:pPr>
            <w:r w:rsidRPr="00D326F8">
              <w:rPr>
                <w:rFonts w:cs="Arial"/>
                <w:szCs w:val="18"/>
              </w:rPr>
              <w:t>Hemoglobin</w:t>
            </w:r>
          </w:p>
        </w:tc>
        <w:tc>
          <w:tcPr>
            <w:tcW w:w="2778" w:type="dxa"/>
            <w:vMerge w:val="restart"/>
            <w:tcBorders>
              <w:top w:val="single" w:sz="4" w:space="0" w:color="auto"/>
              <w:left w:val="single" w:sz="4" w:space="0" w:color="auto"/>
              <w:bottom w:val="single" w:sz="4" w:space="0" w:color="auto"/>
              <w:right w:val="single" w:sz="4" w:space="0" w:color="auto"/>
            </w:tcBorders>
            <w:hideMark/>
          </w:tcPr>
          <w:p w14:paraId="601A84A1" w14:textId="77777777" w:rsidR="00216854" w:rsidRPr="00D326F8" w:rsidRDefault="003E23E4" w:rsidP="00092205">
            <w:pPr>
              <w:pStyle w:val="Tabletext"/>
              <w:spacing w:before="20" w:after="20"/>
              <w:rPr>
                <w:rFonts w:cs="Arial"/>
                <w:szCs w:val="18"/>
              </w:rPr>
            </w:pPr>
            <w:r w:rsidRPr="00D326F8">
              <w:rPr>
                <w:rFonts w:cs="Arial"/>
                <w:szCs w:val="18"/>
              </w:rPr>
              <w:t>Mean corpuscular hemoglobin (MCH)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A84A2" w14:textId="77777777" w:rsidR="00216854" w:rsidRPr="00D326F8" w:rsidRDefault="00216854" w:rsidP="00092205">
            <w:pPr>
              <w:spacing w:before="20" w:after="20"/>
              <w:jc w:val="left"/>
              <w:rPr>
                <w:rFonts w:ascii="Arial" w:hAnsi="Arial" w:cs="Arial"/>
                <w:sz w:val="18"/>
                <w:szCs w:val="18"/>
              </w:rPr>
            </w:pPr>
          </w:p>
        </w:tc>
      </w:tr>
      <w:tr w:rsidR="003B74AE" w:rsidRPr="00D326F8" w14:paraId="601A84A8" w14:textId="77777777" w:rsidTr="00216854">
        <w:tc>
          <w:tcPr>
            <w:tcW w:w="0" w:type="auto"/>
            <w:vMerge/>
            <w:tcBorders>
              <w:top w:val="single" w:sz="4" w:space="0" w:color="auto"/>
              <w:left w:val="single" w:sz="4" w:space="0" w:color="auto"/>
              <w:bottom w:val="single" w:sz="4" w:space="0" w:color="auto"/>
              <w:right w:val="single" w:sz="4" w:space="0" w:color="auto"/>
            </w:tcBorders>
            <w:vAlign w:val="center"/>
            <w:hideMark/>
          </w:tcPr>
          <w:p w14:paraId="601A84A4" w14:textId="77777777" w:rsidR="00216854" w:rsidRPr="00D326F8" w:rsidRDefault="00216854" w:rsidP="00092205">
            <w:pPr>
              <w:spacing w:before="20" w:after="20"/>
              <w:jc w:val="left"/>
              <w:rPr>
                <w:rFonts w:ascii="Arial" w:hAnsi="Arial" w:cs="Arial"/>
                <w:sz w:val="18"/>
                <w:szCs w:val="18"/>
              </w:rPr>
            </w:pPr>
          </w:p>
        </w:tc>
        <w:tc>
          <w:tcPr>
            <w:tcW w:w="2648" w:type="dxa"/>
            <w:gridSpan w:val="2"/>
            <w:tcBorders>
              <w:top w:val="single" w:sz="4" w:space="0" w:color="auto"/>
              <w:left w:val="single" w:sz="4" w:space="0" w:color="auto"/>
              <w:bottom w:val="single" w:sz="4" w:space="0" w:color="auto"/>
              <w:right w:val="single" w:sz="4" w:space="0" w:color="auto"/>
            </w:tcBorders>
            <w:hideMark/>
          </w:tcPr>
          <w:p w14:paraId="601A84A5" w14:textId="77777777" w:rsidR="00216854" w:rsidRPr="00D326F8" w:rsidRDefault="003E23E4" w:rsidP="00092205">
            <w:pPr>
              <w:pStyle w:val="Tabletext"/>
              <w:spacing w:before="20" w:after="20"/>
              <w:rPr>
                <w:rFonts w:cs="Arial"/>
                <w:szCs w:val="18"/>
              </w:rPr>
            </w:pPr>
            <w:r w:rsidRPr="00D326F8">
              <w:rPr>
                <w:rFonts w:cs="Arial"/>
                <w:szCs w:val="18"/>
              </w:rPr>
              <w:t>Hematocrit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A84A6" w14:textId="77777777" w:rsidR="00216854" w:rsidRPr="00D326F8" w:rsidRDefault="00216854" w:rsidP="00092205">
            <w:pPr>
              <w:spacing w:before="20" w:after="20"/>
              <w:jc w:val="left"/>
              <w:rPr>
                <w:rFonts w:ascii="Arial" w:hAnsi="Arial" w:cs="Arial"/>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A84A7" w14:textId="77777777" w:rsidR="00216854" w:rsidRPr="00D326F8" w:rsidRDefault="00216854" w:rsidP="00092205">
            <w:pPr>
              <w:spacing w:before="20" w:after="20"/>
              <w:jc w:val="left"/>
              <w:rPr>
                <w:rFonts w:ascii="Arial" w:hAnsi="Arial" w:cs="Arial"/>
                <w:sz w:val="18"/>
                <w:szCs w:val="18"/>
              </w:rPr>
            </w:pPr>
          </w:p>
        </w:tc>
      </w:tr>
      <w:tr w:rsidR="003B74AE" w:rsidRPr="00D326F8" w14:paraId="601A84AE" w14:textId="77777777" w:rsidTr="00216854">
        <w:tc>
          <w:tcPr>
            <w:tcW w:w="1827" w:type="dxa"/>
            <w:tcBorders>
              <w:top w:val="single" w:sz="4" w:space="0" w:color="auto"/>
              <w:left w:val="single" w:sz="4" w:space="0" w:color="auto"/>
              <w:bottom w:val="nil"/>
              <w:right w:val="single" w:sz="4" w:space="0" w:color="auto"/>
            </w:tcBorders>
            <w:hideMark/>
          </w:tcPr>
          <w:p w14:paraId="601A84A9" w14:textId="77777777" w:rsidR="00216854" w:rsidRPr="00D326F8" w:rsidRDefault="003E23E4" w:rsidP="00092205">
            <w:pPr>
              <w:pStyle w:val="Tabletext"/>
              <w:spacing w:before="20" w:after="20"/>
              <w:rPr>
                <w:rFonts w:cs="Arial"/>
                <w:szCs w:val="18"/>
              </w:rPr>
            </w:pPr>
            <w:r w:rsidRPr="00D326F8">
              <w:rPr>
                <w:rFonts w:cs="Arial"/>
                <w:szCs w:val="18"/>
              </w:rPr>
              <w:t>Biochemistry</w:t>
            </w:r>
          </w:p>
        </w:tc>
        <w:tc>
          <w:tcPr>
            <w:tcW w:w="1324" w:type="dxa"/>
            <w:tcBorders>
              <w:top w:val="single" w:sz="4" w:space="0" w:color="auto"/>
              <w:left w:val="single" w:sz="4" w:space="0" w:color="auto"/>
              <w:bottom w:val="single" w:sz="4" w:space="0" w:color="auto"/>
              <w:right w:val="single" w:sz="4" w:space="0" w:color="auto"/>
            </w:tcBorders>
            <w:hideMark/>
          </w:tcPr>
          <w:p w14:paraId="601A84AA" w14:textId="77777777" w:rsidR="00216854" w:rsidRPr="00D326F8" w:rsidRDefault="003E23E4" w:rsidP="00092205">
            <w:pPr>
              <w:pStyle w:val="Tabletext"/>
              <w:spacing w:before="20" w:after="20"/>
              <w:rPr>
                <w:rFonts w:cs="Arial"/>
                <w:szCs w:val="18"/>
              </w:rPr>
            </w:pPr>
            <w:r w:rsidRPr="00D326F8">
              <w:rPr>
                <w:rFonts w:cs="Arial"/>
                <w:szCs w:val="18"/>
              </w:rPr>
              <w:t>Blood Urea Nitrogen</w:t>
            </w:r>
          </w:p>
        </w:tc>
        <w:tc>
          <w:tcPr>
            <w:tcW w:w="1324" w:type="dxa"/>
            <w:tcBorders>
              <w:top w:val="single" w:sz="4" w:space="0" w:color="auto"/>
              <w:left w:val="single" w:sz="4" w:space="0" w:color="auto"/>
              <w:bottom w:val="single" w:sz="4" w:space="0" w:color="auto"/>
              <w:right w:val="single" w:sz="4" w:space="0" w:color="auto"/>
            </w:tcBorders>
            <w:hideMark/>
          </w:tcPr>
          <w:p w14:paraId="601A84AB" w14:textId="77777777" w:rsidR="00216854" w:rsidRPr="00D326F8" w:rsidRDefault="003E23E4" w:rsidP="00092205">
            <w:pPr>
              <w:pStyle w:val="Tabletext"/>
              <w:spacing w:before="20" w:after="20"/>
              <w:rPr>
                <w:rFonts w:cs="Arial"/>
                <w:szCs w:val="18"/>
              </w:rPr>
            </w:pPr>
            <w:bookmarkStart w:id="346" w:name="_Hlk517354968"/>
            <w:r w:rsidRPr="00D326F8">
              <w:rPr>
                <w:rFonts w:cs="Arial"/>
                <w:szCs w:val="18"/>
              </w:rPr>
              <w:t>Potassium</w:t>
            </w:r>
            <w:bookmarkEnd w:id="346"/>
          </w:p>
        </w:tc>
        <w:tc>
          <w:tcPr>
            <w:tcW w:w="2778" w:type="dxa"/>
            <w:tcBorders>
              <w:top w:val="single" w:sz="4" w:space="0" w:color="auto"/>
              <w:left w:val="single" w:sz="4" w:space="0" w:color="auto"/>
              <w:bottom w:val="single" w:sz="4" w:space="0" w:color="auto"/>
              <w:right w:val="single" w:sz="4" w:space="0" w:color="auto"/>
            </w:tcBorders>
            <w:hideMark/>
          </w:tcPr>
          <w:p w14:paraId="601A84AC" w14:textId="77777777" w:rsidR="00216854" w:rsidRPr="00D326F8" w:rsidRDefault="003E23E4" w:rsidP="00092205">
            <w:pPr>
              <w:pStyle w:val="Tabletext"/>
              <w:spacing w:before="20" w:after="20"/>
              <w:rPr>
                <w:rFonts w:cs="Arial"/>
                <w:szCs w:val="18"/>
              </w:rPr>
            </w:pPr>
            <w:r w:rsidRPr="00D326F8">
              <w:rPr>
                <w:rFonts w:cs="Arial"/>
                <w:szCs w:val="18"/>
              </w:rPr>
              <w:t>Aspartate aminotransferase</w:t>
            </w:r>
          </w:p>
        </w:tc>
        <w:tc>
          <w:tcPr>
            <w:tcW w:w="2069" w:type="dxa"/>
            <w:tcBorders>
              <w:top w:val="single" w:sz="4" w:space="0" w:color="auto"/>
              <w:left w:val="single" w:sz="4" w:space="0" w:color="auto"/>
              <w:bottom w:val="single" w:sz="4" w:space="0" w:color="auto"/>
              <w:right w:val="single" w:sz="4" w:space="0" w:color="auto"/>
            </w:tcBorders>
            <w:hideMark/>
          </w:tcPr>
          <w:p w14:paraId="601A84AD" w14:textId="77777777" w:rsidR="00216854" w:rsidRPr="00D326F8" w:rsidRDefault="003E23E4" w:rsidP="00092205">
            <w:pPr>
              <w:pStyle w:val="Tabletext"/>
              <w:spacing w:before="20" w:after="20"/>
              <w:rPr>
                <w:rFonts w:cs="Arial"/>
                <w:szCs w:val="18"/>
              </w:rPr>
            </w:pPr>
            <w:r w:rsidRPr="00D326F8">
              <w:rPr>
                <w:rFonts w:cs="Arial"/>
                <w:szCs w:val="18"/>
              </w:rPr>
              <w:t>Bilirubin</w:t>
            </w:r>
          </w:p>
        </w:tc>
      </w:tr>
      <w:tr w:rsidR="003B74AE" w:rsidRPr="00D326F8" w14:paraId="601A84B4" w14:textId="77777777" w:rsidTr="00216854">
        <w:tc>
          <w:tcPr>
            <w:tcW w:w="1827" w:type="dxa"/>
            <w:tcBorders>
              <w:top w:val="nil"/>
              <w:left w:val="single" w:sz="4" w:space="0" w:color="auto"/>
              <w:bottom w:val="nil"/>
              <w:right w:val="single" w:sz="4" w:space="0" w:color="auto"/>
            </w:tcBorders>
          </w:tcPr>
          <w:p w14:paraId="601A84AF" w14:textId="77777777" w:rsidR="00216854" w:rsidRPr="00D326F8" w:rsidRDefault="00216854" w:rsidP="00092205">
            <w:pPr>
              <w:pStyle w:val="Tabletext"/>
              <w:spacing w:before="20" w:after="20"/>
              <w:rPr>
                <w:rFonts w:cs="Arial"/>
                <w:szCs w:val="18"/>
              </w:rPr>
            </w:pPr>
          </w:p>
        </w:tc>
        <w:tc>
          <w:tcPr>
            <w:tcW w:w="1324" w:type="dxa"/>
            <w:tcBorders>
              <w:top w:val="single" w:sz="4" w:space="0" w:color="auto"/>
              <w:left w:val="single" w:sz="4" w:space="0" w:color="auto"/>
              <w:bottom w:val="single" w:sz="4" w:space="0" w:color="auto"/>
              <w:right w:val="single" w:sz="4" w:space="0" w:color="auto"/>
            </w:tcBorders>
            <w:hideMark/>
          </w:tcPr>
          <w:p w14:paraId="601A84B0" w14:textId="77777777" w:rsidR="00216854" w:rsidRPr="00D326F8" w:rsidRDefault="003E23E4" w:rsidP="00092205">
            <w:pPr>
              <w:pStyle w:val="Tabletext"/>
              <w:spacing w:before="20" w:after="20"/>
              <w:rPr>
                <w:rFonts w:cs="Arial"/>
                <w:szCs w:val="18"/>
              </w:rPr>
            </w:pPr>
            <w:r w:rsidRPr="00D326F8">
              <w:rPr>
                <w:rFonts w:cs="Arial"/>
                <w:szCs w:val="18"/>
              </w:rPr>
              <w:t>Creatinine</w:t>
            </w:r>
          </w:p>
        </w:tc>
        <w:tc>
          <w:tcPr>
            <w:tcW w:w="1324" w:type="dxa"/>
            <w:tcBorders>
              <w:top w:val="single" w:sz="4" w:space="0" w:color="auto"/>
              <w:left w:val="single" w:sz="4" w:space="0" w:color="auto"/>
              <w:bottom w:val="single" w:sz="4" w:space="0" w:color="auto"/>
              <w:right w:val="single" w:sz="4" w:space="0" w:color="auto"/>
            </w:tcBorders>
            <w:hideMark/>
          </w:tcPr>
          <w:p w14:paraId="601A84B1" w14:textId="77777777" w:rsidR="00216854" w:rsidRPr="00D326F8" w:rsidRDefault="003E23E4" w:rsidP="00092205">
            <w:pPr>
              <w:pStyle w:val="Tabletext"/>
              <w:spacing w:before="20" w:after="20"/>
              <w:rPr>
                <w:rFonts w:cs="Arial"/>
                <w:szCs w:val="18"/>
              </w:rPr>
            </w:pPr>
            <w:r w:rsidRPr="00D326F8">
              <w:rPr>
                <w:rFonts w:cs="Arial"/>
                <w:szCs w:val="18"/>
              </w:rPr>
              <w:t>Sodium</w:t>
            </w:r>
          </w:p>
        </w:tc>
        <w:tc>
          <w:tcPr>
            <w:tcW w:w="2778" w:type="dxa"/>
            <w:tcBorders>
              <w:top w:val="single" w:sz="4" w:space="0" w:color="auto"/>
              <w:left w:val="single" w:sz="4" w:space="0" w:color="auto"/>
              <w:bottom w:val="single" w:sz="4" w:space="0" w:color="auto"/>
              <w:right w:val="single" w:sz="4" w:space="0" w:color="auto"/>
            </w:tcBorders>
            <w:hideMark/>
          </w:tcPr>
          <w:p w14:paraId="601A84B2" w14:textId="77777777" w:rsidR="00216854" w:rsidRPr="00D326F8" w:rsidRDefault="003E23E4" w:rsidP="00092205">
            <w:pPr>
              <w:pStyle w:val="Tabletext"/>
              <w:spacing w:before="20" w:after="20"/>
              <w:rPr>
                <w:rFonts w:cs="Arial"/>
                <w:szCs w:val="18"/>
              </w:rPr>
            </w:pPr>
            <w:r w:rsidRPr="00D326F8">
              <w:rPr>
                <w:rFonts w:cs="Arial"/>
                <w:szCs w:val="18"/>
              </w:rPr>
              <w:t>Alanine aminotransferase</w:t>
            </w:r>
          </w:p>
        </w:tc>
        <w:tc>
          <w:tcPr>
            <w:tcW w:w="2069" w:type="dxa"/>
            <w:tcBorders>
              <w:top w:val="single" w:sz="4" w:space="0" w:color="auto"/>
              <w:left w:val="single" w:sz="4" w:space="0" w:color="auto"/>
              <w:bottom w:val="single" w:sz="4" w:space="0" w:color="auto"/>
              <w:right w:val="single" w:sz="4" w:space="0" w:color="auto"/>
            </w:tcBorders>
            <w:hideMark/>
          </w:tcPr>
          <w:p w14:paraId="601A84B3" w14:textId="77777777" w:rsidR="00216854" w:rsidRPr="00D326F8" w:rsidRDefault="003E23E4" w:rsidP="00092205">
            <w:pPr>
              <w:pStyle w:val="Tabletext"/>
              <w:spacing w:before="20" w:after="20"/>
              <w:rPr>
                <w:rFonts w:cs="Arial"/>
                <w:szCs w:val="18"/>
              </w:rPr>
            </w:pPr>
            <w:r w:rsidRPr="00D326F8">
              <w:rPr>
                <w:rFonts w:cs="Arial"/>
                <w:szCs w:val="18"/>
              </w:rPr>
              <w:t>Protein</w:t>
            </w:r>
          </w:p>
        </w:tc>
      </w:tr>
      <w:tr w:rsidR="003B74AE" w:rsidRPr="00D326F8" w14:paraId="601A84BA" w14:textId="77777777" w:rsidTr="00216854">
        <w:tc>
          <w:tcPr>
            <w:tcW w:w="1827" w:type="dxa"/>
            <w:tcBorders>
              <w:top w:val="nil"/>
              <w:left w:val="single" w:sz="4" w:space="0" w:color="auto"/>
              <w:bottom w:val="nil"/>
              <w:right w:val="single" w:sz="4" w:space="0" w:color="auto"/>
            </w:tcBorders>
          </w:tcPr>
          <w:p w14:paraId="601A84B5" w14:textId="77777777" w:rsidR="00216854" w:rsidRPr="00D326F8" w:rsidRDefault="00216854" w:rsidP="00092205">
            <w:pPr>
              <w:pStyle w:val="Tabletext"/>
              <w:spacing w:before="20" w:after="20"/>
              <w:rPr>
                <w:rFonts w:cs="Arial"/>
                <w:szCs w:val="18"/>
              </w:rPr>
            </w:pPr>
          </w:p>
        </w:tc>
        <w:tc>
          <w:tcPr>
            <w:tcW w:w="1324" w:type="dxa"/>
            <w:tcBorders>
              <w:top w:val="single" w:sz="4" w:space="0" w:color="auto"/>
              <w:left w:val="single" w:sz="4" w:space="0" w:color="auto"/>
              <w:bottom w:val="single" w:sz="4" w:space="0" w:color="auto"/>
              <w:right w:val="single" w:sz="4" w:space="0" w:color="auto"/>
            </w:tcBorders>
            <w:hideMark/>
          </w:tcPr>
          <w:p w14:paraId="601A84B6" w14:textId="77777777" w:rsidR="00216854" w:rsidRPr="00D326F8" w:rsidRDefault="003E23E4" w:rsidP="00092205">
            <w:pPr>
              <w:pStyle w:val="Tabletext"/>
              <w:spacing w:before="20" w:after="20"/>
              <w:rPr>
                <w:rFonts w:cs="Arial"/>
                <w:szCs w:val="18"/>
              </w:rPr>
            </w:pPr>
            <w:r w:rsidRPr="00D326F8">
              <w:rPr>
                <w:rFonts w:cs="Arial"/>
                <w:szCs w:val="18"/>
              </w:rPr>
              <w:t>Glucose</w:t>
            </w:r>
          </w:p>
        </w:tc>
        <w:tc>
          <w:tcPr>
            <w:tcW w:w="1324" w:type="dxa"/>
            <w:tcBorders>
              <w:top w:val="single" w:sz="4" w:space="0" w:color="auto"/>
              <w:left w:val="single" w:sz="4" w:space="0" w:color="auto"/>
              <w:bottom w:val="single" w:sz="4" w:space="0" w:color="auto"/>
              <w:right w:val="single" w:sz="4" w:space="0" w:color="auto"/>
            </w:tcBorders>
            <w:hideMark/>
          </w:tcPr>
          <w:p w14:paraId="601A84B7" w14:textId="77777777" w:rsidR="00216854" w:rsidRPr="00D326F8" w:rsidRDefault="003E23E4" w:rsidP="00092205">
            <w:pPr>
              <w:pStyle w:val="Tabletext"/>
              <w:spacing w:before="20" w:after="20"/>
              <w:rPr>
                <w:rFonts w:cs="Arial"/>
                <w:szCs w:val="18"/>
              </w:rPr>
            </w:pPr>
            <w:r w:rsidRPr="00D326F8">
              <w:rPr>
                <w:rFonts w:cs="Arial"/>
                <w:szCs w:val="18"/>
              </w:rPr>
              <w:t>Calcium</w:t>
            </w:r>
          </w:p>
        </w:tc>
        <w:tc>
          <w:tcPr>
            <w:tcW w:w="2778" w:type="dxa"/>
            <w:tcBorders>
              <w:top w:val="single" w:sz="4" w:space="0" w:color="auto"/>
              <w:left w:val="single" w:sz="4" w:space="0" w:color="auto"/>
              <w:bottom w:val="single" w:sz="4" w:space="0" w:color="auto"/>
              <w:right w:val="single" w:sz="4" w:space="0" w:color="auto"/>
            </w:tcBorders>
            <w:hideMark/>
          </w:tcPr>
          <w:p w14:paraId="601A84B8" w14:textId="77777777" w:rsidR="00216854" w:rsidRPr="00D326F8" w:rsidRDefault="003E23E4" w:rsidP="00092205">
            <w:pPr>
              <w:pStyle w:val="Tabletext"/>
              <w:spacing w:before="20" w:after="20"/>
              <w:rPr>
                <w:rFonts w:cs="Arial"/>
                <w:szCs w:val="18"/>
              </w:rPr>
            </w:pPr>
            <w:r w:rsidRPr="00D326F8">
              <w:rPr>
                <w:rFonts w:cs="Arial"/>
                <w:szCs w:val="18"/>
              </w:rPr>
              <w:t>Alkaline phosphatase</w:t>
            </w:r>
          </w:p>
        </w:tc>
        <w:tc>
          <w:tcPr>
            <w:tcW w:w="2069" w:type="dxa"/>
            <w:tcBorders>
              <w:top w:val="single" w:sz="4" w:space="0" w:color="auto"/>
              <w:left w:val="single" w:sz="4" w:space="0" w:color="auto"/>
              <w:bottom w:val="single" w:sz="4" w:space="0" w:color="auto"/>
              <w:right w:val="single" w:sz="4" w:space="0" w:color="auto"/>
            </w:tcBorders>
            <w:hideMark/>
          </w:tcPr>
          <w:p w14:paraId="601A84B9" w14:textId="77777777" w:rsidR="00216854" w:rsidRPr="00D326F8" w:rsidRDefault="003E23E4" w:rsidP="00092205">
            <w:pPr>
              <w:pStyle w:val="Tabletext"/>
              <w:spacing w:before="20" w:after="20"/>
              <w:rPr>
                <w:rFonts w:cs="Arial"/>
                <w:szCs w:val="18"/>
              </w:rPr>
            </w:pPr>
            <w:r w:rsidRPr="00D326F8">
              <w:rPr>
                <w:rFonts w:cs="Arial"/>
                <w:szCs w:val="18"/>
              </w:rPr>
              <w:t>Albumin</w:t>
            </w:r>
          </w:p>
        </w:tc>
      </w:tr>
      <w:tr w:rsidR="003B74AE" w:rsidRPr="00D326F8" w14:paraId="601A84C0" w14:textId="77777777" w:rsidTr="00216854">
        <w:tc>
          <w:tcPr>
            <w:tcW w:w="1827" w:type="dxa"/>
            <w:tcBorders>
              <w:top w:val="nil"/>
              <w:left w:val="single" w:sz="4" w:space="0" w:color="auto"/>
              <w:bottom w:val="nil"/>
              <w:right w:val="single" w:sz="4" w:space="0" w:color="auto"/>
            </w:tcBorders>
          </w:tcPr>
          <w:p w14:paraId="601A84BB" w14:textId="77777777" w:rsidR="00216854" w:rsidRPr="00D326F8" w:rsidRDefault="00216854" w:rsidP="00092205">
            <w:pPr>
              <w:pStyle w:val="Tabletext"/>
              <w:spacing w:before="20" w:after="20"/>
              <w:rPr>
                <w:rFonts w:cs="Arial"/>
                <w:szCs w:val="18"/>
              </w:rPr>
            </w:pPr>
          </w:p>
        </w:tc>
        <w:tc>
          <w:tcPr>
            <w:tcW w:w="1324" w:type="dxa"/>
            <w:tcBorders>
              <w:top w:val="single" w:sz="4" w:space="0" w:color="auto"/>
              <w:left w:val="single" w:sz="4" w:space="0" w:color="auto"/>
              <w:bottom w:val="single" w:sz="4" w:space="0" w:color="auto"/>
              <w:right w:val="single" w:sz="4" w:space="0" w:color="auto"/>
            </w:tcBorders>
            <w:hideMark/>
          </w:tcPr>
          <w:p w14:paraId="601A84BC" w14:textId="77777777" w:rsidR="00216854" w:rsidRPr="00D326F8" w:rsidRDefault="003E23E4" w:rsidP="00092205">
            <w:pPr>
              <w:pStyle w:val="Tabletext"/>
              <w:spacing w:before="20" w:after="20"/>
              <w:rPr>
                <w:rFonts w:cs="Arial"/>
                <w:szCs w:val="18"/>
              </w:rPr>
            </w:pPr>
            <w:r w:rsidRPr="00D326F8">
              <w:rPr>
                <w:rFonts w:cs="Arial"/>
                <w:szCs w:val="18"/>
              </w:rPr>
              <w:t>Uric acid</w:t>
            </w:r>
          </w:p>
        </w:tc>
        <w:tc>
          <w:tcPr>
            <w:tcW w:w="1324" w:type="dxa"/>
            <w:tcBorders>
              <w:top w:val="single" w:sz="4" w:space="0" w:color="auto"/>
              <w:left w:val="single" w:sz="4" w:space="0" w:color="auto"/>
              <w:bottom w:val="single" w:sz="4" w:space="0" w:color="auto"/>
              <w:right w:val="single" w:sz="4" w:space="0" w:color="auto"/>
            </w:tcBorders>
            <w:hideMark/>
          </w:tcPr>
          <w:p w14:paraId="601A84BD" w14:textId="77777777" w:rsidR="00216854" w:rsidRPr="00D326F8" w:rsidRDefault="003E23E4" w:rsidP="00092205">
            <w:pPr>
              <w:pStyle w:val="Tabletext"/>
              <w:spacing w:before="20" w:after="20"/>
              <w:rPr>
                <w:rFonts w:cs="Arial"/>
                <w:szCs w:val="18"/>
              </w:rPr>
            </w:pPr>
            <w:r w:rsidRPr="00D326F8">
              <w:rPr>
                <w:rFonts w:cs="Arial"/>
                <w:szCs w:val="18"/>
              </w:rPr>
              <w:t>Chloride</w:t>
            </w:r>
          </w:p>
        </w:tc>
        <w:tc>
          <w:tcPr>
            <w:tcW w:w="2778" w:type="dxa"/>
            <w:tcBorders>
              <w:top w:val="single" w:sz="4" w:space="0" w:color="auto"/>
              <w:left w:val="single" w:sz="4" w:space="0" w:color="auto"/>
              <w:bottom w:val="single" w:sz="4" w:space="0" w:color="auto"/>
              <w:right w:val="single" w:sz="4" w:space="0" w:color="auto"/>
            </w:tcBorders>
            <w:hideMark/>
          </w:tcPr>
          <w:p w14:paraId="601A84BE" w14:textId="77777777" w:rsidR="00216854" w:rsidRPr="00D326F8" w:rsidRDefault="003E23E4" w:rsidP="00092205">
            <w:pPr>
              <w:pStyle w:val="Tabletext"/>
              <w:spacing w:before="20" w:after="20"/>
              <w:rPr>
                <w:rFonts w:cs="Arial"/>
                <w:szCs w:val="18"/>
              </w:rPr>
            </w:pPr>
            <w:r w:rsidRPr="00D326F8">
              <w:rPr>
                <w:rFonts w:cs="Arial"/>
                <w:szCs w:val="18"/>
              </w:rPr>
              <w:t>y-Glutamyl transferase</w:t>
            </w:r>
          </w:p>
        </w:tc>
        <w:tc>
          <w:tcPr>
            <w:tcW w:w="2069" w:type="dxa"/>
            <w:tcBorders>
              <w:top w:val="single" w:sz="4" w:space="0" w:color="auto"/>
              <w:left w:val="single" w:sz="4" w:space="0" w:color="auto"/>
              <w:bottom w:val="single" w:sz="4" w:space="0" w:color="auto"/>
              <w:right w:val="single" w:sz="4" w:space="0" w:color="auto"/>
            </w:tcBorders>
            <w:hideMark/>
          </w:tcPr>
          <w:p w14:paraId="601A84BF" w14:textId="77777777" w:rsidR="00216854" w:rsidRPr="00D326F8" w:rsidRDefault="003E23E4" w:rsidP="00092205">
            <w:pPr>
              <w:pStyle w:val="Tabletext"/>
              <w:spacing w:before="20" w:after="20"/>
              <w:rPr>
                <w:rFonts w:cs="Arial"/>
                <w:szCs w:val="18"/>
              </w:rPr>
            </w:pPr>
            <w:r w:rsidRPr="00D326F8">
              <w:rPr>
                <w:rFonts w:cs="Arial"/>
                <w:szCs w:val="18"/>
              </w:rPr>
              <w:t>Cholesterol</w:t>
            </w:r>
          </w:p>
        </w:tc>
      </w:tr>
      <w:tr w:rsidR="003B74AE" w:rsidRPr="00D326F8" w14:paraId="601A84C6" w14:textId="77777777" w:rsidTr="00216854">
        <w:tc>
          <w:tcPr>
            <w:tcW w:w="1827" w:type="dxa"/>
            <w:tcBorders>
              <w:top w:val="nil"/>
              <w:left w:val="single" w:sz="4" w:space="0" w:color="auto"/>
              <w:bottom w:val="nil"/>
              <w:right w:val="single" w:sz="4" w:space="0" w:color="auto"/>
            </w:tcBorders>
          </w:tcPr>
          <w:p w14:paraId="601A84C1" w14:textId="77777777" w:rsidR="00216854" w:rsidRPr="00D326F8" w:rsidRDefault="00216854" w:rsidP="00092205">
            <w:pPr>
              <w:pStyle w:val="Tabletext"/>
              <w:spacing w:before="20" w:after="20"/>
              <w:rPr>
                <w:rFonts w:cs="Arial"/>
                <w:szCs w:val="18"/>
              </w:rPr>
            </w:pPr>
          </w:p>
        </w:tc>
        <w:tc>
          <w:tcPr>
            <w:tcW w:w="1324" w:type="dxa"/>
            <w:tcBorders>
              <w:top w:val="single" w:sz="4" w:space="0" w:color="auto"/>
              <w:left w:val="single" w:sz="4" w:space="0" w:color="auto"/>
              <w:bottom w:val="single" w:sz="4" w:space="0" w:color="auto"/>
              <w:right w:val="single" w:sz="4" w:space="0" w:color="auto"/>
            </w:tcBorders>
          </w:tcPr>
          <w:p w14:paraId="601A84C2" w14:textId="77777777" w:rsidR="00216854" w:rsidRPr="00D326F8" w:rsidRDefault="00216854" w:rsidP="00092205">
            <w:pPr>
              <w:pStyle w:val="Tabletext"/>
              <w:spacing w:before="20" w:after="20"/>
              <w:rPr>
                <w:rFonts w:cs="Arial"/>
                <w:szCs w:val="18"/>
              </w:rPr>
            </w:pPr>
          </w:p>
        </w:tc>
        <w:tc>
          <w:tcPr>
            <w:tcW w:w="1324" w:type="dxa"/>
            <w:tcBorders>
              <w:top w:val="single" w:sz="4" w:space="0" w:color="auto"/>
              <w:left w:val="single" w:sz="4" w:space="0" w:color="auto"/>
              <w:bottom w:val="single" w:sz="4" w:space="0" w:color="auto"/>
              <w:right w:val="single" w:sz="4" w:space="0" w:color="auto"/>
            </w:tcBorders>
            <w:hideMark/>
          </w:tcPr>
          <w:p w14:paraId="601A84C3" w14:textId="77777777" w:rsidR="00216854" w:rsidRPr="00D326F8" w:rsidRDefault="003E23E4" w:rsidP="00092205">
            <w:pPr>
              <w:pStyle w:val="Tabletext"/>
              <w:spacing w:before="20" w:after="20"/>
              <w:rPr>
                <w:rFonts w:cs="Arial"/>
                <w:szCs w:val="18"/>
              </w:rPr>
            </w:pPr>
            <w:r w:rsidRPr="00D326F8">
              <w:rPr>
                <w:rFonts w:cs="Arial"/>
                <w:szCs w:val="18"/>
              </w:rPr>
              <w:t>Inorganic phosphate</w:t>
            </w:r>
          </w:p>
        </w:tc>
        <w:tc>
          <w:tcPr>
            <w:tcW w:w="2778" w:type="dxa"/>
            <w:tcBorders>
              <w:top w:val="single" w:sz="4" w:space="0" w:color="auto"/>
              <w:left w:val="single" w:sz="4" w:space="0" w:color="auto"/>
              <w:bottom w:val="single" w:sz="4" w:space="0" w:color="auto"/>
              <w:right w:val="single" w:sz="4" w:space="0" w:color="auto"/>
            </w:tcBorders>
            <w:hideMark/>
          </w:tcPr>
          <w:p w14:paraId="601A84C4" w14:textId="77777777" w:rsidR="00216854" w:rsidRPr="00D326F8" w:rsidRDefault="003E23E4" w:rsidP="00092205">
            <w:pPr>
              <w:pStyle w:val="Tabletext"/>
              <w:spacing w:before="20" w:after="20"/>
              <w:rPr>
                <w:rFonts w:cs="Arial"/>
                <w:szCs w:val="18"/>
              </w:rPr>
            </w:pPr>
            <w:r w:rsidRPr="00D326F8">
              <w:rPr>
                <w:rFonts w:cs="Arial"/>
                <w:szCs w:val="18"/>
              </w:rPr>
              <w:t>Lactate dehydrogenase</w:t>
            </w:r>
          </w:p>
        </w:tc>
        <w:tc>
          <w:tcPr>
            <w:tcW w:w="2069" w:type="dxa"/>
            <w:tcBorders>
              <w:top w:val="single" w:sz="4" w:space="0" w:color="auto"/>
              <w:left w:val="single" w:sz="4" w:space="0" w:color="auto"/>
              <w:bottom w:val="single" w:sz="4" w:space="0" w:color="auto"/>
              <w:right w:val="single" w:sz="4" w:space="0" w:color="auto"/>
            </w:tcBorders>
            <w:hideMark/>
          </w:tcPr>
          <w:p w14:paraId="601A84C5" w14:textId="77777777" w:rsidR="00216854" w:rsidRPr="00D326F8" w:rsidRDefault="003E23E4" w:rsidP="00092205">
            <w:pPr>
              <w:pStyle w:val="Tabletext"/>
              <w:spacing w:before="20" w:after="20"/>
              <w:rPr>
                <w:rFonts w:cs="Arial"/>
                <w:szCs w:val="18"/>
              </w:rPr>
            </w:pPr>
            <w:r w:rsidRPr="00D326F8">
              <w:rPr>
                <w:rFonts w:cs="Arial"/>
                <w:szCs w:val="18"/>
              </w:rPr>
              <w:t>Triglycerides</w:t>
            </w:r>
          </w:p>
        </w:tc>
      </w:tr>
      <w:tr w:rsidR="003B74AE" w:rsidRPr="00D326F8" w14:paraId="601A84CC" w14:textId="77777777" w:rsidTr="00216854">
        <w:tc>
          <w:tcPr>
            <w:tcW w:w="1827" w:type="dxa"/>
            <w:tcBorders>
              <w:top w:val="nil"/>
              <w:left w:val="single" w:sz="4" w:space="0" w:color="auto"/>
              <w:bottom w:val="nil"/>
              <w:right w:val="single" w:sz="4" w:space="0" w:color="auto"/>
            </w:tcBorders>
          </w:tcPr>
          <w:p w14:paraId="601A84C7" w14:textId="77777777" w:rsidR="00216854" w:rsidRPr="00D326F8" w:rsidRDefault="00216854" w:rsidP="00092205">
            <w:pPr>
              <w:pStyle w:val="Tabletext"/>
              <w:spacing w:before="20" w:after="20"/>
              <w:rPr>
                <w:rFonts w:cs="Arial"/>
                <w:szCs w:val="18"/>
              </w:rPr>
            </w:pPr>
          </w:p>
        </w:tc>
        <w:tc>
          <w:tcPr>
            <w:tcW w:w="1324" w:type="dxa"/>
            <w:tcBorders>
              <w:top w:val="single" w:sz="4" w:space="0" w:color="auto"/>
              <w:left w:val="single" w:sz="4" w:space="0" w:color="auto"/>
              <w:bottom w:val="single" w:sz="4" w:space="0" w:color="auto"/>
              <w:right w:val="single" w:sz="4" w:space="0" w:color="auto"/>
            </w:tcBorders>
          </w:tcPr>
          <w:p w14:paraId="601A84C8" w14:textId="77777777" w:rsidR="00216854" w:rsidRPr="00D326F8" w:rsidRDefault="00216854" w:rsidP="00092205">
            <w:pPr>
              <w:pStyle w:val="Tabletext"/>
              <w:spacing w:before="20" w:after="20"/>
              <w:rPr>
                <w:rFonts w:cs="Arial"/>
                <w:szCs w:val="18"/>
              </w:rPr>
            </w:pPr>
          </w:p>
        </w:tc>
        <w:tc>
          <w:tcPr>
            <w:tcW w:w="1324" w:type="dxa"/>
            <w:tcBorders>
              <w:top w:val="single" w:sz="4" w:space="0" w:color="auto"/>
              <w:left w:val="single" w:sz="4" w:space="0" w:color="auto"/>
              <w:bottom w:val="single" w:sz="4" w:space="0" w:color="auto"/>
              <w:right w:val="single" w:sz="4" w:space="0" w:color="auto"/>
            </w:tcBorders>
            <w:hideMark/>
          </w:tcPr>
          <w:p w14:paraId="601A84C9" w14:textId="77777777" w:rsidR="00216854" w:rsidRPr="00D326F8" w:rsidRDefault="003E23E4" w:rsidP="00092205">
            <w:pPr>
              <w:pStyle w:val="Tabletext"/>
              <w:spacing w:before="20" w:after="20"/>
              <w:rPr>
                <w:rFonts w:cs="Arial"/>
                <w:szCs w:val="18"/>
              </w:rPr>
            </w:pPr>
            <w:r w:rsidRPr="00D326F8">
              <w:rPr>
                <w:rFonts w:cs="Arial"/>
                <w:szCs w:val="18"/>
              </w:rPr>
              <w:t>Magnesium</w:t>
            </w:r>
          </w:p>
        </w:tc>
        <w:tc>
          <w:tcPr>
            <w:tcW w:w="2778" w:type="dxa"/>
            <w:tcBorders>
              <w:top w:val="single" w:sz="4" w:space="0" w:color="auto"/>
              <w:left w:val="single" w:sz="4" w:space="0" w:color="auto"/>
              <w:bottom w:val="single" w:sz="4" w:space="0" w:color="auto"/>
              <w:right w:val="single" w:sz="4" w:space="0" w:color="auto"/>
            </w:tcBorders>
            <w:hideMark/>
          </w:tcPr>
          <w:p w14:paraId="601A84CA" w14:textId="77777777" w:rsidR="00216854" w:rsidRPr="00D326F8" w:rsidRDefault="003E23E4" w:rsidP="00092205">
            <w:pPr>
              <w:pStyle w:val="Tabletext"/>
              <w:spacing w:before="20" w:after="20"/>
              <w:rPr>
                <w:rFonts w:cs="Arial"/>
                <w:szCs w:val="18"/>
              </w:rPr>
            </w:pPr>
            <w:r w:rsidRPr="00D326F8">
              <w:rPr>
                <w:rFonts w:cs="Arial"/>
                <w:szCs w:val="18"/>
              </w:rPr>
              <w:t>Creatinine phosphatase</w:t>
            </w:r>
          </w:p>
        </w:tc>
        <w:tc>
          <w:tcPr>
            <w:tcW w:w="2069" w:type="dxa"/>
            <w:tcBorders>
              <w:top w:val="single" w:sz="4" w:space="0" w:color="auto"/>
              <w:left w:val="single" w:sz="4" w:space="0" w:color="auto"/>
              <w:bottom w:val="single" w:sz="4" w:space="0" w:color="auto"/>
              <w:right w:val="single" w:sz="4" w:space="0" w:color="auto"/>
            </w:tcBorders>
            <w:hideMark/>
          </w:tcPr>
          <w:p w14:paraId="601A84CB" w14:textId="77777777" w:rsidR="00216854" w:rsidRPr="00D326F8" w:rsidRDefault="003E23E4" w:rsidP="00092205">
            <w:pPr>
              <w:pStyle w:val="Tabletext"/>
              <w:spacing w:before="20" w:after="20"/>
              <w:rPr>
                <w:rFonts w:cs="Arial"/>
                <w:szCs w:val="18"/>
              </w:rPr>
            </w:pPr>
            <w:r w:rsidRPr="00D326F8">
              <w:rPr>
                <w:rFonts w:cs="Arial"/>
                <w:szCs w:val="18"/>
              </w:rPr>
              <w:t>Amylase</w:t>
            </w:r>
          </w:p>
        </w:tc>
      </w:tr>
      <w:tr w:rsidR="003B74AE" w:rsidRPr="00D326F8" w14:paraId="601A84D2" w14:textId="77777777" w:rsidTr="00216854">
        <w:tc>
          <w:tcPr>
            <w:tcW w:w="1827" w:type="dxa"/>
            <w:tcBorders>
              <w:top w:val="nil"/>
              <w:left w:val="single" w:sz="4" w:space="0" w:color="auto"/>
              <w:bottom w:val="single" w:sz="4" w:space="0" w:color="auto"/>
              <w:right w:val="single" w:sz="4" w:space="0" w:color="auto"/>
            </w:tcBorders>
          </w:tcPr>
          <w:p w14:paraId="601A84CD" w14:textId="77777777" w:rsidR="00216854" w:rsidRPr="00D326F8" w:rsidRDefault="00216854" w:rsidP="00092205">
            <w:pPr>
              <w:pStyle w:val="Tabletext"/>
              <w:spacing w:before="20" w:after="20"/>
              <w:rPr>
                <w:rFonts w:cs="Arial"/>
                <w:szCs w:val="18"/>
              </w:rPr>
            </w:pPr>
          </w:p>
        </w:tc>
        <w:tc>
          <w:tcPr>
            <w:tcW w:w="1324" w:type="dxa"/>
            <w:tcBorders>
              <w:top w:val="single" w:sz="4" w:space="0" w:color="auto"/>
              <w:left w:val="single" w:sz="4" w:space="0" w:color="auto"/>
              <w:bottom w:val="single" w:sz="4" w:space="0" w:color="auto"/>
              <w:right w:val="single" w:sz="4" w:space="0" w:color="auto"/>
            </w:tcBorders>
          </w:tcPr>
          <w:p w14:paraId="601A84CE" w14:textId="77777777" w:rsidR="00216854" w:rsidRPr="00D326F8" w:rsidRDefault="00216854" w:rsidP="00092205">
            <w:pPr>
              <w:pStyle w:val="Tabletext"/>
              <w:spacing w:before="20" w:after="20"/>
              <w:rPr>
                <w:rFonts w:cs="Arial"/>
                <w:szCs w:val="18"/>
              </w:rPr>
            </w:pPr>
          </w:p>
        </w:tc>
        <w:tc>
          <w:tcPr>
            <w:tcW w:w="1324" w:type="dxa"/>
            <w:tcBorders>
              <w:top w:val="single" w:sz="4" w:space="0" w:color="auto"/>
              <w:left w:val="single" w:sz="4" w:space="0" w:color="auto"/>
              <w:bottom w:val="single" w:sz="4" w:space="0" w:color="auto"/>
              <w:right w:val="single" w:sz="4" w:space="0" w:color="auto"/>
            </w:tcBorders>
          </w:tcPr>
          <w:p w14:paraId="601A84CF" w14:textId="77777777" w:rsidR="00216854" w:rsidRPr="00D326F8" w:rsidRDefault="00216854" w:rsidP="00092205">
            <w:pPr>
              <w:pStyle w:val="Tabletext"/>
              <w:spacing w:before="20" w:after="20"/>
              <w:rPr>
                <w:rFonts w:cs="Arial"/>
                <w:szCs w:val="18"/>
              </w:rPr>
            </w:pPr>
          </w:p>
        </w:tc>
        <w:tc>
          <w:tcPr>
            <w:tcW w:w="2778" w:type="dxa"/>
            <w:tcBorders>
              <w:top w:val="single" w:sz="4" w:space="0" w:color="auto"/>
              <w:left w:val="single" w:sz="4" w:space="0" w:color="auto"/>
              <w:bottom w:val="single" w:sz="4" w:space="0" w:color="auto"/>
              <w:right w:val="single" w:sz="4" w:space="0" w:color="auto"/>
            </w:tcBorders>
          </w:tcPr>
          <w:p w14:paraId="601A84D0" w14:textId="77777777" w:rsidR="00216854" w:rsidRPr="00D326F8" w:rsidRDefault="00216854" w:rsidP="00092205">
            <w:pPr>
              <w:pStyle w:val="Tabletext"/>
              <w:spacing w:before="20" w:after="20"/>
              <w:rPr>
                <w:rFonts w:cs="Arial"/>
                <w:szCs w:val="18"/>
              </w:rPr>
            </w:pPr>
          </w:p>
        </w:tc>
        <w:tc>
          <w:tcPr>
            <w:tcW w:w="2069" w:type="dxa"/>
            <w:tcBorders>
              <w:top w:val="single" w:sz="4" w:space="0" w:color="auto"/>
              <w:left w:val="single" w:sz="4" w:space="0" w:color="auto"/>
              <w:bottom w:val="single" w:sz="4" w:space="0" w:color="auto"/>
              <w:right w:val="single" w:sz="4" w:space="0" w:color="auto"/>
            </w:tcBorders>
            <w:hideMark/>
          </w:tcPr>
          <w:p w14:paraId="601A84D1" w14:textId="77777777" w:rsidR="00216854" w:rsidRPr="00D326F8" w:rsidRDefault="003E23E4" w:rsidP="00092205">
            <w:pPr>
              <w:pStyle w:val="Tabletext"/>
              <w:spacing w:before="20" w:after="20"/>
              <w:rPr>
                <w:rFonts w:cs="Arial"/>
                <w:szCs w:val="18"/>
              </w:rPr>
            </w:pPr>
            <w:r w:rsidRPr="00D326F8">
              <w:rPr>
                <w:rFonts w:cs="Arial"/>
                <w:szCs w:val="18"/>
              </w:rPr>
              <w:t>Lipase</w:t>
            </w:r>
          </w:p>
        </w:tc>
      </w:tr>
      <w:tr w:rsidR="003B74AE" w:rsidRPr="00D326F8" w14:paraId="601A84D8" w14:textId="77777777" w:rsidTr="00216854">
        <w:tc>
          <w:tcPr>
            <w:tcW w:w="1827" w:type="dxa"/>
            <w:tcBorders>
              <w:top w:val="single" w:sz="4" w:space="0" w:color="auto"/>
              <w:left w:val="single" w:sz="4" w:space="0" w:color="auto"/>
              <w:bottom w:val="single" w:sz="4" w:space="0" w:color="auto"/>
              <w:right w:val="single" w:sz="4" w:space="0" w:color="auto"/>
            </w:tcBorders>
            <w:hideMark/>
          </w:tcPr>
          <w:p w14:paraId="601A84D3" w14:textId="77777777" w:rsidR="00216854" w:rsidRPr="00D326F8" w:rsidRDefault="003E23E4" w:rsidP="00092205">
            <w:pPr>
              <w:pStyle w:val="Tabletext"/>
              <w:spacing w:before="20" w:after="20"/>
              <w:rPr>
                <w:rFonts w:cs="Arial"/>
                <w:szCs w:val="18"/>
              </w:rPr>
            </w:pPr>
            <w:r w:rsidRPr="00D326F8">
              <w:rPr>
                <w:rFonts w:cs="Arial"/>
                <w:szCs w:val="18"/>
              </w:rPr>
              <w:t>Routine Urinalysis</w:t>
            </w:r>
          </w:p>
        </w:tc>
        <w:tc>
          <w:tcPr>
            <w:tcW w:w="7495" w:type="dxa"/>
            <w:gridSpan w:val="4"/>
            <w:tcBorders>
              <w:top w:val="single" w:sz="4" w:space="0" w:color="auto"/>
              <w:left w:val="single" w:sz="4" w:space="0" w:color="auto"/>
              <w:bottom w:val="single" w:sz="4" w:space="0" w:color="auto"/>
              <w:right w:val="single" w:sz="4" w:space="0" w:color="auto"/>
            </w:tcBorders>
            <w:hideMark/>
          </w:tcPr>
          <w:p w14:paraId="601A84D4" w14:textId="77777777" w:rsidR="00216854" w:rsidRPr="00D326F8" w:rsidRDefault="003E23E4" w:rsidP="0057019A">
            <w:pPr>
              <w:pStyle w:val="Tablelist"/>
              <w:numPr>
                <w:ilvl w:val="0"/>
                <w:numId w:val="25"/>
              </w:numPr>
              <w:spacing w:before="20" w:after="20"/>
              <w:rPr>
                <w:rFonts w:cs="Arial"/>
                <w:szCs w:val="18"/>
              </w:rPr>
            </w:pPr>
            <w:r w:rsidRPr="00D326F8">
              <w:rPr>
                <w:rFonts w:cs="Arial"/>
                <w:szCs w:val="18"/>
              </w:rPr>
              <w:t>Specific gravity</w:t>
            </w:r>
          </w:p>
          <w:p w14:paraId="601A84D5" w14:textId="77777777" w:rsidR="00216854" w:rsidRPr="00D326F8" w:rsidRDefault="003E23E4" w:rsidP="0057019A">
            <w:pPr>
              <w:pStyle w:val="Tablelist"/>
              <w:numPr>
                <w:ilvl w:val="0"/>
                <w:numId w:val="25"/>
              </w:numPr>
              <w:spacing w:before="20" w:after="20"/>
              <w:rPr>
                <w:rFonts w:cs="Arial"/>
                <w:szCs w:val="18"/>
              </w:rPr>
            </w:pPr>
            <w:r w:rsidRPr="00D326F8">
              <w:rPr>
                <w:rFonts w:cs="Arial"/>
                <w:szCs w:val="18"/>
              </w:rPr>
              <w:t>pH, glucose, protein, blood</w:t>
            </w:r>
            <w:r w:rsidR="000668AC" w:rsidRPr="00D326F8">
              <w:rPr>
                <w:rFonts w:cs="Arial"/>
                <w:szCs w:val="18"/>
              </w:rPr>
              <w:t xml:space="preserve"> (hemoglobin)</w:t>
            </w:r>
            <w:r w:rsidRPr="00D326F8">
              <w:rPr>
                <w:rFonts w:cs="Arial"/>
                <w:szCs w:val="18"/>
              </w:rPr>
              <w:t xml:space="preserve">, ketones, bilirubin, urobilinogen, nitrite, </w:t>
            </w:r>
            <w:r w:rsidR="0040329F" w:rsidRPr="00D326F8">
              <w:rPr>
                <w:rFonts w:cs="Arial"/>
                <w:szCs w:val="18"/>
              </w:rPr>
              <w:t>leukocyte esterase</w:t>
            </w:r>
            <w:r w:rsidRPr="00D326F8">
              <w:rPr>
                <w:rFonts w:cs="Arial"/>
                <w:szCs w:val="18"/>
              </w:rPr>
              <w:t xml:space="preserve"> by dipstick</w:t>
            </w:r>
          </w:p>
          <w:p w14:paraId="601A84D6" w14:textId="77777777" w:rsidR="008804D1" w:rsidRPr="00D326F8" w:rsidRDefault="003E23E4" w:rsidP="0057019A">
            <w:pPr>
              <w:pStyle w:val="Tablelist"/>
              <w:numPr>
                <w:ilvl w:val="0"/>
                <w:numId w:val="25"/>
              </w:numPr>
              <w:spacing w:before="20" w:after="20"/>
              <w:rPr>
                <w:rFonts w:cs="Arial"/>
                <w:szCs w:val="18"/>
              </w:rPr>
            </w:pPr>
            <w:r w:rsidRPr="00D326F8">
              <w:rPr>
                <w:rFonts w:cs="Arial"/>
                <w:szCs w:val="18"/>
              </w:rPr>
              <w:t>Microscopic examination (if blood or protein is abnormal).</w:t>
            </w:r>
          </w:p>
          <w:p w14:paraId="601A84D7" w14:textId="77777777" w:rsidR="00216854" w:rsidRPr="00D326F8" w:rsidRDefault="003E23E4" w:rsidP="00092205">
            <w:pPr>
              <w:pStyle w:val="Tablelist"/>
              <w:numPr>
                <w:ilvl w:val="0"/>
                <w:numId w:val="0"/>
              </w:numPr>
              <w:spacing w:before="20" w:after="20"/>
              <w:ind w:left="284"/>
              <w:rPr>
                <w:rFonts w:cs="Arial"/>
                <w:szCs w:val="18"/>
              </w:rPr>
            </w:pPr>
            <w:r w:rsidRPr="00D326F8">
              <w:rPr>
                <w:rFonts w:cs="Arial"/>
                <w:szCs w:val="18"/>
              </w:rPr>
              <w:t>Note: In case of a positive result for hemoglobin, leukocyte esterase, protein or nitrite, a urinary cell count will be performed.</w:t>
            </w:r>
          </w:p>
        </w:tc>
      </w:tr>
      <w:tr w:rsidR="003B74AE" w:rsidRPr="00D326F8" w14:paraId="601A84DC" w14:textId="77777777" w:rsidTr="00216854">
        <w:tc>
          <w:tcPr>
            <w:tcW w:w="1827" w:type="dxa"/>
            <w:tcBorders>
              <w:top w:val="single" w:sz="4" w:space="0" w:color="auto"/>
              <w:left w:val="single" w:sz="4" w:space="0" w:color="auto"/>
              <w:bottom w:val="single" w:sz="4" w:space="0" w:color="auto"/>
              <w:right w:val="single" w:sz="4" w:space="0" w:color="auto"/>
            </w:tcBorders>
            <w:hideMark/>
          </w:tcPr>
          <w:p w14:paraId="601A84D9" w14:textId="77777777" w:rsidR="00216854" w:rsidRPr="00D326F8" w:rsidRDefault="003E23E4" w:rsidP="00092205">
            <w:pPr>
              <w:pStyle w:val="Tabletext"/>
              <w:spacing w:before="20" w:after="20"/>
              <w:rPr>
                <w:rFonts w:cs="Arial"/>
                <w:szCs w:val="18"/>
              </w:rPr>
            </w:pPr>
            <w:r w:rsidRPr="00D326F8">
              <w:rPr>
                <w:rFonts w:cs="Arial"/>
                <w:szCs w:val="18"/>
              </w:rPr>
              <w:t>Coagulation</w:t>
            </w:r>
          </w:p>
        </w:tc>
        <w:tc>
          <w:tcPr>
            <w:tcW w:w="7495" w:type="dxa"/>
            <w:gridSpan w:val="4"/>
            <w:tcBorders>
              <w:top w:val="single" w:sz="4" w:space="0" w:color="auto"/>
              <w:left w:val="single" w:sz="4" w:space="0" w:color="auto"/>
              <w:bottom w:val="single" w:sz="4" w:space="0" w:color="auto"/>
              <w:right w:val="single" w:sz="4" w:space="0" w:color="auto"/>
            </w:tcBorders>
            <w:hideMark/>
          </w:tcPr>
          <w:p w14:paraId="601A84DA" w14:textId="77777777" w:rsidR="00966885" w:rsidRPr="00D326F8" w:rsidRDefault="003E23E4" w:rsidP="00092205">
            <w:pPr>
              <w:keepLines/>
              <w:numPr>
                <w:ilvl w:val="0"/>
                <w:numId w:val="6"/>
              </w:numPr>
              <w:spacing w:before="20" w:after="20"/>
              <w:jc w:val="left"/>
              <w:rPr>
                <w:rFonts w:ascii="Arial" w:hAnsi="Arial"/>
                <w:sz w:val="18"/>
              </w:rPr>
            </w:pPr>
            <w:r w:rsidRPr="00D326F8">
              <w:rPr>
                <w:rFonts w:ascii="Arial" w:hAnsi="Arial"/>
                <w:sz w:val="18"/>
              </w:rPr>
              <w:t>INR</w:t>
            </w:r>
          </w:p>
          <w:p w14:paraId="601A84DB" w14:textId="77777777" w:rsidR="00216854" w:rsidRPr="00D326F8" w:rsidRDefault="003E23E4" w:rsidP="0057019A">
            <w:pPr>
              <w:pStyle w:val="Tablelist"/>
              <w:numPr>
                <w:ilvl w:val="0"/>
                <w:numId w:val="25"/>
              </w:numPr>
              <w:spacing w:before="20" w:after="20"/>
              <w:rPr>
                <w:rFonts w:cs="Arial"/>
                <w:szCs w:val="18"/>
              </w:rPr>
            </w:pPr>
            <w:proofErr w:type="spellStart"/>
            <w:r w:rsidRPr="00D326F8">
              <w:t>aPTT</w:t>
            </w:r>
            <w:proofErr w:type="spellEnd"/>
          </w:p>
        </w:tc>
      </w:tr>
      <w:tr w:rsidR="003B74AE" w:rsidRPr="00D326F8" w14:paraId="601A84E9" w14:textId="77777777" w:rsidTr="002F32DE">
        <w:tc>
          <w:tcPr>
            <w:tcW w:w="1827" w:type="dxa"/>
            <w:tcBorders>
              <w:top w:val="single" w:sz="4" w:space="0" w:color="auto"/>
              <w:left w:val="single" w:sz="4" w:space="0" w:color="auto"/>
              <w:bottom w:val="single" w:sz="4" w:space="0" w:color="auto"/>
              <w:right w:val="single" w:sz="4" w:space="0" w:color="auto"/>
            </w:tcBorders>
            <w:hideMark/>
          </w:tcPr>
          <w:p w14:paraId="601A84DD" w14:textId="77777777" w:rsidR="00216854" w:rsidRPr="00D326F8" w:rsidRDefault="003E23E4" w:rsidP="00092205">
            <w:pPr>
              <w:pStyle w:val="Tabletext"/>
              <w:spacing w:before="20" w:after="20"/>
              <w:rPr>
                <w:rFonts w:cs="Arial"/>
                <w:szCs w:val="18"/>
              </w:rPr>
            </w:pPr>
            <w:r w:rsidRPr="00D326F8">
              <w:rPr>
                <w:rFonts w:cs="Arial"/>
                <w:szCs w:val="18"/>
              </w:rPr>
              <w:t>Other Screening Tests</w:t>
            </w:r>
          </w:p>
        </w:tc>
        <w:tc>
          <w:tcPr>
            <w:tcW w:w="7495" w:type="dxa"/>
            <w:gridSpan w:val="4"/>
            <w:tcBorders>
              <w:top w:val="single" w:sz="4" w:space="0" w:color="auto"/>
              <w:left w:val="single" w:sz="4" w:space="0" w:color="auto"/>
              <w:bottom w:val="single" w:sz="4" w:space="0" w:color="auto"/>
              <w:right w:val="single" w:sz="4" w:space="0" w:color="auto"/>
            </w:tcBorders>
            <w:hideMark/>
          </w:tcPr>
          <w:p w14:paraId="601A84DE" w14:textId="77777777" w:rsidR="00216854" w:rsidRPr="00D326F8" w:rsidRDefault="003E23E4" w:rsidP="0057019A">
            <w:pPr>
              <w:pStyle w:val="Tablelist"/>
              <w:numPr>
                <w:ilvl w:val="0"/>
                <w:numId w:val="25"/>
              </w:numPr>
              <w:spacing w:before="20" w:after="20"/>
            </w:pPr>
            <w:r w:rsidRPr="00D326F8">
              <w:rPr>
                <w:rFonts w:cs="Arial"/>
                <w:szCs w:val="18"/>
              </w:rPr>
              <w:t>FSH</w:t>
            </w:r>
          </w:p>
          <w:p w14:paraId="601A84DF" w14:textId="1FA27987" w:rsidR="00216854" w:rsidRPr="00D326F8" w:rsidRDefault="003E23E4" w:rsidP="0057019A">
            <w:pPr>
              <w:pStyle w:val="Tablelist"/>
              <w:numPr>
                <w:ilvl w:val="0"/>
                <w:numId w:val="25"/>
              </w:numPr>
              <w:spacing w:before="20" w:after="20"/>
            </w:pPr>
            <w:r w:rsidRPr="00D326F8">
              <w:t xml:space="preserve">Serum </w:t>
            </w:r>
            <w:proofErr w:type="spellStart"/>
            <w:r w:rsidR="000C5E83" w:rsidRPr="00D326F8">
              <w:rPr>
                <w:rFonts w:cs="Arial"/>
                <w:szCs w:val="18"/>
              </w:rPr>
              <w:t>hCG</w:t>
            </w:r>
            <w:proofErr w:type="spellEnd"/>
            <w:r w:rsidRPr="00D326F8">
              <w:rPr>
                <w:rFonts w:cs="Arial"/>
                <w:szCs w:val="18"/>
              </w:rPr>
              <w:t xml:space="preserve"> pregnancy test </w:t>
            </w:r>
            <w:r w:rsidR="000C5E83" w:rsidRPr="00D326F8">
              <w:rPr>
                <w:rFonts w:cs="Arial"/>
                <w:szCs w:val="18"/>
              </w:rPr>
              <w:t>(as needed for a WOCBP)</w:t>
            </w:r>
            <w:r w:rsidR="000C5E83" w:rsidRPr="00D326F8">
              <w:t xml:space="preserve"> </w:t>
            </w:r>
            <w:r w:rsidRPr="00D326F8">
              <w:t xml:space="preserve">at all timepoints listed in the </w:t>
            </w:r>
            <w:r w:rsidR="00CF2490" w:rsidRPr="00D326F8">
              <w:t>Schedule of Assessments</w:t>
            </w:r>
            <w:r w:rsidRPr="00D326F8">
              <w:t xml:space="preserve"> (</w:t>
            </w:r>
            <w:r w:rsidR="004421FE" w:rsidRPr="00D326F8">
              <w:t>Section </w:t>
            </w:r>
            <w:r w:rsidR="004421FE" w:rsidRPr="00D326F8">
              <w:fldChar w:fldCharType="begin"/>
            </w:r>
            <w:r w:rsidR="004421FE" w:rsidRPr="00D326F8">
              <w:instrText xml:space="preserve"> REF _Ref77583760 \r \h </w:instrText>
            </w:r>
            <w:r w:rsidR="008D37C0" w:rsidRPr="00D326F8">
              <w:instrText xml:space="preserve"> \* MERGEFORMAT </w:instrText>
            </w:r>
            <w:r w:rsidR="004421FE" w:rsidRPr="00D326F8">
              <w:fldChar w:fldCharType="separate"/>
            </w:r>
            <w:r w:rsidR="00173A27">
              <w:t>1.3</w:t>
            </w:r>
            <w:r w:rsidR="004421FE" w:rsidRPr="00D326F8">
              <w:fldChar w:fldCharType="end"/>
            </w:r>
            <w:r w:rsidRPr="00D326F8">
              <w:t>).</w:t>
            </w:r>
          </w:p>
          <w:p w14:paraId="601A84E0" w14:textId="77777777" w:rsidR="00216854" w:rsidRPr="00D326F8" w:rsidRDefault="003E23E4" w:rsidP="0057019A">
            <w:pPr>
              <w:keepLines/>
              <w:numPr>
                <w:ilvl w:val="0"/>
                <w:numId w:val="25"/>
              </w:numPr>
              <w:spacing w:before="20" w:after="20"/>
              <w:jc w:val="left"/>
              <w:rPr>
                <w:rFonts w:ascii="Arial" w:hAnsi="Arial"/>
                <w:sz w:val="18"/>
              </w:rPr>
            </w:pPr>
            <w:r w:rsidRPr="00D326F8">
              <w:rPr>
                <w:rFonts w:ascii="Arial" w:hAnsi="Arial"/>
                <w:sz w:val="18"/>
              </w:rPr>
              <w:t>Urine drug screen (to include at minimum: amphetamines, methamphetamines, barbiturates, ecstasy, cocaine, opiates, cannabinoids, benzodiazepines, methadone, phencyclidine, oxycodone, and tricyclic antidepressants, Screening and Day -1 / Day 25)</w:t>
            </w:r>
          </w:p>
          <w:p w14:paraId="601A84E1" w14:textId="77777777" w:rsidR="00216854" w:rsidRPr="00D326F8" w:rsidRDefault="003E23E4" w:rsidP="0057019A">
            <w:pPr>
              <w:pStyle w:val="Tablelist"/>
              <w:numPr>
                <w:ilvl w:val="0"/>
                <w:numId w:val="25"/>
              </w:numPr>
              <w:spacing w:before="20" w:after="20"/>
            </w:pPr>
            <w:r w:rsidRPr="00D326F8">
              <w:t>Serology (human immunodeficiency virus I and II antibodies, hepatitis B surface antigen, hepatitis B core antibody, hepatitis C antibody)</w:t>
            </w:r>
          </w:p>
          <w:p w14:paraId="601A84E2" w14:textId="77777777" w:rsidR="00216854" w:rsidRPr="00D326F8" w:rsidRDefault="003E23E4" w:rsidP="0057019A">
            <w:pPr>
              <w:pStyle w:val="Tablelist"/>
              <w:numPr>
                <w:ilvl w:val="0"/>
                <w:numId w:val="25"/>
              </w:numPr>
              <w:spacing w:before="20" w:after="20"/>
            </w:pPr>
            <w:r w:rsidRPr="00D326F8">
              <w:t xml:space="preserve">SARS-CoV-2 </w:t>
            </w:r>
            <w:r w:rsidR="003126E4" w:rsidRPr="00D326F8">
              <w:t xml:space="preserve">rapid antigen </w:t>
            </w:r>
            <w:r w:rsidRPr="00D326F8">
              <w:t xml:space="preserve">test </w:t>
            </w:r>
            <w:r w:rsidR="003126E4" w:rsidRPr="00D326F8">
              <w:t>at</w:t>
            </w:r>
            <w:r w:rsidRPr="00D326F8">
              <w:t xml:space="preserve"> Screening</w:t>
            </w:r>
            <w:r w:rsidR="003126E4" w:rsidRPr="00D326F8">
              <w:t>, PCR test</w:t>
            </w:r>
            <w:r w:rsidR="003A1489" w:rsidRPr="00D326F8">
              <w:t xml:space="preserve"> at admission</w:t>
            </w:r>
            <w:r w:rsidRPr="00D326F8">
              <w:t xml:space="preserve"> </w:t>
            </w:r>
            <w:r w:rsidR="003126E4" w:rsidRPr="00D326F8">
              <w:t>on</w:t>
            </w:r>
            <w:r w:rsidRPr="00D326F8">
              <w:t xml:space="preserve"> Day</w:t>
            </w:r>
            <w:r w:rsidR="003126E4" w:rsidRPr="00D326F8">
              <w:t> </w:t>
            </w:r>
            <w:r w:rsidRPr="00D326F8">
              <w:t xml:space="preserve">-1 </w:t>
            </w:r>
          </w:p>
          <w:p w14:paraId="601A84E3" w14:textId="661CC2AD" w:rsidR="00966885" w:rsidRPr="00D326F8" w:rsidRDefault="003E23E4" w:rsidP="00092205">
            <w:pPr>
              <w:keepLines/>
              <w:numPr>
                <w:ilvl w:val="0"/>
                <w:numId w:val="6"/>
              </w:numPr>
              <w:spacing w:before="20" w:after="20"/>
              <w:jc w:val="left"/>
              <w:rPr>
                <w:rFonts w:ascii="Arial" w:hAnsi="Arial"/>
                <w:sz w:val="18"/>
              </w:rPr>
            </w:pPr>
            <w:r w:rsidRPr="00D326F8">
              <w:rPr>
                <w:rFonts w:ascii="Arial" w:hAnsi="Arial"/>
                <w:sz w:val="18"/>
              </w:rPr>
              <w:t>Thyroid stimulating hormone</w:t>
            </w:r>
            <w:r w:rsidR="006B128C" w:rsidRPr="00D326F8">
              <w:rPr>
                <w:rFonts w:ascii="Arial" w:hAnsi="Arial"/>
                <w:sz w:val="18"/>
              </w:rPr>
              <w:t>, thyroxine</w:t>
            </w:r>
          </w:p>
          <w:p w14:paraId="601A84E4" w14:textId="77777777" w:rsidR="00216854" w:rsidRPr="00D326F8" w:rsidRDefault="003E23E4" w:rsidP="0057019A">
            <w:pPr>
              <w:keepLines/>
              <w:numPr>
                <w:ilvl w:val="0"/>
                <w:numId w:val="25"/>
              </w:numPr>
              <w:spacing w:before="20" w:after="20"/>
              <w:jc w:val="left"/>
              <w:rPr>
                <w:rFonts w:ascii="Arial" w:hAnsi="Arial"/>
                <w:sz w:val="18"/>
              </w:rPr>
            </w:pPr>
            <w:r w:rsidRPr="00D326F8">
              <w:rPr>
                <w:rFonts w:ascii="Arial" w:hAnsi="Arial"/>
                <w:sz w:val="18"/>
              </w:rPr>
              <w:t xml:space="preserve">Cotinine test (Screening and Day -1 / Day 25) </w:t>
            </w:r>
          </w:p>
          <w:p w14:paraId="601A84E5" w14:textId="77777777" w:rsidR="00216854" w:rsidRPr="00D326F8" w:rsidRDefault="003E23E4" w:rsidP="0057019A">
            <w:pPr>
              <w:keepLines/>
              <w:numPr>
                <w:ilvl w:val="0"/>
                <w:numId w:val="25"/>
              </w:numPr>
              <w:spacing w:before="20" w:after="20"/>
              <w:jc w:val="left"/>
              <w:rPr>
                <w:rFonts w:ascii="Arial" w:hAnsi="Arial"/>
                <w:sz w:val="18"/>
              </w:rPr>
            </w:pPr>
            <w:r w:rsidRPr="00D326F8">
              <w:rPr>
                <w:rFonts w:ascii="Arial" w:hAnsi="Arial"/>
                <w:sz w:val="18"/>
              </w:rPr>
              <w:t xml:space="preserve">Alcohol breath test (Screening and Day -1 / Day 25) </w:t>
            </w:r>
          </w:p>
          <w:p w14:paraId="601A84E6" w14:textId="77777777" w:rsidR="00216854" w:rsidRPr="00D326F8" w:rsidRDefault="003E23E4" w:rsidP="0057019A">
            <w:pPr>
              <w:pStyle w:val="Tablelist"/>
              <w:numPr>
                <w:ilvl w:val="0"/>
                <w:numId w:val="25"/>
              </w:numPr>
              <w:spacing w:before="20" w:after="20"/>
            </w:pPr>
            <w:r w:rsidRPr="00D326F8">
              <w:t>Estimated Glomerular Filtration Rate based on Chronic Kidney Disease Epidemiology Collaboration Creatinine Equation (2009)</w:t>
            </w:r>
          </w:p>
          <w:p w14:paraId="601A84E7" w14:textId="77777777" w:rsidR="00216854" w:rsidRPr="00D326F8" w:rsidRDefault="003E23E4" w:rsidP="0057019A">
            <w:pPr>
              <w:pStyle w:val="Tablelist"/>
              <w:numPr>
                <w:ilvl w:val="0"/>
                <w:numId w:val="25"/>
              </w:numPr>
              <w:spacing w:before="20" w:after="20"/>
            </w:pPr>
            <w:bookmarkStart w:id="347" w:name="_Hlk76476552"/>
            <w:r w:rsidRPr="00D326F8">
              <w:t xml:space="preserve">Presence of </w:t>
            </w:r>
            <w:bookmarkStart w:id="348" w:name="_Hlk75809813"/>
            <w:r w:rsidRPr="00D326F8">
              <w:t>HLA-B* 1502 or HLA-A* 3101 (Screening</w:t>
            </w:r>
            <w:bookmarkEnd w:id="347"/>
            <w:bookmarkEnd w:id="348"/>
            <w:r w:rsidRPr="00D326F8">
              <w:t>)</w:t>
            </w:r>
          </w:p>
          <w:p w14:paraId="601A84E8" w14:textId="77777777" w:rsidR="00216854" w:rsidRPr="00D326F8" w:rsidRDefault="003E23E4" w:rsidP="0057019A">
            <w:pPr>
              <w:pStyle w:val="Tablelist"/>
              <w:numPr>
                <w:ilvl w:val="0"/>
                <w:numId w:val="25"/>
              </w:numPr>
              <w:spacing w:before="20" w:after="20"/>
            </w:pPr>
            <w:r w:rsidRPr="00D326F8">
              <w:t>All study-required laboratory assessments will be performed by a central laboratory (Nuvisan’s clinical laboratory)</w:t>
            </w:r>
            <w:r w:rsidR="001C3A07" w:rsidRPr="00D326F8">
              <w:t xml:space="preserve"> </w:t>
            </w:r>
            <w:bookmarkStart w:id="349" w:name="_Hlk77332992"/>
            <w:r w:rsidR="001C3A07" w:rsidRPr="00D326F8">
              <w:t xml:space="preserve">apart from </w:t>
            </w:r>
            <w:r w:rsidR="0040364C" w:rsidRPr="00D326F8">
              <w:t>analysis</w:t>
            </w:r>
            <w:r w:rsidR="001C3A07" w:rsidRPr="00D326F8">
              <w:t xml:space="preserve"> of HLA-B*</w:t>
            </w:r>
            <w:r w:rsidR="00176A88" w:rsidRPr="00D326F8">
              <w:t> </w:t>
            </w:r>
            <w:r w:rsidR="001C3A07" w:rsidRPr="00D326F8">
              <w:t>1502 or HLA-A*</w:t>
            </w:r>
            <w:r w:rsidR="00176A88" w:rsidRPr="00D326F8">
              <w:t> </w:t>
            </w:r>
            <w:r w:rsidR="001C3A07" w:rsidRPr="00D326F8">
              <w:t>3101</w:t>
            </w:r>
            <w:r w:rsidR="002F1924" w:rsidRPr="00D326F8">
              <w:t xml:space="preserve"> which will be performed by </w:t>
            </w:r>
            <w:proofErr w:type="spellStart"/>
            <w:r w:rsidR="0024638A" w:rsidRPr="00D326F8">
              <w:t>Labcorp</w:t>
            </w:r>
            <w:proofErr w:type="spellEnd"/>
            <w:r w:rsidR="0024638A" w:rsidRPr="00D326F8">
              <w:t>/Covance or another vendor with similar capabilities</w:t>
            </w:r>
            <w:bookmarkEnd w:id="349"/>
            <w:r w:rsidRPr="00D326F8">
              <w:t>.</w:t>
            </w:r>
          </w:p>
        </w:tc>
      </w:tr>
      <w:tr w:rsidR="003B74AE" w:rsidRPr="00D326F8" w14:paraId="601A84EB" w14:textId="77777777" w:rsidTr="002F32DE">
        <w:tc>
          <w:tcPr>
            <w:tcW w:w="9322" w:type="dxa"/>
            <w:gridSpan w:val="5"/>
            <w:tcBorders>
              <w:top w:val="single" w:sz="4" w:space="0" w:color="auto"/>
              <w:left w:val="nil"/>
              <w:bottom w:val="nil"/>
              <w:right w:val="nil"/>
            </w:tcBorders>
          </w:tcPr>
          <w:p w14:paraId="601A84EA" w14:textId="77777777" w:rsidR="002F32DE" w:rsidRPr="00D326F8" w:rsidRDefault="003E23E4" w:rsidP="00092205">
            <w:pPr>
              <w:pStyle w:val="Tablefootnote"/>
              <w:spacing w:before="20" w:after="20"/>
            </w:pPr>
            <w:proofErr w:type="spellStart"/>
            <w:r w:rsidRPr="00D326F8">
              <w:t>aPTT</w:t>
            </w:r>
            <w:proofErr w:type="spellEnd"/>
            <w:r w:rsidRPr="00D326F8">
              <w:t xml:space="preserve">= activated partial thromboplastin </w:t>
            </w:r>
            <w:proofErr w:type="spellStart"/>
            <w:proofErr w:type="gramStart"/>
            <w:r w:rsidRPr="00D326F8">
              <w:t>time,FSH</w:t>
            </w:r>
            <w:proofErr w:type="spellEnd"/>
            <w:proofErr w:type="gramEnd"/>
            <w:r w:rsidRPr="00D326F8">
              <w:t xml:space="preserve">=follicle stimulating hormone, </w:t>
            </w:r>
            <w:proofErr w:type="spellStart"/>
            <w:r w:rsidRPr="00D326F8">
              <w:t>hCG</w:t>
            </w:r>
            <w:proofErr w:type="spellEnd"/>
            <w:r w:rsidRPr="00D326F8">
              <w:t>=human chorionic gonadotropin, INR=International Normalized Ratio, PCR=polymerase chain reaction, SARS-CoV-2=severe acute respiratory syndrome coronavirus 2 , WOCBP=woman of child bearing potential.</w:t>
            </w:r>
          </w:p>
        </w:tc>
      </w:tr>
    </w:tbl>
    <w:p w14:paraId="601A84EC" w14:textId="77777777" w:rsidR="005971DC" w:rsidRPr="00D326F8" w:rsidRDefault="003E23E4" w:rsidP="009D064C">
      <w:pPr>
        <w:pStyle w:val="Heading1"/>
        <w:pageBreakBefore/>
        <w:numPr>
          <w:ilvl w:val="0"/>
          <w:numId w:val="0"/>
        </w:numPr>
        <w:tabs>
          <w:tab w:val="left" w:pos="1985"/>
        </w:tabs>
      </w:pPr>
      <w:bookmarkStart w:id="350" w:name="_Appendix_6_Pharmacogenetics"/>
      <w:bookmarkStart w:id="351" w:name="_Toc77839796"/>
      <w:bookmarkStart w:id="352" w:name="_Hlk514423725"/>
      <w:bookmarkEnd w:id="344"/>
      <w:bookmarkEnd w:id="350"/>
      <w:r w:rsidRPr="00D326F8">
        <w:lastRenderedPageBreak/>
        <w:t xml:space="preserve">Appendix </w:t>
      </w:r>
      <w:r w:rsidR="000668AC" w:rsidRPr="00D326F8">
        <w:t>6</w:t>
      </w:r>
      <w:r w:rsidRPr="00D326F8">
        <w:tab/>
      </w:r>
      <w:r w:rsidR="000668AC" w:rsidRPr="00D326F8">
        <w:t>Pharmacogenetics</w:t>
      </w:r>
      <w:bookmarkEnd w:id="351"/>
    </w:p>
    <w:p w14:paraId="601A84ED" w14:textId="77777777" w:rsidR="005971DC" w:rsidRPr="00D326F8" w:rsidRDefault="003E23E4" w:rsidP="000668AC">
      <w:pPr>
        <w:pStyle w:val="List1withoutbullet"/>
        <w:ind w:left="0"/>
        <w:rPr>
          <w:b/>
          <w:bCs/>
        </w:rPr>
      </w:pPr>
      <w:r w:rsidRPr="00D326F8">
        <w:rPr>
          <w:b/>
          <w:bCs/>
        </w:rPr>
        <w:t>Use/Analysis of DNA</w:t>
      </w:r>
    </w:p>
    <w:p w14:paraId="601A84EE" w14:textId="77777777" w:rsidR="005971DC" w:rsidRPr="00D326F8" w:rsidRDefault="003E23E4" w:rsidP="00D45C6F">
      <w:pPr>
        <w:pStyle w:val="List1withbullet"/>
        <w:ind w:left="357" w:hanging="357"/>
      </w:pPr>
      <w:r w:rsidRPr="00D326F8">
        <w:t xml:space="preserve">Genetic variation may impact a participant’s response to therapy, susceptibility to, and severity and progression of disease. Variable response to therapy may be due to genetic determinants that impact </w:t>
      </w:r>
      <w:r w:rsidR="00913373" w:rsidRPr="00D326F8">
        <w:rPr>
          <w:lang w:val="en-GB"/>
        </w:rPr>
        <w:t>study intervention</w:t>
      </w:r>
      <w:r w:rsidRPr="00D326F8">
        <w:t xml:space="preserve"> absorption, distribution, metabolism, and excretion; mechanism of action of the </w:t>
      </w:r>
      <w:r w:rsidR="00913373" w:rsidRPr="00D326F8">
        <w:rPr>
          <w:lang w:val="en-GB"/>
        </w:rPr>
        <w:t>study intervention</w:t>
      </w:r>
      <w:r w:rsidRPr="00D326F8">
        <w:t>; disease etiology; and/or molecular subtype of the disease being treated.</w:t>
      </w:r>
    </w:p>
    <w:p w14:paraId="601A84EF" w14:textId="77777777" w:rsidR="005971DC" w:rsidRPr="00D326F8" w:rsidRDefault="003E23E4" w:rsidP="00D45C6F">
      <w:pPr>
        <w:pStyle w:val="List1withbullet"/>
        <w:ind w:left="357" w:hanging="357"/>
      </w:pPr>
      <w:r w:rsidRPr="00D326F8">
        <w:t xml:space="preserve">DNA samples will be analyzed for </w:t>
      </w:r>
      <w:r w:rsidR="00396B89" w:rsidRPr="00D326F8">
        <w:t>to gain a better understanding of the effect of pharmacogenetics and variations of associated genes on the PK of tepotinib (if applicable). The pharmacogenetic samples will be analyzed conditionally in case of unexpected PK profiles.</w:t>
      </w:r>
      <w:r w:rsidRPr="00D326F8">
        <w:t xml:space="preserve"> Additional analyses may be conducted if it is hypothesized that this may help further understand the clinical data.</w:t>
      </w:r>
    </w:p>
    <w:p w14:paraId="601A84F0" w14:textId="0C8D313C" w:rsidR="005971DC" w:rsidRPr="00D326F8" w:rsidRDefault="003E23E4" w:rsidP="00D45C6F">
      <w:pPr>
        <w:pStyle w:val="List1withbullet"/>
        <w:ind w:left="357" w:hanging="357"/>
      </w:pPr>
      <w:r w:rsidRPr="00D326F8">
        <w:t xml:space="preserve">In addition, DNA samples will be used for research </w:t>
      </w:r>
      <w:r w:rsidR="00396B89" w:rsidRPr="00D326F8">
        <w:t>for example to further investigate</w:t>
      </w:r>
      <w:r w:rsidRPr="00D326F8">
        <w:t xml:space="preserve"> </w:t>
      </w:r>
      <w:proofErr w:type="spellStart"/>
      <w:r w:rsidR="000668AC" w:rsidRPr="00D326F8">
        <w:t>tepotinib</w:t>
      </w:r>
      <w:r w:rsidR="00396B89" w:rsidRPr="00D326F8">
        <w:t>’s</w:t>
      </w:r>
      <w:proofErr w:type="spellEnd"/>
      <w:r w:rsidR="00396B89" w:rsidRPr="00D326F8">
        <w:t xml:space="preserve"> mechanism of action (if applicable)</w:t>
      </w:r>
      <w:r w:rsidRPr="00D326F8">
        <w:t xml:space="preserve">. They may also be used to develop tests or assays, including diagnostic tests related to. </w:t>
      </w:r>
      <w:r w:rsidR="000668AC" w:rsidRPr="00D326F8">
        <w:t>P</w:t>
      </w:r>
      <w:r w:rsidR="0024645E" w:rsidRPr="00D326F8">
        <w:t>harmacogen</w:t>
      </w:r>
      <w:r w:rsidR="000668AC" w:rsidRPr="00D326F8">
        <w:t>etics</w:t>
      </w:r>
      <w:r w:rsidRPr="00D326F8">
        <w:t xml:space="preserve"> research may consist of the analysis of </w:t>
      </w:r>
      <w:r w:rsidR="006D695D" w:rsidRPr="00D326F8">
        <w:t>1 </w:t>
      </w:r>
      <w:r w:rsidRPr="00D326F8">
        <w:t>or more candidate genes or the analysis of genetic markers throughout the genome (as appropriate).</w:t>
      </w:r>
      <w:r w:rsidR="00396B89" w:rsidRPr="00D326F8">
        <w:t xml:space="preserve"> No whole genome sequencing is planned.</w:t>
      </w:r>
    </w:p>
    <w:p w14:paraId="601A84F1" w14:textId="77777777" w:rsidR="005971DC" w:rsidRPr="00D326F8" w:rsidRDefault="003E23E4" w:rsidP="00D45C6F">
      <w:pPr>
        <w:pStyle w:val="List1withbullet"/>
        <w:ind w:left="357" w:hanging="357"/>
      </w:pPr>
      <w:r w:rsidRPr="00D326F8">
        <w:t xml:space="preserve">The results of </w:t>
      </w:r>
      <w:r w:rsidR="0024645E" w:rsidRPr="00D326F8">
        <w:t>pharmacoge</w:t>
      </w:r>
      <w:r w:rsidR="000668AC" w:rsidRPr="00D326F8">
        <w:t>netic</w:t>
      </w:r>
      <w:r w:rsidR="0024645E" w:rsidRPr="00D326F8">
        <w:rPr>
          <w:color w:val="0070C0"/>
        </w:rPr>
        <w:t xml:space="preserve"> </w:t>
      </w:r>
      <w:r w:rsidRPr="00D326F8">
        <w:t>analyses may be reported in the CSR or in a separate study summary.</w:t>
      </w:r>
    </w:p>
    <w:p w14:paraId="601A84F2" w14:textId="77777777" w:rsidR="005971DC" w:rsidRPr="00D326F8" w:rsidRDefault="003E23E4" w:rsidP="00D45C6F">
      <w:pPr>
        <w:pStyle w:val="List1withbullet"/>
        <w:ind w:left="357" w:hanging="357"/>
      </w:pPr>
      <w:r w:rsidRPr="00D326F8">
        <w:t xml:space="preserve">Details on processes for collection and shipment of these samples can be found in </w:t>
      </w:r>
      <w:r w:rsidR="000668AC" w:rsidRPr="00D326F8">
        <w:t>the Laboratory Manual</w:t>
      </w:r>
      <w:r w:rsidRPr="00D326F8">
        <w:t>.</w:t>
      </w:r>
      <w:r w:rsidR="00925E6B" w:rsidRPr="00D326F8">
        <w:t xml:space="preserve"> </w:t>
      </w:r>
      <w:r w:rsidRPr="00D326F8">
        <w:t>The Sponsor will store the DNA samples in a secure storage space with adequate measures to protect confidentiality.</w:t>
      </w:r>
    </w:p>
    <w:p w14:paraId="601A84F3" w14:textId="77777777" w:rsidR="005971DC" w:rsidRPr="00D326F8" w:rsidRDefault="003E23E4" w:rsidP="00D45C6F">
      <w:pPr>
        <w:pStyle w:val="List1withbullet"/>
        <w:ind w:left="357" w:hanging="357"/>
      </w:pPr>
      <w:r w:rsidRPr="00D326F8">
        <w:t>Retention time and possible analysis of DNA sample after the study ends are specified in the respective ICF.</w:t>
      </w:r>
    </w:p>
    <w:p w14:paraId="601A84F4" w14:textId="77777777" w:rsidR="00FD729D" w:rsidRPr="00D326F8" w:rsidRDefault="003E23E4" w:rsidP="000668AC">
      <w:pPr>
        <w:pStyle w:val="Heading1"/>
        <w:pageBreakBefore/>
        <w:numPr>
          <w:ilvl w:val="0"/>
          <w:numId w:val="0"/>
        </w:numPr>
        <w:tabs>
          <w:tab w:val="left" w:pos="1985"/>
        </w:tabs>
      </w:pPr>
      <w:bookmarkStart w:id="353" w:name="_Toc77839797"/>
      <w:bookmarkEnd w:id="352"/>
      <w:r w:rsidRPr="00D326F8">
        <w:lastRenderedPageBreak/>
        <w:t xml:space="preserve">Appendix </w:t>
      </w:r>
      <w:r w:rsidR="000668AC" w:rsidRPr="00D326F8">
        <w:t>7</w:t>
      </w:r>
      <w:r w:rsidRPr="00D326F8">
        <w:tab/>
        <w:t>Sponsor Signature Page</w:t>
      </w:r>
      <w:bookmarkEnd w:id="353"/>
    </w:p>
    <w:p w14:paraId="601A84F5" w14:textId="77777777" w:rsidR="000668AC" w:rsidRPr="00D326F8" w:rsidRDefault="000668AC" w:rsidP="000668AC">
      <w:pPr>
        <w:pStyle w:val="BodyText"/>
      </w:pPr>
    </w:p>
    <w:tbl>
      <w:tblPr>
        <w:tblW w:w="0" w:type="auto"/>
        <w:tblLook w:val="04A0" w:firstRow="1" w:lastRow="0" w:firstColumn="1" w:lastColumn="0" w:noHBand="0" w:noVBand="1"/>
      </w:tblPr>
      <w:tblGrid>
        <w:gridCol w:w="3548"/>
        <w:gridCol w:w="5634"/>
      </w:tblGrid>
      <w:tr w:rsidR="003B74AE" w:rsidRPr="00D326F8" w14:paraId="601A84F8" w14:textId="77777777" w:rsidTr="00E7225E">
        <w:tc>
          <w:tcPr>
            <w:tcW w:w="3548" w:type="dxa"/>
          </w:tcPr>
          <w:p w14:paraId="601A84F6" w14:textId="77777777" w:rsidR="00FD729D" w:rsidRPr="00D326F8" w:rsidRDefault="003E23E4" w:rsidP="00FD729D">
            <w:pPr>
              <w:pStyle w:val="BodyText"/>
              <w:spacing w:before="120"/>
              <w:rPr>
                <w:b/>
              </w:rPr>
            </w:pPr>
            <w:r w:rsidRPr="00D326F8">
              <w:rPr>
                <w:b/>
              </w:rPr>
              <w:t>Study Title:</w:t>
            </w:r>
          </w:p>
        </w:tc>
        <w:tc>
          <w:tcPr>
            <w:tcW w:w="5634" w:type="dxa"/>
          </w:tcPr>
          <w:p w14:paraId="601A84F7" w14:textId="77777777" w:rsidR="00FD729D" w:rsidRPr="00D326F8" w:rsidRDefault="003E23E4" w:rsidP="00FD729D">
            <w:pPr>
              <w:pStyle w:val="BodyText"/>
              <w:spacing w:before="120"/>
              <w:rPr>
                <w:color w:val="0070C0"/>
              </w:rPr>
            </w:pPr>
            <w:r w:rsidRPr="00D326F8">
              <w:t>Phase I, Open-Label, Single-sequence, Cross-Over Study of the Effect of Multiple Doses of Carbamazepine on Single-Dose Tepotinib Pharmacokinetics in Healthy Participants</w:t>
            </w:r>
          </w:p>
        </w:tc>
      </w:tr>
      <w:tr w:rsidR="003B74AE" w:rsidRPr="00D326F8" w14:paraId="601A84FB" w14:textId="77777777" w:rsidTr="00E7225E">
        <w:tc>
          <w:tcPr>
            <w:tcW w:w="3548" w:type="dxa"/>
          </w:tcPr>
          <w:p w14:paraId="601A84F9" w14:textId="77777777" w:rsidR="00E7225E" w:rsidRPr="00D326F8" w:rsidRDefault="003E23E4" w:rsidP="00E7225E">
            <w:pPr>
              <w:pStyle w:val="BodyText"/>
              <w:spacing w:before="120"/>
              <w:rPr>
                <w:b/>
              </w:rPr>
            </w:pPr>
            <w:r w:rsidRPr="00D326F8">
              <w:rPr>
                <w:b/>
              </w:rPr>
              <w:t>Regulatory Agency Identifying Numbers:</w:t>
            </w:r>
          </w:p>
        </w:tc>
        <w:tc>
          <w:tcPr>
            <w:tcW w:w="5634" w:type="dxa"/>
          </w:tcPr>
          <w:p w14:paraId="601A84FA" w14:textId="77777777" w:rsidR="00E7225E" w:rsidRPr="00D326F8" w:rsidRDefault="003E23E4" w:rsidP="00E7225E">
            <w:pPr>
              <w:pStyle w:val="BodyText"/>
              <w:spacing w:before="120"/>
            </w:pPr>
            <w:r w:rsidRPr="00D326F8">
              <w:t>EudraCT:</w:t>
            </w:r>
            <w:r w:rsidR="00524617" w:rsidRPr="00D326F8">
              <w:t xml:space="preserve"> 2021-003546-20</w:t>
            </w:r>
          </w:p>
        </w:tc>
      </w:tr>
      <w:tr w:rsidR="003B74AE" w:rsidRPr="00D326F8" w14:paraId="601A84FE" w14:textId="77777777" w:rsidTr="00E7225E">
        <w:tc>
          <w:tcPr>
            <w:tcW w:w="3548" w:type="dxa"/>
          </w:tcPr>
          <w:p w14:paraId="601A84FC" w14:textId="77777777" w:rsidR="00E7225E" w:rsidRPr="00D326F8" w:rsidRDefault="003E23E4" w:rsidP="00E7225E">
            <w:pPr>
              <w:pStyle w:val="BodyText"/>
              <w:spacing w:before="120"/>
              <w:rPr>
                <w:b/>
              </w:rPr>
            </w:pPr>
            <w:r w:rsidRPr="00D326F8">
              <w:rPr>
                <w:b/>
              </w:rPr>
              <w:t>Clinical Study Protocol Version:</w:t>
            </w:r>
          </w:p>
        </w:tc>
        <w:tc>
          <w:tcPr>
            <w:tcW w:w="5634" w:type="dxa"/>
          </w:tcPr>
          <w:p w14:paraId="601A84FD" w14:textId="3670E400" w:rsidR="00E7225E" w:rsidRPr="00D326F8" w:rsidRDefault="00D45C6F" w:rsidP="00E7225E">
            <w:pPr>
              <w:pStyle w:val="BodyText"/>
              <w:spacing w:before="120"/>
            </w:pPr>
            <w:r w:rsidRPr="00D326F8">
              <w:t>2</w:t>
            </w:r>
            <w:r w:rsidR="009132AF">
              <w:t>2</w:t>
            </w:r>
            <w:r w:rsidRPr="00D326F8">
              <w:t> July </w:t>
            </w:r>
            <w:r w:rsidR="00A1743D" w:rsidRPr="00D326F8">
              <w:t>2021</w:t>
            </w:r>
          </w:p>
        </w:tc>
      </w:tr>
    </w:tbl>
    <w:p w14:paraId="601A84FF" w14:textId="77777777" w:rsidR="00FD729D" w:rsidRPr="00D326F8" w:rsidRDefault="003E23E4" w:rsidP="00EE35C8">
      <w:pPr>
        <w:pStyle w:val="BodyText"/>
      </w:pPr>
      <w:r w:rsidRPr="00D326F8">
        <w:t>I approve the design of the clinical study:</w:t>
      </w:r>
    </w:p>
    <w:p w14:paraId="601A8500" w14:textId="77777777" w:rsidR="00FD729D" w:rsidRPr="00D326F8" w:rsidRDefault="003E23E4" w:rsidP="00843663">
      <w:pPr>
        <w:pStyle w:val="BodyText"/>
        <w:tabs>
          <w:tab w:val="left" w:pos="5387"/>
        </w:tabs>
      </w:pPr>
      <w:r w:rsidRPr="00D326F8">
        <w:t>____________________________________</w:t>
      </w:r>
      <w:r w:rsidRPr="00D326F8">
        <w:tab/>
        <w:t>____________________________</w:t>
      </w:r>
    </w:p>
    <w:p w14:paraId="601A8501" w14:textId="77777777" w:rsidR="00FD729D" w:rsidRPr="00D326F8" w:rsidRDefault="003E23E4" w:rsidP="00FD729D">
      <w:pPr>
        <w:pStyle w:val="BodyText"/>
        <w:tabs>
          <w:tab w:val="left" w:pos="5670"/>
        </w:tabs>
        <w:spacing w:before="120"/>
      </w:pPr>
      <w:r w:rsidRPr="00D326F8">
        <w:t>Signature</w:t>
      </w:r>
      <w:r w:rsidRPr="00D326F8">
        <w:tab/>
        <w:t>Date of Signature</w:t>
      </w:r>
    </w:p>
    <w:p w14:paraId="601A8502" w14:textId="77777777" w:rsidR="00FD729D" w:rsidRPr="00D326F8" w:rsidRDefault="00FD729D" w:rsidP="00FD729D">
      <w:pPr>
        <w:pStyle w:val="BodyText"/>
        <w:tabs>
          <w:tab w:val="left" w:pos="5670"/>
        </w:tabs>
      </w:pPr>
    </w:p>
    <w:tbl>
      <w:tblPr>
        <w:tblW w:w="0" w:type="auto"/>
        <w:tblLook w:val="04A0" w:firstRow="1" w:lastRow="0" w:firstColumn="1" w:lastColumn="0" w:noHBand="0" w:noVBand="1"/>
      </w:tblPr>
      <w:tblGrid>
        <w:gridCol w:w="3025"/>
        <w:gridCol w:w="6157"/>
      </w:tblGrid>
      <w:tr w:rsidR="003B74AE" w:rsidRPr="00D326F8" w14:paraId="601A8505" w14:textId="77777777" w:rsidTr="00CC6255">
        <w:tc>
          <w:tcPr>
            <w:tcW w:w="3025" w:type="dxa"/>
          </w:tcPr>
          <w:p w14:paraId="601A8503" w14:textId="77777777" w:rsidR="008C585D" w:rsidRPr="00D326F8" w:rsidRDefault="003E23E4" w:rsidP="00E574DD">
            <w:pPr>
              <w:pStyle w:val="BodyText"/>
              <w:spacing w:before="120"/>
              <w:rPr>
                <w:b/>
              </w:rPr>
            </w:pPr>
            <w:r w:rsidRPr="00D326F8">
              <w:rPr>
                <w:b/>
              </w:rPr>
              <w:t>Name, academic degree:</w:t>
            </w:r>
          </w:p>
        </w:tc>
        <w:tc>
          <w:tcPr>
            <w:tcW w:w="6157" w:type="dxa"/>
          </w:tcPr>
          <w:p w14:paraId="601A8504" w14:textId="77777777" w:rsidR="008C585D" w:rsidRPr="00D326F8" w:rsidRDefault="003E23E4" w:rsidP="008C585D">
            <w:pPr>
              <w:pStyle w:val="BodyText"/>
              <w:spacing w:before="120"/>
            </w:pPr>
            <w:r w:rsidRPr="00D326F8">
              <w:t>Matthias B</w:t>
            </w:r>
            <w:r w:rsidR="000F08DF" w:rsidRPr="00D326F8">
              <w:t>oe</w:t>
            </w:r>
            <w:r w:rsidRPr="00D326F8">
              <w:t xml:space="preserve">dding, Prof. Dr. med. Dr. </w:t>
            </w:r>
            <w:proofErr w:type="spellStart"/>
            <w:r w:rsidRPr="00D326F8">
              <w:t>rer</w:t>
            </w:r>
            <w:proofErr w:type="spellEnd"/>
            <w:r w:rsidRPr="00D326F8">
              <w:t>. nat.</w:t>
            </w:r>
          </w:p>
        </w:tc>
      </w:tr>
      <w:tr w:rsidR="003B74AE" w:rsidRPr="00D326F8" w14:paraId="601A8508" w14:textId="77777777" w:rsidTr="00CC6255">
        <w:tc>
          <w:tcPr>
            <w:tcW w:w="3025" w:type="dxa"/>
          </w:tcPr>
          <w:p w14:paraId="601A8506" w14:textId="77777777" w:rsidR="008C585D" w:rsidRPr="00D326F8" w:rsidRDefault="003E23E4" w:rsidP="00E574DD">
            <w:pPr>
              <w:pStyle w:val="BodyText"/>
              <w:spacing w:before="120"/>
              <w:rPr>
                <w:b/>
              </w:rPr>
            </w:pPr>
            <w:r w:rsidRPr="00D326F8">
              <w:rPr>
                <w:b/>
              </w:rPr>
              <w:t>Function/Title:</w:t>
            </w:r>
          </w:p>
        </w:tc>
        <w:tc>
          <w:tcPr>
            <w:tcW w:w="6157" w:type="dxa"/>
          </w:tcPr>
          <w:p w14:paraId="601A8507" w14:textId="77777777" w:rsidR="008C585D" w:rsidRPr="00D326F8" w:rsidRDefault="003E23E4" w:rsidP="00E574DD">
            <w:pPr>
              <w:pStyle w:val="BodyText"/>
              <w:spacing w:before="120"/>
            </w:pPr>
            <w:r w:rsidRPr="00D326F8">
              <w:t>Medical Responsible and Protocol Lead</w:t>
            </w:r>
          </w:p>
        </w:tc>
      </w:tr>
      <w:tr w:rsidR="003B74AE" w:rsidRPr="00D326F8" w14:paraId="601A850B" w14:textId="77777777" w:rsidTr="00CC6255">
        <w:tc>
          <w:tcPr>
            <w:tcW w:w="3025" w:type="dxa"/>
          </w:tcPr>
          <w:p w14:paraId="601A8509" w14:textId="77777777" w:rsidR="008C585D" w:rsidRPr="00D326F8" w:rsidRDefault="003E23E4" w:rsidP="00E574DD">
            <w:pPr>
              <w:pStyle w:val="BodyText"/>
              <w:spacing w:before="120"/>
              <w:rPr>
                <w:b/>
              </w:rPr>
            </w:pPr>
            <w:r w:rsidRPr="00D326F8">
              <w:rPr>
                <w:b/>
              </w:rPr>
              <w:t>Institution:</w:t>
            </w:r>
          </w:p>
        </w:tc>
        <w:tc>
          <w:tcPr>
            <w:tcW w:w="6157" w:type="dxa"/>
          </w:tcPr>
          <w:p w14:paraId="601A850A" w14:textId="77777777" w:rsidR="008C585D" w:rsidRPr="00D326F8" w:rsidRDefault="003E23E4" w:rsidP="00E574DD">
            <w:pPr>
              <w:pStyle w:val="BodyText"/>
              <w:spacing w:before="120"/>
            </w:pPr>
            <w:r w:rsidRPr="00D326F8">
              <w:t xml:space="preserve">Merck Healthcare </w:t>
            </w:r>
            <w:proofErr w:type="spellStart"/>
            <w:r w:rsidRPr="00D326F8">
              <w:t>KGaA</w:t>
            </w:r>
            <w:proofErr w:type="spellEnd"/>
            <w:r w:rsidRPr="00D326F8">
              <w:t xml:space="preserve">, Darmstadt, Germany an affiliate of Merck </w:t>
            </w:r>
            <w:proofErr w:type="spellStart"/>
            <w:r w:rsidRPr="00D326F8">
              <w:t>KGaA</w:t>
            </w:r>
            <w:proofErr w:type="spellEnd"/>
            <w:r w:rsidRPr="00D326F8">
              <w:t>, Darmstadt, Germany</w:t>
            </w:r>
          </w:p>
        </w:tc>
      </w:tr>
      <w:tr w:rsidR="003B74AE" w:rsidRPr="00D326F8" w14:paraId="601A850F" w14:textId="77777777" w:rsidTr="00CC6255">
        <w:tc>
          <w:tcPr>
            <w:tcW w:w="3025" w:type="dxa"/>
          </w:tcPr>
          <w:p w14:paraId="601A850C" w14:textId="77777777" w:rsidR="008C585D" w:rsidRPr="00D326F8" w:rsidRDefault="003E23E4" w:rsidP="00E574DD">
            <w:pPr>
              <w:pStyle w:val="BodyText"/>
              <w:spacing w:before="120"/>
              <w:rPr>
                <w:b/>
              </w:rPr>
            </w:pPr>
            <w:r w:rsidRPr="00D326F8">
              <w:rPr>
                <w:b/>
              </w:rPr>
              <w:t>Address:</w:t>
            </w:r>
          </w:p>
        </w:tc>
        <w:tc>
          <w:tcPr>
            <w:tcW w:w="6157" w:type="dxa"/>
          </w:tcPr>
          <w:p w14:paraId="601A850D" w14:textId="77777777" w:rsidR="00C63F7A" w:rsidRPr="00D326F8" w:rsidRDefault="003E23E4" w:rsidP="00C63F7A">
            <w:pPr>
              <w:pStyle w:val="BodyText"/>
              <w:spacing w:before="120"/>
            </w:pPr>
            <w:r w:rsidRPr="00D326F8">
              <w:t>Frankfurter Str. 250</w:t>
            </w:r>
          </w:p>
          <w:p w14:paraId="601A850E" w14:textId="77777777" w:rsidR="008C585D" w:rsidRPr="00D326F8" w:rsidRDefault="003E23E4" w:rsidP="00C63F7A">
            <w:pPr>
              <w:pStyle w:val="BodyText"/>
              <w:spacing w:before="120"/>
            </w:pPr>
            <w:r w:rsidRPr="00D326F8">
              <w:t>64293 Darmstadt, Germany</w:t>
            </w:r>
          </w:p>
        </w:tc>
      </w:tr>
      <w:tr w:rsidR="003B74AE" w:rsidRPr="00D326F8" w14:paraId="601A8512" w14:textId="77777777" w:rsidTr="00CC6255">
        <w:tc>
          <w:tcPr>
            <w:tcW w:w="3025" w:type="dxa"/>
          </w:tcPr>
          <w:p w14:paraId="601A8510" w14:textId="77777777" w:rsidR="008C585D" w:rsidRPr="00D326F8" w:rsidRDefault="003E23E4" w:rsidP="00E574DD">
            <w:pPr>
              <w:pStyle w:val="BodyText"/>
              <w:spacing w:before="120"/>
              <w:rPr>
                <w:b/>
              </w:rPr>
            </w:pPr>
            <w:r w:rsidRPr="00D326F8">
              <w:rPr>
                <w:b/>
              </w:rPr>
              <w:t>General Merck Phone N</w:t>
            </w:r>
            <w:r w:rsidR="00A55EAE" w:rsidRPr="00D326F8">
              <w:rPr>
                <w:b/>
              </w:rPr>
              <w:t>umber:</w:t>
            </w:r>
          </w:p>
        </w:tc>
        <w:tc>
          <w:tcPr>
            <w:tcW w:w="6157" w:type="dxa"/>
          </w:tcPr>
          <w:p w14:paraId="601A8511" w14:textId="77777777" w:rsidR="008C585D" w:rsidRPr="00D326F8" w:rsidRDefault="003E23E4" w:rsidP="008C585D">
            <w:pPr>
              <w:pStyle w:val="BodyText"/>
              <w:spacing w:before="120"/>
            </w:pPr>
            <w:r w:rsidRPr="00D326F8">
              <w:t>+49 6151 72 0</w:t>
            </w:r>
          </w:p>
        </w:tc>
      </w:tr>
      <w:tr w:rsidR="003B74AE" w:rsidRPr="00D326F8" w14:paraId="601A8515" w14:textId="77777777" w:rsidTr="00CC6255">
        <w:tc>
          <w:tcPr>
            <w:tcW w:w="3025" w:type="dxa"/>
          </w:tcPr>
          <w:p w14:paraId="601A8513" w14:textId="77777777" w:rsidR="008C585D" w:rsidRPr="00D326F8" w:rsidRDefault="003E23E4" w:rsidP="00E574DD">
            <w:pPr>
              <w:pStyle w:val="BodyText"/>
              <w:spacing w:before="120"/>
              <w:rPr>
                <w:b/>
              </w:rPr>
            </w:pPr>
            <w:r w:rsidRPr="00D326F8">
              <w:rPr>
                <w:b/>
              </w:rPr>
              <w:t xml:space="preserve">General Merck </w:t>
            </w:r>
            <w:r w:rsidR="00A55EAE" w:rsidRPr="00D326F8">
              <w:rPr>
                <w:b/>
              </w:rPr>
              <w:t xml:space="preserve">Fax </w:t>
            </w:r>
            <w:r w:rsidRPr="00D326F8">
              <w:rPr>
                <w:b/>
              </w:rPr>
              <w:t>N</w:t>
            </w:r>
            <w:r w:rsidR="00A55EAE" w:rsidRPr="00D326F8">
              <w:rPr>
                <w:b/>
              </w:rPr>
              <w:t>umber:</w:t>
            </w:r>
          </w:p>
        </w:tc>
        <w:tc>
          <w:tcPr>
            <w:tcW w:w="6157" w:type="dxa"/>
          </w:tcPr>
          <w:p w14:paraId="601A8514" w14:textId="77777777" w:rsidR="008C585D" w:rsidRPr="00D326F8" w:rsidRDefault="003E23E4" w:rsidP="00E574DD">
            <w:pPr>
              <w:pStyle w:val="BodyText"/>
              <w:spacing w:before="120"/>
            </w:pPr>
            <w:r w:rsidRPr="00D326F8">
              <w:t>Not Applicable</w:t>
            </w:r>
          </w:p>
        </w:tc>
      </w:tr>
    </w:tbl>
    <w:p w14:paraId="601A8516" w14:textId="77777777" w:rsidR="008C585D" w:rsidRPr="00D326F8" w:rsidRDefault="008C585D" w:rsidP="00FD729D">
      <w:pPr>
        <w:pStyle w:val="BodyText"/>
        <w:tabs>
          <w:tab w:val="left" w:pos="5670"/>
        </w:tabs>
      </w:pPr>
    </w:p>
    <w:p w14:paraId="601A8517" w14:textId="77777777" w:rsidR="00E574DD" w:rsidRPr="00D326F8" w:rsidRDefault="003E23E4" w:rsidP="009D064C">
      <w:pPr>
        <w:pStyle w:val="Heading1"/>
        <w:pageBreakBefore/>
        <w:numPr>
          <w:ilvl w:val="0"/>
          <w:numId w:val="0"/>
        </w:numPr>
        <w:tabs>
          <w:tab w:val="left" w:pos="1985"/>
        </w:tabs>
      </w:pPr>
      <w:bookmarkStart w:id="354" w:name="_Toc77839798"/>
      <w:r w:rsidRPr="00D326F8">
        <w:lastRenderedPageBreak/>
        <w:t xml:space="preserve">Appendix </w:t>
      </w:r>
      <w:r w:rsidR="000668AC" w:rsidRPr="00D326F8">
        <w:t>8</w:t>
      </w:r>
      <w:r w:rsidRPr="00D326F8">
        <w:tab/>
        <w:t>Principal Investigator Signature Page</w:t>
      </w:r>
      <w:bookmarkEnd w:id="354"/>
    </w:p>
    <w:p w14:paraId="601A8518" w14:textId="77777777" w:rsidR="009C6176" w:rsidRPr="00D326F8" w:rsidRDefault="009C6176" w:rsidP="009C6176">
      <w:pPr>
        <w:pStyle w:val="BodyText"/>
        <w:tabs>
          <w:tab w:val="left" w:pos="5670"/>
        </w:tabs>
      </w:pPr>
    </w:p>
    <w:tbl>
      <w:tblPr>
        <w:tblW w:w="0" w:type="auto"/>
        <w:tblLook w:val="04A0" w:firstRow="1" w:lastRow="0" w:firstColumn="1" w:lastColumn="0" w:noHBand="0" w:noVBand="1"/>
      </w:tblPr>
      <w:tblGrid>
        <w:gridCol w:w="3548"/>
        <w:gridCol w:w="5634"/>
      </w:tblGrid>
      <w:tr w:rsidR="003B74AE" w:rsidRPr="00D326F8" w14:paraId="601A851B" w14:textId="77777777" w:rsidTr="00E7225E">
        <w:tc>
          <w:tcPr>
            <w:tcW w:w="3548" w:type="dxa"/>
          </w:tcPr>
          <w:p w14:paraId="601A8519" w14:textId="77777777" w:rsidR="00E574DD" w:rsidRPr="00D326F8" w:rsidRDefault="003E23E4" w:rsidP="00E574DD">
            <w:pPr>
              <w:pStyle w:val="BodyText"/>
              <w:spacing w:before="120"/>
              <w:rPr>
                <w:b/>
              </w:rPr>
            </w:pPr>
            <w:r w:rsidRPr="00D326F8">
              <w:rPr>
                <w:b/>
              </w:rPr>
              <w:t>Study Title:</w:t>
            </w:r>
          </w:p>
        </w:tc>
        <w:tc>
          <w:tcPr>
            <w:tcW w:w="5634" w:type="dxa"/>
          </w:tcPr>
          <w:p w14:paraId="601A851A" w14:textId="77777777" w:rsidR="00E574DD" w:rsidRPr="00D326F8" w:rsidRDefault="003E23E4" w:rsidP="00E574DD">
            <w:pPr>
              <w:pStyle w:val="BodyText"/>
              <w:spacing w:before="120"/>
            </w:pPr>
            <w:r w:rsidRPr="00D326F8">
              <w:t>Phase I, Open-Label, Single-sequence, Cross-Over Study of the Effect of Multiple Doses of Carbamazepine on Single-Dose Tepotinib Pharmacokinetics in Healthy Participants</w:t>
            </w:r>
          </w:p>
        </w:tc>
      </w:tr>
      <w:tr w:rsidR="003B74AE" w:rsidRPr="00D326F8" w14:paraId="601A851E" w14:textId="77777777" w:rsidTr="00E7225E">
        <w:tc>
          <w:tcPr>
            <w:tcW w:w="3548" w:type="dxa"/>
          </w:tcPr>
          <w:p w14:paraId="601A851C" w14:textId="77777777" w:rsidR="00E574DD" w:rsidRPr="00D326F8" w:rsidRDefault="003E23E4" w:rsidP="00E574DD">
            <w:pPr>
              <w:pStyle w:val="BodyText"/>
              <w:spacing w:before="120"/>
              <w:rPr>
                <w:b/>
              </w:rPr>
            </w:pPr>
            <w:r w:rsidRPr="00D326F8">
              <w:rPr>
                <w:b/>
              </w:rPr>
              <w:t>Regulatory Agency Identifying Numbers:</w:t>
            </w:r>
          </w:p>
        </w:tc>
        <w:tc>
          <w:tcPr>
            <w:tcW w:w="5634" w:type="dxa"/>
          </w:tcPr>
          <w:p w14:paraId="601A851D" w14:textId="77777777" w:rsidR="00E574DD" w:rsidRPr="00D326F8" w:rsidRDefault="003E23E4" w:rsidP="00E574DD">
            <w:pPr>
              <w:pStyle w:val="BodyText"/>
              <w:spacing w:before="120"/>
            </w:pPr>
            <w:r w:rsidRPr="00D326F8">
              <w:t>EudraCT:</w:t>
            </w:r>
            <w:r w:rsidR="00524617" w:rsidRPr="00D326F8">
              <w:t xml:space="preserve"> 2021-003546-20</w:t>
            </w:r>
          </w:p>
        </w:tc>
      </w:tr>
      <w:tr w:rsidR="003B74AE" w:rsidRPr="00D326F8" w14:paraId="601A8521" w14:textId="77777777" w:rsidTr="00E7225E">
        <w:tc>
          <w:tcPr>
            <w:tcW w:w="3548" w:type="dxa"/>
          </w:tcPr>
          <w:p w14:paraId="601A851F" w14:textId="77777777" w:rsidR="00E574DD" w:rsidRPr="00D326F8" w:rsidRDefault="003E23E4" w:rsidP="00E574DD">
            <w:pPr>
              <w:pStyle w:val="BodyText"/>
              <w:spacing w:before="120"/>
              <w:rPr>
                <w:b/>
              </w:rPr>
            </w:pPr>
            <w:r w:rsidRPr="00D326F8">
              <w:rPr>
                <w:b/>
              </w:rPr>
              <w:t>Clinical Study Protocol Version:</w:t>
            </w:r>
          </w:p>
        </w:tc>
        <w:tc>
          <w:tcPr>
            <w:tcW w:w="5634" w:type="dxa"/>
          </w:tcPr>
          <w:p w14:paraId="601A8520" w14:textId="0AAE7B27" w:rsidR="00E574DD" w:rsidRPr="00D326F8" w:rsidRDefault="00D45C6F" w:rsidP="00E574DD">
            <w:pPr>
              <w:pStyle w:val="BodyText"/>
              <w:spacing w:before="120"/>
            </w:pPr>
            <w:r w:rsidRPr="00D326F8">
              <w:t>2</w:t>
            </w:r>
            <w:r w:rsidR="009132AF">
              <w:t>2</w:t>
            </w:r>
            <w:r w:rsidRPr="00D326F8">
              <w:t> July </w:t>
            </w:r>
            <w:r w:rsidR="00A1743D" w:rsidRPr="00D326F8">
              <w:t>2021</w:t>
            </w:r>
          </w:p>
        </w:tc>
      </w:tr>
    </w:tbl>
    <w:p w14:paraId="601A8522" w14:textId="77777777" w:rsidR="00E574DD" w:rsidRPr="00D326F8" w:rsidRDefault="003E23E4" w:rsidP="00F43573">
      <w:pPr>
        <w:pStyle w:val="BodyText"/>
        <w:tabs>
          <w:tab w:val="left" w:pos="5670"/>
        </w:tabs>
      </w:pPr>
      <w:r w:rsidRPr="00D326F8">
        <w:t xml:space="preserve">I </w:t>
      </w:r>
      <w:r w:rsidR="00A60F25" w:rsidRPr="00D326F8">
        <w:t xml:space="preserve">approve </w:t>
      </w:r>
      <w:r w:rsidRPr="00D326F8">
        <w:t xml:space="preserve">the design of the clinical study, am responsible for the conduct of the study at this site and understand and will conduct it per the clinical study protocol, any approved protocol amendments, </w:t>
      </w:r>
      <w:r w:rsidR="00000092" w:rsidRPr="00D326F8">
        <w:t>ICH</w:t>
      </w:r>
      <w:r w:rsidRPr="00D326F8">
        <w:t xml:space="preserve"> </w:t>
      </w:r>
      <w:r w:rsidR="00D60B35" w:rsidRPr="00D326F8">
        <w:t>GCP</w:t>
      </w:r>
      <w:r w:rsidRPr="00D326F8">
        <w:t xml:space="preserve"> (Topic E6) and all applicable Health Authority requirements and national laws.</w:t>
      </w:r>
    </w:p>
    <w:p w14:paraId="601A8523" w14:textId="77777777" w:rsidR="00F43573" w:rsidRPr="00D326F8" w:rsidRDefault="00F43573" w:rsidP="00F43573">
      <w:pPr>
        <w:pStyle w:val="BodyText"/>
        <w:tabs>
          <w:tab w:val="left" w:pos="5670"/>
        </w:tabs>
      </w:pPr>
    </w:p>
    <w:p w14:paraId="601A8524" w14:textId="77777777" w:rsidR="00E574DD" w:rsidRPr="00D326F8" w:rsidRDefault="003E23E4" w:rsidP="00843663">
      <w:pPr>
        <w:pStyle w:val="BodyText"/>
        <w:tabs>
          <w:tab w:val="left" w:pos="5387"/>
        </w:tabs>
      </w:pPr>
      <w:r w:rsidRPr="00D326F8">
        <w:t>____________________________________</w:t>
      </w:r>
      <w:r w:rsidRPr="00D326F8">
        <w:tab/>
        <w:t>____________________________</w:t>
      </w:r>
    </w:p>
    <w:p w14:paraId="601A8525" w14:textId="77777777" w:rsidR="00E574DD" w:rsidRPr="00D326F8" w:rsidRDefault="003E23E4" w:rsidP="00E574DD">
      <w:pPr>
        <w:pStyle w:val="BodyText"/>
        <w:tabs>
          <w:tab w:val="left" w:pos="5670"/>
        </w:tabs>
        <w:spacing w:before="120"/>
      </w:pPr>
      <w:r w:rsidRPr="00D326F8">
        <w:t>Signature</w:t>
      </w:r>
      <w:r w:rsidRPr="00D326F8">
        <w:tab/>
        <w:t>Date of Signature</w:t>
      </w:r>
    </w:p>
    <w:p w14:paraId="601A8526" w14:textId="77777777" w:rsidR="00E574DD" w:rsidRPr="00D326F8" w:rsidRDefault="00E574DD" w:rsidP="00E574DD">
      <w:pPr>
        <w:pStyle w:val="BodyText"/>
        <w:tabs>
          <w:tab w:val="left" w:pos="5670"/>
        </w:tabs>
      </w:pPr>
    </w:p>
    <w:tbl>
      <w:tblPr>
        <w:tblW w:w="0" w:type="auto"/>
        <w:tblLook w:val="04A0" w:firstRow="1" w:lastRow="0" w:firstColumn="1" w:lastColumn="0" w:noHBand="0" w:noVBand="1"/>
      </w:tblPr>
      <w:tblGrid>
        <w:gridCol w:w="3012"/>
        <w:gridCol w:w="6170"/>
      </w:tblGrid>
      <w:tr w:rsidR="003B74AE" w:rsidRPr="00D326F8" w14:paraId="601A8529" w14:textId="77777777" w:rsidTr="006963FF">
        <w:tc>
          <w:tcPr>
            <w:tcW w:w="3061" w:type="dxa"/>
          </w:tcPr>
          <w:p w14:paraId="601A8527" w14:textId="77777777" w:rsidR="00E574DD" w:rsidRPr="00D326F8" w:rsidRDefault="003E23E4" w:rsidP="00E574DD">
            <w:pPr>
              <w:pStyle w:val="BodyText"/>
              <w:spacing w:before="120"/>
              <w:rPr>
                <w:b/>
              </w:rPr>
            </w:pPr>
            <w:r w:rsidRPr="00D326F8">
              <w:rPr>
                <w:b/>
              </w:rPr>
              <w:t>Name, academic degree:</w:t>
            </w:r>
          </w:p>
        </w:tc>
        <w:tc>
          <w:tcPr>
            <w:tcW w:w="6291" w:type="dxa"/>
          </w:tcPr>
          <w:p w14:paraId="601A8528" w14:textId="77777777" w:rsidR="00E574DD" w:rsidRPr="00D326F8" w:rsidRDefault="003E23E4" w:rsidP="00A8535A">
            <w:pPr>
              <w:pStyle w:val="BodyText"/>
              <w:spacing w:before="120"/>
              <w:rPr>
                <w:lang w:val="de-DE"/>
              </w:rPr>
            </w:pPr>
            <w:r w:rsidRPr="00D326F8">
              <w:rPr>
                <w:lang w:val="de-DE"/>
              </w:rPr>
              <w:t xml:space="preserve">Dr. </w:t>
            </w:r>
            <w:r w:rsidR="004A37D0" w:rsidRPr="00D326F8">
              <w:rPr>
                <w:lang w:val="de-DE"/>
              </w:rPr>
              <w:t>Steffen Haffner, MD</w:t>
            </w:r>
          </w:p>
        </w:tc>
      </w:tr>
      <w:tr w:rsidR="003B74AE" w:rsidRPr="00D326F8" w14:paraId="601A852C" w14:textId="77777777" w:rsidTr="006963FF">
        <w:tc>
          <w:tcPr>
            <w:tcW w:w="3061" w:type="dxa"/>
          </w:tcPr>
          <w:p w14:paraId="601A852A" w14:textId="77777777" w:rsidR="00E574DD" w:rsidRPr="00D326F8" w:rsidRDefault="003E23E4" w:rsidP="00E574DD">
            <w:pPr>
              <w:pStyle w:val="BodyText"/>
              <w:spacing w:before="120"/>
              <w:rPr>
                <w:b/>
              </w:rPr>
            </w:pPr>
            <w:r w:rsidRPr="00D326F8">
              <w:rPr>
                <w:b/>
              </w:rPr>
              <w:t>Function/Title:</w:t>
            </w:r>
          </w:p>
        </w:tc>
        <w:tc>
          <w:tcPr>
            <w:tcW w:w="6291" w:type="dxa"/>
          </w:tcPr>
          <w:p w14:paraId="601A852B" w14:textId="77777777" w:rsidR="00E574DD" w:rsidRPr="00D326F8" w:rsidRDefault="003E23E4" w:rsidP="00E574DD">
            <w:pPr>
              <w:pStyle w:val="BodyText"/>
              <w:spacing w:before="120"/>
            </w:pPr>
            <w:r w:rsidRPr="00D326F8">
              <w:t>Principal Investigator</w:t>
            </w:r>
          </w:p>
        </w:tc>
      </w:tr>
      <w:tr w:rsidR="003B74AE" w:rsidRPr="00D326F8" w14:paraId="601A852F" w14:textId="77777777" w:rsidTr="006963FF">
        <w:tc>
          <w:tcPr>
            <w:tcW w:w="3061" w:type="dxa"/>
          </w:tcPr>
          <w:p w14:paraId="601A852D" w14:textId="77777777" w:rsidR="00E574DD" w:rsidRPr="00D326F8" w:rsidRDefault="003E23E4" w:rsidP="00E574DD">
            <w:pPr>
              <w:pStyle w:val="BodyText"/>
              <w:spacing w:before="120"/>
              <w:rPr>
                <w:b/>
              </w:rPr>
            </w:pPr>
            <w:r w:rsidRPr="00D326F8">
              <w:rPr>
                <w:b/>
              </w:rPr>
              <w:t>Institution:</w:t>
            </w:r>
          </w:p>
        </w:tc>
        <w:tc>
          <w:tcPr>
            <w:tcW w:w="6291" w:type="dxa"/>
          </w:tcPr>
          <w:p w14:paraId="601A852E" w14:textId="77777777" w:rsidR="00E574DD" w:rsidRPr="00D326F8" w:rsidRDefault="003E23E4" w:rsidP="00E574DD">
            <w:pPr>
              <w:pStyle w:val="BodyText"/>
              <w:spacing w:before="120"/>
            </w:pPr>
            <w:r w:rsidRPr="00D326F8">
              <w:rPr>
                <w:lang w:val="de-DE"/>
              </w:rPr>
              <w:t>Nuvisan GmbH</w:t>
            </w:r>
          </w:p>
        </w:tc>
      </w:tr>
      <w:tr w:rsidR="003B74AE" w:rsidRPr="00D326F8" w14:paraId="601A8533" w14:textId="77777777" w:rsidTr="006963FF">
        <w:tc>
          <w:tcPr>
            <w:tcW w:w="3061" w:type="dxa"/>
          </w:tcPr>
          <w:p w14:paraId="601A8530" w14:textId="77777777" w:rsidR="00E574DD" w:rsidRPr="00D326F8" w:rsidRDefault="003E23E4" w:rsidP="00E574DD">
            <w:pPr>
              <w:pStyle w:val="BodyText"/>
              <w:spacing w:before="120"/>
              <w:rPr>
                <w:b/>
              </w:rPr>
            </w:pPr>
            <w:r w:rsidRPr="00D326F8">
              <w:rPr>
                <w:b/>
              </w:rPr>
              <w:t>Address:</w:t>
            </w:r>
          </w:p>
        </w:tc>
        <w:tc>
          <w:tcPr>
            <w:tcW w:w="6291" w:type="dxa"/>
          </w:tcPr>
          <w:p w14:paraId="601A8531" w14:textId="77777777" w:rsidR="00A8535A" w:rsidRPr="00D326F8" w:rsidRDefault="003E23E4" w:rsidP="00A8535A">
            <w:pPr>
              <w:pStyle w:val="BodyText"/>
              <w:spacing w:before="120"/>
              <w:rPr>
                <w:lang w:val="de-DE"/>
              </w:rPr>
            </w:pPr>
            <w:proofErr w:type="spellStart"/>
            <w:r w:rsidRPr="00D326F8">
              <w:rPr>
                <w:lang w:val="de-DE"/>
              </w:rPr>
              <w:t>Wegenerstrasse</w:t>
            </w:r>
            <w:proofErr w:type="spellEnd"/>
            <w:r w:rsidRPr="00D326F8">
              <w:rPr>
                <w:lang w:val="de-DE"/>
              </w:rPr>
              <w:t xml:space="preserve"> 13</w:t>
            </w:r>
          </w:p>
          <w:p w14:paraId="601A8532" w14:textId="77777777" w:rsidR="00E574DD" w:rsidRPr="00D326F8" w:rsidRDefault="003E23E4" w:rsidP="00A8535A">
            <w:pPr>
              <w:pStyle w:val="BodyText"/>
              <w:spacing w:before="120"/>
            </w:pPr>
            <w:r w:rsidRPr="00D326F8">
              <w:t>89231 Neu-Ulm, Germany</w:t>
            </w:r>
          </w:p>
        </w:tc>
      </w:tr>
      <w:tr w:rsidR="003B74AE" w:rsidRPr="00D326F8" w14:paraId="601A8536" w14:textId="77777777" w:rsidTr="006963FF">
        <w:tc>
          <w:tcPr>
            <w:tcW w:w="3061" w:type="dxa"/>
          </w:tcPr>
          <w:p w14:paraId="601A8534" w14:textId="77777777" w:rsidR="00E574DD" w:rsidRPr="00D326F8" w:rsidRDefault="003E23E4" w:rsidP="00E574DD">
            <w:pPr>
              <w:pStyle w:val="BodyText"/>
              <w:spacing w:before="120"/>
              <w:rPr>
                <w:b/>
              </w:rPr>
            </w:pPr>
            <w:r w:rsidRPr="00D326F8">
              <w:rPr>
                <w:b/>
              </w:rPr>
              <w:t>Telephone number:</w:t>
            </w:r>
          </w:p>
        </w:tc>
        <w:tc>
          <w:tcPr>
            <w:tcW w:w="6291" w:type="dxa"/>
          </w:tcPr>
          <w:p w14:paraId="601A8535" w14:textId="77777777" w:rsidR="00E574DD" w:rsidRPr="00D326F8" w:rsidRDefault="003E23E4" w:rsidP="00E574DD">
            <w:pPr>
              <w:pStyle w:val="BodyText"/>
              <w:spacing w:before="120"/>
            </w:pPr>
            <w:r w:rsidRPr="00D326F8">
              <w:t xml:space="preserve">+49 731 9840 </w:t>
            </w:r>
            <w:r w:rsidR="00487F9D" w:rsidRPr="00D326F8">
              <w:t>452</w:t>
            </w:r>
          </w:p>
        </w:tc>
      </w:tr>
      <w:tr w:rsidR="003B74AE" w:rsidRPr="00D326F8" w14:paraId="601A8539" w14:textId="77777777" w:rsidTr="006963FF">
        <w:tc>
          <w:tcPr>
            <w:tcW w:w="3061" w:type="dxa"/>
          </w:tcPr>
          <w:p w14:paraId="601A8537" w14:textId="77777777" w:rsidR="00E574DD" w:rsidRPr="00D326F8" w:rsidRDefault="003E23E4" w:rsidP="00E574DD">
            <w:pPr>
              <w:pStyle w:val="BodyText"/>
              <w:spacing w:before="120"/>
              <w:rPr>
                <w:b/>
              </w:rPr>
            </w:pPr>
            <w:r w:rsidRPr="00D326F8">
              <w:rPr>
                <w:b/>
              </w:rPr>
              <w:t>Fax number:</w:t>
            </w:r>
          </w:p>
        </w:tc>
        <w:tc>
          <w:tcPr>
            <w:tcW w:w="6291" w:type="dxa"/>
          </w:tcPr>
          <w:p w14:paraId="601A8538" w14:textId="77777777" w:rsidR="00E574DD" w:rsidRPr="00D326F8" w:rsidRDefault="003E23E4" w:rsidP="00E574DD">
            <w:pPr>
              <w:pStyle w:val="BodyText"/>
              <w:spacing w:before="120"/>
            </w:pPr>
            <w:r w:rsidRPr="00D326F8">
              <w:t xml:space="preserve">+49 731 9840 </w:t>
            </w:r>
            <w:r w:rsidR="00E153CA" w:rsidRPr="00D326F8">
              <w:t>280</w:t>
            </w:r>
          </w:p>
        </w:tc>
      </w:tr>
      <w:tr w:rsidR="003B74AE" w14:paraId="601A853C" w14:textId="77777777" w:rsidTr="006963FF">
        <w:tc>
          <w:tcPr>
            <w:tcW w:w="3061" w:type="dxa"/>
          </w:tcPr>
          <w:p w14:paraId="601A853A" w14:textId="77777777" w:rsidR="00E574DD" w:rsidRPr="00D326F8" w:rsidRDefault="003E23E4" w:rsidP="00E574DD">
            <w:pPr>
              <w:pStyle w:val="BodyText"/>
              <w:spacing w:before="120"/>
              <w:rPr>
                <w:b/>
              </w:rPr>
            </w:pPr>
            <w:r w:rsidRPr="00D326F8">
              <w:rPr>
                <w:b/>
              </w:rPr>
              <w:t>E-mail address:</w:t>
            </w:r>
          </w:p>
        </w:tc>
        <w:tc>
          <w:tcPr>
            <w:tcW w:w="6291" w:type="dxa"/>
          </w:tcPr>
          <w:p w14:paraId="601A853B" w14:textId="77777777" w:rsidR="00E574DD" w:rsidRPr="00A1743D" w:rsidRDefault="003E23E4" w:rsidP="00E574DD">
            <w:pPr>
              <w:pStyle w:val="BodyText"/>
              <w:spacing w:before="120"/>
            </w:pPr>
            <w:r w:rsidRPr="00D326F8">
              <w:t>steffen.haffner@nuvisan.com</w:t>
            </w:r>
          </w:p>
        </w:tc>
      </w:tr>
    </w:tbl>
    <w:p w14:paraId="601A853D" w14:textId="77777777" w:rsidR="00E574DD" w:rsidRPr="008C7E09" w:rsidRDefault="00E574DD" w:rsidP="00E574DD">
      <w:pPr>
        <w:pStyle w:val="BodyText"/>
        <w:tabs>
          <w:tab w:val="left" w:pos="5670"/>
        </w:tabs>
      </w:pPr>
    </w:p>
    <w:sectPr w:rsidR="00E574DD" w:rsidRPr="008C7E09" w:rsidSect="00EA57F8">
      <w:footerReference w:type="default" r:id="rId20"/>
      <w:endnotePr>
        <w:numFmt w:val="decimal"/>
      </w:endnotePr>
      <w:pgSz w:w="12242" w:h="15842" w:code="1"/>
      <w:pgMar w:top="1440" w:right="1440" w:bottom="1440" w:left="16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1CD5C" w14:textId="77777777" w:rsidR="000750D7" w:rsidRDefault="000750D7">
      <w:pPr>
        <w:spacing w:before="0"/>
      </w:pPr>
      <w:r>
        <w:separator/>
      </w:r>
    </w:p>
  </w:endnote>
  <w:endnote w:type="continuationSeparator" w:id="0">
    <w:p w14:paraId="39455F25" w14:textId="77777777" w:rsidR="000750D7" w:rsidRDefault="000750D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siatische Schriftart verwende">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85E3" w14:textId="77777777" w:rsidR="00145703" w:rsidRDefault="00145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43" w:type="pct"/>
      <w:tblBorders>
        <w:top w:val="single" w:sz="4" w:space="0" w:color="auto"/>
      </w:tblBorders>
      <w:tblCellMar>
        <w:left w:w="70" w:type="dxa"/>
        <w:right w:w="70" w:type="dxa"/>
      </w:tblCellMar>
      <w:tblLook w:val="0000" w:firstRow="0" w:lastRow="0" w:firstColumn="0" w:lastColumn="0" w:noHBand="0" w:noVBand="0"/>
    </w:tblPr>
    <w:tblGrid>
      <w:gridCol w:w="3427"/>
      <w:gridCol w:w="2276"/>
      <w:gridCol w:w="1892"/>
      <w:gridCol w:w="1509"/>
    </w:tblGrid>
    <w:tr w:rsidR="00145703" w14:paraId="601A85E9" w14:textId="77777777" w:rsidTr="008F33CF">
      <w:trPr>
        <w:trHeight w:val="435"/>
      </w:trPr>
      <w:tc>
        <w:tcPr>
          <w:tcW w:w="1882" w:type="pct"/>
          <w:shd w:val="clear" w:color="auto" w:fill="auto"/>
          <w:vAlign w:val="center"/>
        </w:tcPr>
        <w:p w14:paraId="601A85E4" w14:textId="77777777" w:rsidR="00145703" w:rsidRPr="003B1894" w:rsidRDefault="00145703" w:rsidP="003B1894">
          <w:pPr>
            <w:pStyle w:val="Footer"/>
            <w:jc w:val="left"/>
          </w:pPr>
          <w:r>
            <w:rPr>
              <w:noProof/>
            </w:rPr>
            <mc:AlternateContent>
              <mc:Choice Requires="wps">
                <w:drawing>
                  <wp:anchor distT="0" distB="0" distL="114300" distR="114300" simplePos="0" relativeHeight="251658240" behindDoc="0" locked="0" layoutInCell="0" allowOverlap="1" wp14:anchorId="3105BE5A" wp14:editId="4464405D">
                    <wp:simplePos x="0" y="0"/>
                    <wp:positionH relativeFrom="page">
                      <wp:posOffset>-5518150</wp:posOffset>
                    </wp:positionH>
                    <wp:positionV relativeFrom="page">
                      <wp:posOffset>2540</wp:posOffset>
                    </wp:positionV>
                    <wp:extent cx="7524750" cy="463550"/>
                    <wp:effectExtent l="0" t="0" r="0" b="12700"/>
                    <wp:wrapNone/>
                    <wp:docPr id="1" name="MSIPCM4d7949e282beeb42b7357993" descr="{&quot;HashCode&quot;:-653165722,&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2475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C8A23C" w14:textId="77777777" w:rsidR="00145703" w:rsidRPr="00B52F7D" w:rsidRDefault="00145703" w:rsidP="00B52F7D">
                                <w:pPr>
                                  <w:spacing w:before="0"/>
                                  <w:jc w:val="center"/>
                                  <w:rPr>
                                    <w:rFonts w:ascii="Calibri" w:hAnsi="Calibri" w:cs="Calibri"/>
                                    <w:color w:val="0078D7"/>
                                    <w:sz w:val="20"/>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w14:anchorId="3105BE5A" id="_x0000_t202" coordsize="21600,21600" o:spt="202" path="m,l,21600r21600,l21600,xe">
                    <v:stroke joinstyle="miter"/>
                    <v:path gradientshapeok="t" o:connecttype="rect"/>
                  </v:shapetype>
                  <v:shape id="MSIPCM4d7949e282beeb42b7357993" o:spid="_x0000_s1027" type="#_x0000_t202" alt="{&quot;HashCode&quot;:-653165722,&quot;Height&quot;:9999999.0,&quot;Width&quot;:9999999.0,&quot;Placement&quot;:&quot;Footer&quot;,&quot;Index&quot;:&quot;Primary&quot;,&quot;Section&quot;:1,&quot;Top&quot;:0.0,&quot;Left&quot;:0.0}" style="position:absolute;margin-left:-434.5pt;margin-top:.2pt;width:592.5pt;height:36.5pt;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o/pAIAAEkFAAAOAAAAZHJzL2Uyb0RvYy54bWysVN1v0zAQf0fif7D8wBM0bfq1hqXT6FSY&#10;1G2VOrRnx3GaSInPs90lBfG/c06cbgx4QeTBubvf+b7P5xdNVZInoU0BMqajwZASITmkhdzH9Ov9&#10;+sMZJcYymbISpIjpURh6sXz75rxWkQghhzIVmqARaaJaxTS3VkVBYHguKmYGoIREMANdMYus3gep&#10;ZjVar8ogHA5nQQ06VRq4MAalVx1Il639LBPc3mWZEZaUMcXYbHvq9kzcGSzPWbTXTOUF92Gwf4ii&#10;YoVEpydTV8wyctDFb6aqgmswkNkBhyqALCu4aHPAbEbDV9nscqZEmwsWx6hTmcz/M8tvn7aaFCn2&#10;jhLJKmzRze56u7qZpPPFZCHCszARIpmEyXw8nS8WY0pSYThW8Pu7xwPYj1+YyVeQio6LPsym49Fs&#10;Og/D9x4XxT63Hl1032DowYcitflfsG3JuKiE7O92amsAK3RHeyPXMhWNN9L9trqomD7+orXDUcAZ&#10;9Xojf/celJcMT0FtRNb7ROEPNyK1MhFWaqewVrb5BI0rl5cbFLrON5mu3B97ShDHYTueBkw0lnAU&#10;zqfhZD5FiCM2mY2nSKOZ4Pm20sZ+FlARR8RUY9TtXLGnjbGdaq/inElYF2WJchaVktQxRZvD9sIJ&#10;QeOlRB8uhy5WR9kmaXzbfR4JpEdMT0O3I0bxdYExbJixW6ZxKTBsXHR7h0dWAvoCT1GSg/72J7nT&#10;x1lFlJIalyym5vHAtKCkvJY4xYvRZOK2smWQ0C+lSS+Vh2oFuL84oRhVSzpdW/ZkpqF6wHfg0nlD&#10;iEmOPmPKre6ZlUUeIXxJuLi8bGncQMXsRu4Ud8ZdEV1t75sHppVvgMXW3UK/iCx61YdO11e3q6Bn&#10;cF/bxvq3xT0IL/lW6/kFXP4EAAD//wMAUEsDBBQABgAIAAAAIQAtHqnX3gAAAAgBAAAPAAAAZHJz&#10;L2Rvd25yZXYueG1sTI9LT8MwEITvSPwHa5G4tU6bKrRpnIqHkOCECFy4ufHmAfE6it3G/HuWExxH&#10;szP7TXGIdhBnnHzvSMFqmYBAqp3pqVXw/va42ILwQZPRgyNU8I0eDuXlRaFz42Z6xXMVWsEl5HOt&#10;oAthzKX0dYdW+6Ubkdhr3GR1YDm10kx65nI7yHWSZNLqnvhDp0e877D+qk6WMdz4vP7M5uQhjR/V&#10;U2xe7vrQKHV9FW/3IALG8HcMv/icgZKZju5ExotBwWKb7XhMULABwX66ylgeFdykG5BlIf8PKH8A&#10;AAD//wMAUEsBAi0AFAAGAAgAAAAhALaDOJL+AAAA4QEAABMAAAAAAAAAAAAAAAAAAAAAAFtDb250&#10;ZW50X1R5cGVzXS54bWxQSwECLQAUAAYACAAAACEAOP0h/9YAAACUAQAACwAAAAAAAAAAAAAAAAAv&#10;AQAAX3JlbHMvLnJlbHNQSwECLQAUAAYACAAAACEA8hZaP6QCAABJBQAADgAAAAAAAAAAAAAAAAAu&#10;AgAAZHJzL2Uyb0RvYy54bWxQSwECLQAUAAYACAAAACEALR6p194AAAAIAQAADwAAAAAAAAAAAAAA&#10;AAD+BAAAZHJzL2Rvd25yZXYueG1sUEsFBgAAAAAEAAQA8wAAAAkGAAAAAA==&#10;" o:allowincell="f" filled="f" stroked="f" strokeweight=".5pt">
                    <v:textbox inset=",0,,0">
                      <w:txbxContent>
                        <w:p w14:paraId="61C8A23C" w14:textId="77777777" w:rsidR="00145703" w:rsidRPr="00B52F7D" w:rsidRDefault="00145703" w:rsidP="00B52F7D">
                          <w:pPr>
                            <w:spacing w:before="0"/>
                            <w:jc w:val="center"/>
                            <w:rPr>
                              <w:rFonts w:ascii="Calibri" w:hAnsi="Calibri" w:cs="Calibri"/>
                              <w:color w:val="0078D7"/>
                              <w:sz w:val="20"/>
                            </w:rPr>
                          </w:pPr>
                        </w:p>
                      </w:txbxContent>
                    </v:textbox>
                    <w10:wrap anchorx="page" anchory="page"/>
                  </v:shape>
                </w:pict>
              </mc:Fallback>
            </mc:AlternateContent>
          </w:r>
        </w:p>
      </w:tc>
      <w:tc>
        <w:tcPr>
          <w:tcW w:w="1250" w:type="pct"/>
          <w:shd w:val="clear" w:color="auto" w:fill="auto"/>
          <w:vAlign w:val="center"/>
        </w:tcPr>
        <w:p w14:paraId="601A85E5" w14:textId="77777777" w:rsidR="00145703" w:rsidRDefault="00145703" w:rsidP="00407947">
          <w:pPr>
            <w:pStyle w:val="Footer"/>
            <w:jc w:val="center"/>
          </w:pPr>
          <w:r>
            <w:t>C O N F I D E N T I A L</w:t>
          </w:r>
        </w:p>
        <w:p w14:paraId="601A85E6" w14:textId="77777777" w:rsidR="00145703" w:rsidRPr="003B1894" w:rsidRDefault="00145703" w:rsidP="00407947">
          <w:pPr>
            <w:pStyle w:val="Footer"/>
            <w:jc w:val="center"/>
          </w:pPr>
          <w:r>
            <w:t>I N F O R M A T I O N</w:t>
          </w:r>
        </w:p>
      </w:tc>
      <w:tc>
        <w:tcPr>
          <w:tcW w:w="1039" w:type="pct"/>
          <w:shd w:val="clear" w:color="auto" w:fill="auto"/>
          <w:vAlign w:val="center"/>
        </w:tcPr>
        <w:p w14:paraId="601A85E7" w14:textId="77777777" w:rsidR="00145703" w:rsidRPr="003B1894" w:rsidRDefault="00145703" w:rsidP="003B1894">
          <w:pPr>
            <w:pStyle w:val="Footer"/>
            <w:jc w:val="right"/>
          </w:pPr>
          <w:r>
            <w:fldChar w:fldCharType="begin"/>
          </w:r>
          <w:r>
            <w:instrText xml:space="preserve"> PAGE  \* MERGEFORMAT </w:instrText>
          </w:r>
          <w:r>
            <w:fldChar w:fldCharType="separate"/>
          </w:r>
          <w:r>
            <w:rPr>
              <w:noProof/>
            </w:rPr>
            <w:t>20</w:t>
          </w:r>
          <w:r>
            <w:rPr>
              <w:noProof/>
            </w:rPr>
            <w:fldChar w:fldCharType="end"/>
          </w:r>
          <w:r>
            <w:t>/</w:t>
          </w:r>
          <w:r>
            <w:rPr>
              <w:noProof/>
            </w:rPr>
            <w:fldChar w:fldCharType="begin"/>
          </w:r>
          <w:r>
            <w:rPr>
              <w:noProof/>
            </w:rPr>
            <w:instrText xml:space="preserve"> NUMPAGES  \* MERGEFORMAT </w:instrText>
          </w:r>
          <w:r>
            <w:rPr>
              <w:noProof/>
            </w:rPr>
            <w:fldChar w:fldCharType="separate"/>
          </w:r>
          <w:r>
            <w:rPr>
              <w:noProof/>
            </w:rPr>
            <w:t>100</w:t>
          </w:r>
          <w:r>
            <w:rPr>
              <w:noProof/>
            </w:rPr>
            <w:fldChar w:fldCharType="end"/>
          </w:r>
        </w:p>
      </w:tc>
      <w:tc>
        <w:tcPr>
          <w:tcW w:w="829" w:type="pct"/>
          <w:shd w:val="clear" w:color="auto" w:fill="auto"/>
          <w:vAlign w:val="bottom"/>
        </w:tcPr>
        <w:p w14:paraId="601A85E8" w14:textId="77777777" w:rsidR="00145703" w:rsidRPr="003B1894" w:rsidRDefault="00145703" w:rsidP="003B1894">
          <w:pPr>
            <w:pStyle w:val="Footer"/>
            <w:jc w:val="right"/>
          </w:pPr>
        </w:p>
      </w:tc>
    </w:tr>
  </w:tbl>
  <w:p w14:paraId="601A85EA" w14:textId="77777777" w:rsidR="00145703" w:rsidRPr="003B1894" w:rsidRDefault="00145703" w:rsidP="003B1894">
    <w:pPr>
      <w:pStyle w:val="Footer"/>
      <w:spacing w:line="2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85EC" w14:textId="77777777" w:rsidR="00145703" w:rsidRDefault="001457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43" w:type="pct"/>
      <w:tblBorders>
        <w:top w:val="single" w:sz="4" w:space="0" w:color="auto"/>
      </w:tblBorders>
      <w:tblCellMar>
        <w:left w:w="70" w:type="dxa"/>
        <w:right w:w="70" w:type="dxa"/>
      </w:tblCellMar>
      <w:tblLook w:val="0000" w:firstRow="0" w:lastRow="0" w:firstColumn="0" w:lastColumn="0" w:noHBand="0" w:noVBand="0"/>
    </w:tblPr>
    <w:tblGrid>
      <w:gridCol w:w="3427"/>
      <w:gridCol w:w="2276"/>
      <w:gridCol w:w="1892"/>
      <w:gridCol w:w="1509"/>
    </w:tblGrid>
    <w:tr w:rsidR="00145703" w14:paraId="601A85F2" w14:textId="77777777" w:rsidTr="008F33CF">
      <w:trPr>
        <w:trHeight w:val="435"/>
      </w:trPr>
      <w:tc>
        <w:tcPr>
          <w:tcW w:w="1882" w:type="pct"/>
          <w:shd w:val="clear" w:color="auto" w:fill="auto"/>
          <w:vAlign w:val="center"/>
        </w:tcPr>
        <w:p w14:paraId="601A85ED" w14:textId="77777777" w:rsidR="00145703" w:rsidRPr="003B1894" w:rsidRDefault="00145703" w:rsidP="003B1894">
          <w:pPr>
            <w:pStyle w:val="Footer"/>
            <w:jc w:val="left"/>
          </w:pPr>
          <w:r>
            <w:rPr>
              <w:noProof/>
            </w:rPr>
            <mc:AlternateContent>
              <mc:Choice Requires="wps">
                <w:drawing>
                  <wp:anchor distT="0" distB="0" distL="114300" distR="114300" simplePos="0" relativeHeight="251664384" behindDoc="0" locked="0" layoutInCell="0" allowOverlap="1" wp14:anchorId="5505F611" wp14:editId="60BDD28D">
                    <wp:simplePos x="0" y="0"/>
                    <wp:positionH relativeFrom="page">
                      <wp:posOffset>-5518150</wp:posOffset>
                    </wp:positionH>
                    <wp:positionV relativeFrom="page">
                      <wp:posOffset>2540</wp:posOffset>
                    </wp:positionV>
                    <wp:extent cx="7524750" cy="463550"/>
                    <wp:effectExtent l="0" t="0" r="0" b="12700"/>
                    <wp:wrapNone/>
                    <wp:docPr id="2" name="MSIPCM4d7949e282beeb42b7357993" descr="{&quot;HashCode&quot;:-653165722,&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2475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3989F5" w14:textId="77777777" w:rsidR="00145703" w:rsidRPr="00B52F7D" w:rsidRDefault="00145703" w:rsidP="00B52F7D">
                                <w:pPr>
                                  <w:spacing w:before="0"/>
                                  <w:jc w:val="center"/>
                                  <w:rPr>
                                    <w:rFonts w:ascii="Calibri" w:hAnsi="Calibri" w:cs="Calibri"/>
                                    <w:color w:val="0078D7"/>
                                    <w:sz w:val="20"/>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w14:anchorId="5505F611" id="_x0000_t202" coordsize="21600,21600" o:spt="202" path="m,l,21600r21600,l21600,xe">
                    <v:stroke joinstyle="miter"/>
                    <v:path gradientshapeok="t" o:connecttype="rect"/>
                  </v:shapetype>
                  <v:shape id="_x0000_s1028" type="#_x0000_t202" alt="{&quot;HashCode&quot;:-653165722,&quot;Height&quot;:9999999.0,&quot;Width&quot;:9999999.0,&quot;Placement&quot;:&quot;Footer&quot;,&quot;Index&quot;:&quot;Primary&quot;,&quot;Section&quot;:1,&quot;Top&quot;:0.0,&quot;Left&quot;:0.0}" style="position:absolute;margin-left:-434.5pt;margin-top:.2pt;width:592.5pt;height:36.5pt;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VnpQIAAEkFAAAOAAAAZHJzL2Uyb0RvYy54bWysVN1v0zAQf0fif7D8wBM0bfq1hqXT6FSY&#10;1G2VOrRnx3GaSInPs90lBfG/c06cbgx4QeTBubvf+b7P5xdNVZInoU0BMqajwZASITmkhdzH9Ov9&#10;+sMZJcYymbISpIjpURh6sXz75rxWkQghhzIVmqARaaJaxTS3VkVBYHguKmYGoIREMANdMYus3gep&#10;ZjVar8ogHA5nQQ06VRq4MAalVx1Il639LBPc3mWZEZaUMcXYbHvq9kzcGSzPWbTXTOUF92Gwf4ii&#10;YoVEpydTV8wyctDFb6aqgmswkNkBhyqALCu4aHPAbEbDV9nscqZEmwsWx6hTmcz/M8tvn7aaFGlM&#10;Q0okq7BFN7vr7epmks4Xk4UIz8JEiGQSJvPxdL5YjClJheFYwe/vHg9gP35hJl9BKjou+jCbjkez&#10;6TwM33tcFPvcenTRfYOhBx+K1OZ/wbYl46ISsr/bqa0BrNAd7Y1cy1Q03kj32+qiYvr4i9YORwFn&#10;1OuN/N17UF4yPAW1EVnvE4U/3IjUykRYqZ3CWtnmEzQ46r3coNB1vsl05f7YU4I4DtvxNGCisYSj&#10;cD4NJ/MpQhyxyWw8RRrNB8+3lTb2s4CKOCKmGqNu54o9bYztVHsV50zCuijLdohLSeqYos1he+GE&#10;oPFSog+XQxero2yTNL7tPr8E0iOmp6HbEaP4usAYNszYLdO4FBg2Lrq9wyMrAX2BpyjJQX/7k9zp&#10;46wiSkmNSxZT83hgWlBSXkuc4sVoMnFb2TJI6JfSpJfKQ7UC3N8RPiWKt6TTtWVPZhqqB3wHLp03&#10;hJjk6DOm3OqeWVnkEcKXhIvLy5bGDVTMbuROcWfc1dPV9r55YFr5Blhs3S30i8iiV33odH11uwp6&#10;Bve1bax/W9yD8JJvtZ5fwOVPAAAA//8DAFBLAwQUAAYACAAAACEALR6p194AAAAIAQAADwAAAGRy&#10;cy9kb3ducmV2LnhtbEyPS0/DMBCE70j8B2uRuLVOmyq0aZyKh5DghAhcuLnx5gHxOordxvx7lhMc&#10;R7Mz+01xiHYQZ5x870jBapmAQKqd6alV8P72uNiC8EGT0YMjVPCNHg7l5UWhc+NmesVzFVrBJeRz&#10;raALYcyl9HWHVvulG5HYa9xkdWA5tdJMeuZyO8h1kmTS6p74Q6dHvO+w/qpOljHc+Lz+zObkIY0f&#10;1VNsXu760Ch1fRVv9yACxvB3DL/4nIGSmY7uRMaLQcFim+14TFCwAcF+uspYHhXcpBuQZSH/Dyh/&#10;AAAA//8DAFBLAQItABQABgAIAAAAIQC2gziS/gAAAOEBAAATAAAAAAAAAAAAAAAAAAAAAABbQ29u&#10;dGVudF9UeXBlc10ueG1sUEsBAi0AFAAGAAgAAAAhADj9If/WAAAAlAEAAAsAAAAAAAAAAAAAAAAA&#10;LwEAAF9yZWxzLy5yZWxzUEsBAi0AFAAGAAgAAAAhAIkFFWelAgAASQUAAA4AAAAAAAAAAAAAAAAA&#10;LgIAAGRycy9lMm9Eb2MueG1sUEsBAi0AFAAGAAgAAAAhAC0eqdfeAAAACAEAAA8AAAAAAAAAAAAA&#10;AAAA/wQAAGRycy9kb3ducmV2LnhtbFBLBQYAAAAABAAEAPMAAAAKBgAAAAA=&#10;" o:allowincell="f" filled="f" stroked="f" strokeweight=".5pt">
                    <v:textbox inset=",0,,0">
                      <w:txbxContent>
                        <w:p w14:paraId="1A3989F5" w14:textId="77777777" w:rsidR="00145703" w:rsidRPr="00B52F7D" w:rsidRDefault="00145703" w:rsidP="00B52F7D">
                          <w:pPr>
                            <w:spacing w:before="0"/>
                            <w:jc w:val="center"/>
                            <w:rPr>
                              <w:rFonts w:ascii="Calibri" w:hAnsi="Calibri" w:cs="Calibri"/>
                              <w:color w:val="0078D7"/>
                              <w:sz w:val="20"/>
                            </w:rPr>
                          </w:pPr>
                        </w:p>
                      </w:txbxContent>
                    </v:textbox>
                    <w10:wrap anchorx="page" anchory="page"/>
                  </v:shape>
                </w:pict>
              </mc:Fallback>
            </mc:AlternateContent>
          </w:r>
        </w:p>
      </w:tc>
      <w:tc>
        <w:tcPr>
          <w:tcW w:w="1250" w:type="pct"/>
          <w:shd w:val="clear" w:color="auto" w:fill="auto"/>
          <w:vAlign w:val="center"/>
        </w:tcPr>
        <w:p w14:paraId="601A85EE" w14:textId="77777777" w:rsidR="00145703" w:rsidRDefault="00145703" w:rsidP="00407947">
          <w:pPr>
            <w:pStyle w:val="Footer"/>
            <w:jc w:val="center"/>
          </w:pPr>
          <w:r>
            <w:t>C O N F I D E N T I A L</w:t>
          </w:r>
        </w:p>
        <w:p w14:paraId="601A85EF" w14:textId="77777777" w:rsidR="00145703" w:rsidRPr="003B1894" w:rsidRDefault="00145703" w:rsidP="00407947">
          <w:pPr>
            <w:pStyle w:val="Footer"/>
            <w:jc w:val="center"/>
          </w:pPr>
          <w:r>
            <w:t>I N F O R M A T I O N</w:t>
          </w:r>
        </w:p>
      </w:tc>
      <w:tc>
        <w:tcPr>
          <w:tcW w:w="1039" w:type="pct"/>
          <w:shd w:val="clear" w:color="auto" w:fill="auto"/>
          <w:vAlign w:val="center"/>
        </w:tcPr>
        <w:p w14:paraId="601A85F0" w14:textId="77777777" w:rsidR="00145703" w:rsidRPr="003B1894" w:rsidRDefault="00145703" w:rsidP="003B1894">
          <w:pPr>
            <w:pStyle w:val="Footer"/>
            <w:jc w:val="right"/>
          </w:pPr>
          <w:r>
            <w:fldChar w:fldCharType="begin"/>
          </w:r>
          <w:r>
            <w:instrText xml:space="preserve"> PAGE  \* MERGEFORMAT </w:instrText>
          </w:r>
          <w:r>
            <w:fldChar w:fldCharType="separate"/>
          </w:r>
          <w:r>
            <w:rPr>
              <w:noProof/>
            </w:rPr>
            <w:t>20</w:t>
          </w:r>
          <w:r>
            <w:rPr>
              <w:noProof/>
            </w:rPr>
            <w:fldChar w:fldCharType="end"/>
          </w:r>
          <w:r>
            <w:t>/</w:t>
          </w:r>
          <w:r>
            <w:rPr>
              <w:noProof/>
            </w:rPr>
            <w:fldChar w:fldCharType="begin"/>
          </w:r>
          <w:r>
            <w:rPr>
              <w:noProof/>
            </w:rPr>
            <w:instrText xml:space="preserve"> NUMPAGES  \* MERGEFORMAT </w:instrText>
          </w:r>
          <w:r>
            <w:rPr>
              <w:noProof/>
            </w:rPr>
            <w:fldChar w:fldCharType="separate"/>
          </w:r>
          <w:r>
            <w:rPr>
              <w:noProof/>
            </w:rPr>
            <w:t>100</w:t>
          </w:r>
          <w:r>
            <w:rPr>
              <w:noProof/>
            </w:rPr>
            <w:fldChar w:fldCharType="end"/>
          </w:r>
        </w:p>
      </w:tc>
      <w:tc>
        <w:tcPr>
          <w:tcW w:w="829" w:type="pct"/>
          <w:shd w:val="clear" w:color="auto" w:fill="auto"/>
          <w:vAlign w:val="bottom"/>
        </w:tcPr>
        <w:p w14:paraId="601A85F1" w14:textId="77777777" w:rsidR="00145703" w:rsidRPr="003B1894" w:rsidRDefault="00145703" w:rsidP="003B1894">
          <w:pPr>
            <w:pStyle w:val="Footer"/>
            <w:jc w:val="right"/>
          </w:pPr>
        </w:p>
      </w:tc>
    </w:tr>
  </w:tbl>
  <w:p w14:paraId="601A85F3" w14:textId="77777777" w:rsidR="00145703" w:rsidRPr="003B1894" w:rsidRDefault="00145703" w:rsidP="003B1894">
    <w:pPr>
      <w:pStyle w:val="Footer"/>
      <w:spacing w:line="2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3398"/>
      <w:gridCol w:w="2257"/>
      <w:gridCol w:w="1876"/>
      <w:gridCol w:w="1495"/>
    </w:tblGrid>
    <w:tr w:rsidR="00145703" w14:paraId="601A85F9" w14:textId="77777777" w:rsidTr="008F33CF">
      <w:trPr>
        <w:trHeight w:val="120"/>
      </w:trPr>
      <w:tc>
        <w:tcPr>
          <w:tcW w:w="1883" w:type="pct"/>
          <w:shd w:val="clear" w:color="auto" w:fill="auto"/>
          <w:vAlign w:val="center"/>
        </w:tcPr>
        <w:p w14:paraId="601A85F4" w14:textId="77777777" w:rsidR="00145703" w:rsidRPr="003B1894" w:rsidRDefault="00145703" w:rsidP="003B1894">
          <w:pPr>
            <w:pStyle w:val="Footer"/>
            <w:jc w:val="left"/>
          </w:pPr>
          <w:r>
            <w:rPr>
              <w:noProof/>
            </w:rPr>
            <mc:AlternateContent>
              <mc:Choice Requires="wps">
                <w:drawing>
                  <wp:anchor distT="0" distB="0" distL="114300" distR="114300" simplePos="0" relativeHeight="251662336" behindDoc="0" locked="0" layoutInCell="0" allowOverlap="1" wp14:anchorId="6D434609" wp14:editId="48E2A6CE">
                    <wp:simplePos x="0" y="0"/>
                    <wp:positionH relativeFrom="page">
                      <wp:align>center</wp:align>
                    </wp:positionH>
                    <wp:positionV relativeFrom="page">
                      <wp:align>bottom</wp:align>
                    </wp:positionV>
                    <wp:extent cx="7772400" cy="463550"/>
                    <wp:effectExtent l="0" t="0" r="0" b="12700"/>
                    <wp:wrapNone/>
                    <wp:docPr id="1997112358" name="MSIPCM7f344536a66b7db238ab756f" descr="{&quot;HashCode&quot;:-653165722,&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21E4A7" w14:textId="77777777" w:rsidR="00145703" w:rsidRPr="001C70DF" w:rsidRDefault="00145703" w:rsidP="00B52F7D">
                                <w:pPr>
                                  <w:spacing w:before="0"/>
                                  <w:jc w:val="center"/>
                                  <w:rPr>
                                    <w:rFonts w:ascii="Calibri" w:hAnsi="Calibri" w:cs="Calibri"/>
                                    <w:sz w:val="20"/>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wps:bodyPr>
                        </wps:wsp>
                      </a:graphicData>
                    </a:graphic>
                  </wp:anchor>
                </w:drawing>
              </mc:Choice>
              <mc:Fallback>
                <w:pict>
                  <v:shapetype w14:anchorId="6D434609" id="_x0000_t202" coordsize="21600,21600" o:spt="202" path="m,l,21600r21600,l21600,xe">
                    <v:stroke joinstyle="miter"/>
                    <v:path gradientshapeok="t" o:connecttype="rect"/>
                  </v:shapetype>
                  <v:shape id="MSIPCM7f344536a66b7db238ab756f" o:spid="_x0000_s1029" type="#_x0000_t202" alt="{&quot;HashCode&quot;:-653165722,&quot;Height&quot;:9999999.0,&quot;Width&quot;:9999999.0,&quot;Placement&quot;:&quot;Footer&quot;,&quot;Index&quot;:&quot;Primary&quot;,&quot;Section&quot;:3,&quot;Top&quot;:0.0,&quot;Left&quot;:0.0}" style="position:absolute;margin-left:0;margin-top:0;width:612pt;height:36.5pt;z-index:251662336;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P9YrwIAAFIFAAAOAAAAZHJzL2Uyb0RvYy54bWysVF9v0zAQf0fiO1h+4AmatGmTtSydRqfC&#10;pG6r1KE9u47TREp8nu2uKYjvztlJujHgBZEH5+5+5/P9P79o6oo8CW1KkCkdDkJKhOSQlXKX0q/3&#10;yw9nlBjLZMYqkCKlR2Hoxfztm/ODmokRFFBlQhM0Is3soFJaWKtmQWB4IWpmBqCERDAHXTOLrN4F&#10;mWYHtF5XwSgM4+AAOlMauDAGpVctSOfefp4Lbu/y3AhLqpSib9af2p9bdwbzczbbaaaKkndusH/w&#10;omalxEdPpq6YZWSvy99M1SXXYCC3Aw51AHlecuFjwGiG4atoNgVTwseCyTHqlCbz/8zy26e1JmWG&#10;tZtOk+FwFE2wYpLVWKubzfV6cZPk0Xg8iWIWx9sk246iM7ZNJnFOSSYMx1R+f/e4B/vxCzPFAjLR&#10;crMP8SQaxpNkNHrf4aLcFbZDp+03CDvwocxs8RdsXTEuaiH7u63aEsAK3dKdkWuZiaYz0v7WuqyZ&#10;Pv6itcGewGbt9KLu7j2oThKenFqJvH8ThT9crxyUmWHKNgqTZptP0GDeerlBoWuBJte1+2NxCeLY&#10;dcdTp4nGEo7CJElG4xAhjtg4jiYT34rB822ljf0soCaOSKlGr32DsaeVsegJqvYq7jEJy7KqfDdX&#10;khxSijZDf+GE4I1K4kUXQ+uro2yzbXz9oz6OLWRHDE9DOyxG8WWJPqyYsWumcTrQbZx4e4dHXgG+&#10;BR1FSQH625/kTh+bFlFKDjhtKTWPe6YFJdW1xHaeDsdjN56eQUK/lG57qdzXC8BBHuJOUdyTTtdW&#10;PZlrqB9wIVy61xBikuObKeVW98zCIo8QrhQuLi89jaOomF3JjeLOuMuny+1988C06gpgsXS30E8k&#10;m72qQ6vbZbfNYMfg4PpqdUvGbYaXvNd6XoXznwAAAP//AwBQSwMEFAAGAAgAAAAhAL4fCrfaAAAA&#10;BQEAAA8AAABkcnMvZG93bnJldi54bWxMj0tPwzAQhO9I/AdrkbhRmxSVKsSpeAgJTqiBS29uvHlA&#10;vI5itzH/ni0XuKw0mtnZb4tNcoM44hR6TxquFwoEUu1tT62Gj/fnqzWIEA1ZM3hCDd8YYFOenxUm&#10;t36mLR6r2AouoZAbDV2MYy5lqDt0Jiz8iMRe4ydnIsuplXYyM5e7QWZKraQzPfGFzoz42GH9VR0c&#10;Y/jxNftczeppmXbVS2reHvrYaH15ke7vQERM8S8MJ3zegZKZ9v5ANohBAz8Sf+fJy7Ib1nsNt0sF&#10;sizkf/ryBwAA//8DAFBLAQItABQABgAIAAAAIQC2gziS/gAAAOEBAAATAAAAAAAAAAAAAAAAAAAA&#10;AABbQ29udGVudF9UeXBlc10ueG1sUEsBAi0AFAAGAAgAAAAhADj9If/WAAAAlAEAAAsAAAAAAAAA&#10;AAAAAAAALwEAAF9yZWxzLy5yZWxzUEsBAi0AFAAGAAgAAAAhAPqM/1ivAgAAUgUAAA4AAAAAAAAA&#10;AAAAAAAALgIAAGRycy9lMm9Eb2MueG1sUEsBAi0AFAAGAAgAAAAhAL4fCrfaAAAABQEAAA8AAAAA&#10;AAAAAAAAAAAACQUAAGRycy9kb3ducmV2LnhtbFBLBQYAAAAABAAEAPMAAAAQBgAAAAA=&#10;" o:allowincell="f" filled="f" stroked="f" strokeweight=".5pt">
                    <v:textbox inset=",0,,0">
                      <w:txbxContent>
                        <w:p w14:paraId="2621E4A7" w14:textId="77777777" w:rsidR="00145703" w:rsidRPr="001C70DF" w:rsidRDefault="00145703" w:rsidP="00B52F7D">
                          <w:pPr>
                            <w:spacing w:before="0"/>
                            <w:jc w:val="center"/>
                            <w:rPr>
                              <w:rFonts w:ascii="Calibri" w:hAnsi="Calibri" w:cs="Calibri"/>
                              <w:sz w:val="20"/>
                            </w:rPr>
                          </w:pPr>
                        </w:p>
                      </w:txbxContent>
                    </v:textbox>
                    <w10:wrap anchorx="page" anchory="page"/>
                  </v:shape>
                </w:pict>
              </mc:Fallback>
            </mc:AlternateContent>
          </w:r>
        </w:p>
      </w:tc>
      <w:tc>
        <w:tcPr>
          <w:tcW w:w="1250" w:type="pct"/>
          <w:shd w:val="clear" w:color="auto" w:fill="auto"/>
          <w:vAlign w:val="center"/>
        </w:tcPr>
        <w:p w14:paraId="601A85F5" w14:textId="77777777" w:rsidR="00145703" w:rsidRDefault="00145703" w:rsidP="00407947">
          <w:pPr>
            <w:pStyle w:val="Footer"/>
            <w:jc w:val="center"/>
          </w:pPr>
          <w:r>
            <w:t>C O N F I D E N T I A L</w:t>
          </w:r>
        </w:p>
        <w:p w14:paraId="601A85F6" w14:textId="77777777" w:rsidR="00145703" w:rsidRPr="003B1894" w:rsidRDefault="00145703" w:rsidP="00407947">
          <w:pPr>
            <w:pStyle w:val="Footer"/>
            <w:jc w:val="center"/>
          </w:pPr>
          <w:r>
            <w:t>I N F O R M A T I O N</w:t>
          </w:r>
        </w:p>
      </w:tc>
      <w:tc>
        <w:tcPr>
          <w:tcW w:w="1039" w:type="pct"/>
          <w:shd w:val="clear" w:color="auto" w:fill="auto"/>
          <w:vAlign w:val="center"/>
        </w:tcPr>
        <w:p w14:paraId="601A85F7" w14:textId="77777777" w:rsidR="00145703" w:rsidRPr="003B1894" w:rsidRDefault="00145703" w:rsidP="003B1894">
          <w:pPr>
            <w:pStyle w:val="Footer"/>
            <w:jc w:val="right"/>
          </w:pPr>
          <w:r>
            <w:fldChar w:fldCharType="begin"/>
          </w:r>
          <w:r>
            <w:instrText xml:space="preserve"> PAGE  \* MERGEFORMAT </w:instrText>
          </w:r>
          <w:r>
            <w:fldChar w:fldCharType="separate"/>
          </w:r>
          <w:r>
            <w:rPr>
              <w:noProof/>
            </w:rPr>
            <w:t>20</w:t>
          </w:r>
          <w:r>
            <w:rPr>
              <w:noProof/>
            </w:rPr>
            <w:fldChar w:fldCharType="end"/>
          </w:r>
          <w:r>
            <w:t>/</w:t>
          </w:r>
          <w:r>
            <w:rPr>
              <w:noProof/>
            </w:rPr>
            <w:fldChar w:fldCharType="begin"/>
          </w:r>
          <w:r>
            <w:rPr>
              <w:noProof/>
            </w:rPr>
            <w:instrText xml:space="preserve"> NUMPAGES  \* MERGEFORMAT </w:instrText>
          </w:r>
          <w:r>
            <w:rPr>
              <w:noProof/>
            </w:rPr>
            <w:fldChar w:fldCharType="separate"/>
          </w:r>
          <w:r>
            <w:rPr>
              <w:noProof/>
            </w:rPr>
            <w:t>100</w:t>
          </w:r>
          <w:r>
            <w:rPr>
              <w:noProof/>
            </w:rPr>
            <w:fldChar w:fldCharType="end"/>
          </w:r>
        </w:p>
      </w:tc>
      <w:tc>
        <w:tcPr>
          <w:tcW w:w="828" w:type="pct"/>
          <w:shd w:val="clear" w:color="auto" w:fill="auto"/>
          <w:vAlign w:val="bottom"/>
        </w:tcPr>
        <w:p w14:paraId="601A85F8" w14:textId="77777777" w:rsidR="00145703" w:rsidRPr="003B1894" w:rsidRDefault="00145703" w:rsidP="003B1894">
          <w:pPr>
            <w:pStyle w:val="Footer"/>
            <w:jc w:val="right"/>
          </w:pPr>
        </w:p>
      </w:tc>
    </w:tr>
  </w:tbl>
  <w:p w14:paraId="601A85FA" w14:textId="77777777" w:rsidR="00145703" w:rsidRPr="003B1894" w:rsidRDefault="00145703" w:rsidP="003B1894">
    <w:pPr>
      <w:pStyle w:val="Footer"/>
      <w:spacing w:line="2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0F4A3" w14:textId="77777777" w:rsidR="000750D7" w:rsidRDefault="000750D7">
      <w:pPr>
        <w:spacing w:before="0"/>
      </w:pPr>
      <w:r>
        <w:separator/>
      </w:r>
    </w:p>
  </w:footnote>
  <w:footnote w:type="continuationSeparator" w:id="0">
    <w:p w14:paraId="533381AF" w14:textId="77777777" w:rsidR="000750D7" w:rsidRDefault="000750D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85E0" w14:textId="77777777" w:rsidR="00145703" w:rsidRDefault="00145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85E1" w14:textId="77777777" w:rsidR="00145703" w:rsidRDefault="00145703" w:rsidP="008C3B92">
    <w:pPr>
      <w:pStyle w:val="Header"/>
      <w:pBdr>
        <w:bottom w:val="single" w:sz="4" w:space="6" w:color="auto"/>
      </w:pBdr>
    </w:pPr>
    <w:r>
      <w:rPr>
        <w:noProof/>
      </w:rPr>
      <mc:AlternateContent>
        <mc:Choice Requires="wps">
          <w:drawing>
            <wp:anchor distT="0" distB="0" distL="114300" distR="114300" simplePos="0" relativeHeight="251660288" behindDoc="0" locked="0" layoutInCell="0" allowOverlap="1" wp14:anchorId="424FBB98" wp14:editId="07DC7F21">
              <wp:simplePos x="0" y="0"/>
              <wp:positionH relativeFrom="page">
                <wp:align>center</wp:align>
              </wp:positionH>
              <wp:positionV relativeFrom="page">
                <wp:align>top</wp:align>
              </wp:positionV>
              <wp:extent cx="7772400" cy="463550"/>
              <wp:effectExtent l="0" t="0" r="0" b="12700"/>
              <wp:wrapNone/>
              <wp:docPr id="4" name="MSIPCMe63246e9984d5af1304a58b4" descr="{&quot;HashCode&quot;:-981398043,&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F1B403" w14:textId="77777777" w:rsidR="00145703" w:rsidRPr="00F55927" w:rsidRDefault="00145703" w:rsidP="00B52F7D">
                          <w:pPr>
                            <w:spacing w:before="0"/>
                            <w:jc w:val="center"/>
                            <w:rPr>
                              <w:rFonts w:ascii="Calibri" w:hAnsi="Calibri" w:cs="Calibri"/>
                              <w:sz w:val="20"/>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wps:bodyPr>
                  </wps:wsp>
                </a:graphicData>
              </a:graphic>
            </wp:anchor>
          </w:drawing>
        </mc:Choice>
        <mc:Fallback>
          <w:pict>
            <v:shapetype w14:anchorId="424FBB98" id="_x0000_t202" coordsize="21600,21600" o:spt="202" path="m,l,21600r21600,l21600,xe">
              <v:stroke joinstyle="miter"/>
              <v:path gradientshapeok="t" o:connecttype="rect"/>
            </v:shapetype>
            <v:shape id="MSIPCMe63246e9984d5af1304a58b4" o:spid="_x0000_s1026" type="#_x0000_t202" alt="{&quot;HashCode&quot;:-981398043,&quot;Height&quot;:9999999.0,&quot;Width&quot;:9999999.0,&quot;Placement&quot;:&quot;Header&quot;,&quot;Index&quot;:&quot;Primary&quot;,&quot;Section&quot;:1,&quot;Top&quot;:0.0,&quot;Left&quot;:0.0}" style="position:absolute;left:0;text-align:left;margin-left:0;margin-top:0;width:612pt;height:36.5pt;z-index:251660288;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k5LowIAAEIFAAAOAAAAZHJzL2Uyb0RvYy54bWysVEtv2zAMvg/YfxB02GmNncRJE69O0aXo&#10;WiBtA6RDz4osxwasRyWldjbsv4+S5bTrtsswH2SSH8WXSJ6dt7xGz0ybSooMDwcxRkxQmVdil+Gv&#10;D1cnM4yMJSIntRQswwdm8Pni/buzRqVsJEtZ50wjMCJM2qgMl9aqNIoMLRknZiAVEwAWUnNigdW7&#10;KNekAeu8jkZxPI0aqXOlJWXGgPSyA/HC2y8KRu19URhmUZ1hiM36U/tz685ocUbSnSaqrGgIg/xD&#10;FJxUApweTV0SS9BeV7+Z4hXV0sjCDqjkkSyKijKfA2QzjN9ksymJYj4XKI5RxzKZ/2eW3j2vNary&#10;DCcYCcLhiW43N+vlLZuOR8mUzeezJJ+QYjiOEzKZbUErZ4ZCBb9/eNpL++mamHIpc9Zx6cl8NhzP&#10;Z3Ey/hhwVu1KG9B59w3iAD5WuS3/gq1rQhlnor/bmyPQMB0djNyInLXBSPdb64oTffhFawOtAD0a&#10;9Ibh7oNUQRIfg1qxovcJwh+uRRplUqjURkGtbPtZttDqvdyA0L18W2ju/vCmCHBotsOxwVhrEQXh&#10;6enpKIkBooAl0/Fk4jswermttLFfmOTIERnWELXvK/K8MhYiAdVexTkT8qqqa9/EtUBNhsFm7C8c&#10;EbhRC7jocuhidZRtt21IbCvzA+SlZTccRtGrCpyviLFromEaIF6YcHsPR1FLcCIDhVEp9bc/yZ0+&#10;NCmgGDUwXRk2T3uiGUb1jYD2nQ+TxI2jZ4DQr6XbXir2fClhcIewQxT1pNO1dU8WWvJHWAAXzhtA&#10;RFDwmWFqdc8sLfAAwQqh7OLC0zB6itiV2CjqjLtCuqI+tI9Eq1B5C292J/sJJOmbB+h0Q1m7CgYG&#10;BtU/U1gqbhO85r3Wy+pb/AQAAP//AwBQSwMEFAAGAAgAAAAhAL4fCrfaAAAABQEAAA8AAABkcnMv&#10;ZG93bnJldi54bWxMj0tPwzAQhO9I/AdrkbhRmxSVKsSpeAgJTqiBS29uvHlAvI5itzH/ni0XuKw0&#10;mtnZb4tNcoM44hR6TxquFwoEUu1tT62Gj/fnqzWIEA1ZM3hCDd8YYFOenxUmt36mLR6r2AouoZAb&#10;DV2MYy5lqDt0Jiz8iMRe4ydnIsuplXYyM5e7QWZKraQzPfGFzoz42GH9VR0cY/jxNftczeppmXbV&#10;S2reHvrYaH15ke7vQERM8S8MJ3zegZKZ9v5ANohBAz8Sf+fJy7Ib1nsNt0sFsizkf/ryBwAA//8D&#10;AFBLAQItABQABgAIAAAAIQC2gziS/gAAAOEBAAATAAAAAAAAAAAAAAAAAAAAAABbQ29udGVudF9U&#10;eXBlc10ueG1sUEsBAi0AFAAGAAgAAAAhADj9If/WAAAAlAEAAAsAAAAAAAAAAAAAAAAALwEAAF9y&#10;ZWxzLy5yZWxzUEsBAi0AFAAGAAgAAAAhANPuTkujAgAAQgUAAA4AAAAAAAAAAAAAAAAALgIAAGRy&#10;cy9lMm9Eb2MueG1sUEsBAi0AFAAGAAgAAAAhAL4fCrfaAAAABQEAAA8AAAAAAAAAAAAAAAAA/QQA&#10;AGRycy9kb3ducmV2LnhtbFBLBQYAAAAABAAEAPMAAAAEBgAAAAA=&#10;" o:allowincell="f" filled="f" stroked="f" strokeweight=".5pt">
              <v:textbox inset=",0,,0">
                <w:txbxContent>
                  <w:p w14:paraId="19F1B403" w14:textId="77777777" w:rsidR="00145703" w:rsidRPr="00F55927" w:rsidRDefault="00145703" w:rsidP="00B52F7D">
                    <w:pPr>
                      <w:spacing w:before="0"/>
                      <w:jc w:val="center"/>
                      <w:rPr>
                        <w:rFonts w:ascii="Calibri" w:hAnsi="Calibri" w:cs="Calibri"/>
                        <w:sz w:val="20"/>
                      </w:rPr>
                    </w:pPr>
                  </w:p>
                </w:txbxContent>
              </v:textbox>
              <w10:wrap anchorx="page" anchory="page"/>
            </v:shape>
          </w:pict>
        </mc:Fallback>
      </mc:AlternateContent>
    </w:r>
    <w:r w:rsidRPr="00912AEF">
      <w:rPr>
        <w:noProof/>
      </w:rPr>
      <w:t>Tepotinib</w:t>
    </w:r>
    <w:r>
      <w:tab/>
    </w:r>
    <w:r w:rsidRPr="00912AEF">
      <w:t>Tepotinib DDI with Carbamazepine</w:t>
    </w:r>
  </w:p>
  <w:p w14:paraId="601A85E2" w14:textId="77777777" w:rsidR="00145703" w:rsidRDefault="00145703" w:rsidP="008C3B92">
    <w:pPr>
      <w:pStyle w:val="Header"/>
      <w:pBdr>
        <w:bottom w:val="single" w:sz="4" w:space="6" w:color="auto"/>
      </w:pBdr>
    </w:pPr>
    <w:r w:rsidRPr="00912AEF">
      <w:t>MS200095_0051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85EB" w14:textId="77777777" w:rsidR="00145703" w:rsidRDefault="00145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57E679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5E241B"/>
    <w:multiLevelType w:val="hybridMultilevel"/>
    <w:tmpl w:val="97CC0062"/>
    <w:lvl w:ilvl="0" w:tplc="860A928A">
      <w:start w:val="1"/>
      <w:numFmt w:val="bullet"/>
      <w:lvlText w:val=""/>
      <w:lvlJc w:val="left"/>
      <w:pPr>
        <w:ind w:left="720" w:hanging="360"/>
      </w:pPr>
      <w:rPr>
        <w:rFonts w:ascii="Symbol" w:hAnsi="Symbol" w:hint="default"/>
      </w:rPr>
    </w:lvl>
    <w:lvl w:ilvl="1" w:tplc="5992B9A4">
      <w:start w:val="1"/>
      <w:numFmt w:val="bullet"/>
      <w:lvlText w:val="o"/>
      <w:lvlJc w:val="left"/>
      <w:pPr>
        <w:ind w:left="1440" w:hanging="360"/>
      </w:pPr>
      <w:rPr>
        <w:rFonts w:ascii="Courier New" w:hAnsi="Courier New" w:cs="Courier New" w:hint="default"/>
      </w:rPr>
    </w:lvl>
    <w:lvl w:ilvl="2" w:tplc="6202438E">
      <w:start w:val="1"/>
      <w:numFmt w:val="bullet"/>
      <w:lvlText w:val=""/>
      <w:lvlJc w:val="left"/>
      <w:pPr>
        <w:ind w:left="2160" w:hanging="360"/>
      </w:pPr>
      <w:rPr>
        <w:rFonts w:ascii="Wingdings" w:hAnsi="Wingdings" w:hint="default"/>
      </w:rPr>
    </w:lvl>
    <w:lvl w:ilvl="3" w:tplc="262CD73A">
      <w:start w:val="1"/>
      <w:numFmt w:val="bullet"/>
      <w:lvlText w:val=""/>
      <w:lvlJc w:val="left"/>
      <w:pPr>
        <w:ind w:left="2880" w:hanging="360"/>
      </w:pPr>
      <w:rPr>
        <w:rFonts w:ascii="Symbol" w:hAnsi="Symbol" w:hint="default"/>
      </w:rPr>
    </w:lvl>
    <w:lvl w:ilvl="4" w:tplc="77428A58">
      <w:start w:val="1"/>
      <w:numFmt w:val="bullet"/>
      <w:lvlText w:val="o"/>
      <w:lvlJc w:val="left"/>
      <w:pPr>
        <w:ind w:left="3600" w:hanging="360"/>
      </w:pPr>
      <w:rPr>
        <w:rFonts w:ascii="Courier New" w:hAnsi="Courier New" w:cs="Courier New" w:hint="default"/>
      </w:rPr>
    </w:lvl>
    <w:lvl w:ilvl="5" w:tplc="D87EDA1A">
      <w:start w:val="1"/>
      <w:numFmt w:val="bullet"/>
      <w:lvlText w:val=""/>
      <w:lvlJc w:val="left"/>
      <w:pPr>
        <w:ind w:left="4320" w:hanging="360"/>
      </w:pPr>
      <w:rPr>
        <w:rFonts w:ascii="Wingdings" w:hAnsi="Wingdings" w:hint="default"/>
      </w:rPr>
    </w:lvl>
    <w:lvl w:ilvl="6" w:tplc="A77A5BF2">
      <w:start w:val="1"/>
      <w:numFmt w:val="bullet"/>
      <w:lvlText w:val=""/>
      <w:lvlJc w:val="left"/>
      <w:pPr>
        <w:ind w:left="5040" w:hanging="360"/>
      </w:pPr>
      <w:rPr>
        <w:rFonts w:ascii="Symbol" w:hAnsi="Symbol" w:hint="default"/>
      </w:rPr>
    </w:lvl>
    <w:lvl w:ilvl="7" w:tplc="C5F6EFA6">
      <w:start w:val="1"/>
      <w:numFmt w:val="bullet"/>
      <w:lvlText w:val="o"/>
      <w:lvlJc w:val="left"/>
      <w:pPr>
        <w:ind w:left="5760" w:hanging="360"/>
      </w:pPr>
      <w:rPr>
        <w:rFonts w:ascii="Courier New" w:hAnsi="Courier New" w:cs="Courier New" w:hint="default"/>
      </w:rPr>
    </w:lvl>
    <w:lvl w:ilvl="8" w:tplc="740A129A">
      <w:start w:val="1"/>
      <w:numFmt w:val="bullet"/>
      <w:lvlText w:val=""/>
      <w:lvlJc w:val="left"/>
      <w:pPr>
        <w:ind w:left="6480" w:hanging="360"/>
      </w:pPr>
      <w:rPr>
        <w:rFonts w:ascii="Wingdings" w:hAnsi="Wingdings" w:hint="default"/>
      </w:rPr>
    </w:lvl>
  </w:abstractNum>
  <w:abstractNum w:abstractNumId="2" w15:restartNumberingAfterBreak="0">
    <w:nsid w:val="0D9F4A29"/>
    <w:multiLevelType w:val="hybridMultilevel"/>
    <w:tmpl w:val="02221D18"/>
    <w:lvl w:ilvl="0" w:tplc="D37272BC">
      <w:start w:val="1"/>
      <w:numFmt w:val="lowerLetter"/>
      <w:lvlText w:val="%1."/>
      <w:lvlJc w:val="left"/>
      <w:pPr>
        <w:ind w:left="720" w:hanging="360"/>
      </w:pPr>
      <w:rPr>
        <w:rFonts w:cs="Times New Roman"/>
      </w:rPr>
    </w:lvl>
    <w:lvl w:ilvl="1" w:tplc="F6A6CAE0">
      <w:start w:val="1"/>
      <w:numFmt w:val="lowerLetter"/>
      <w:lvlText w:val="%2."/>
      <w:lvlJc w:val="left"/>
      <w:pPr>
        <w:ind w:left="1440" w:hanging="360"/>
      </w:pPr>
      <w:rPr>
        <w:rFonts w:cs="Times New Roman"/>
      </w:rPr>
    </w:lvl>
    <w:lvl w:ilvl="2" w:tplc="A4FCC89A">
      <w:start w:val="1"/>
      <w:numFmt w:val="lowerRoman"/>
      <w:lvlText w:val="%3."/>
      <w:lvlJc w:val="right"/>
      <w:pPr>
        <w:ind w:left="2160" w:hanging="180"/>
      </w:pPr>
      <w:rPr>
        <w:rFonts w:cs="Times New Roman"/>
      </w:rPr>
    </w:lvl>
    <w:lvl w:ilvl="3" w:tplc="7A58E31C">
      <w:start w:val="1"/>
      <w:numFmt w:val="decimal"/>
      <w:lvlText w:val="%4."/>
      <w:lvlJc w:val="left"/>
      <w:pPr>
        <w:ind w:left="2880" w:hanging="360"/>
      </w:pPr>
      <w:rPr>
        <w:rFonts w:cs="Times New Roman"/>
      </w:rPr>
    </w:lvl>
    <w:lvl w:ilvl="4" w:tplc="4D006980">
      <w:start w:val="1"/>
      <w:numFmt w:val="lowerLetter"/>
      <w:lvlText w:val="%5."/>
      <w:lvlJc w:val="left"/>
      <w:pPr>
        <w:ind w:left="3600" w:hanging="360"/>
      </w:pPr>
      <w:rPr>
        <w:rFonts w:cs="Times New Roman"/>
      </w:rPr>
    </w:lvl>
    <w:lvl w:ilvl="5" w:tplc="D21CF898">
      <w:start w:val="1"/>
      <w:numFmt w:val="lowerRoman"/>
      <w:lvlText w:val="%6."/>
      <w:lvlJc w:val="right"/>
      <w:pPr>
        <w:ind w:left="4320" w:hanging="180"/>
      </w:pPr>
      <w:rPr>
        <w:rFonts w:cs="Times New Roman"/>
      </w:rPr>
    </w:lvl>
    <w:lvl w:ilvl="6" w:tplc="840C3E6E">
      <w:start w:val="1"/>
      <w:numFmt w:val="decimal"/>
      <w:lvlText w:val="%7."/>
      <w:lvlJc w:val="left"/>
      <w:pPr>
        <w:ind w:left="5040" w:hanging="360"/>
      </w:pPr>
      <w:rPr>
        <w:rFonts w:cs="Times New Roman"/>
      </w:rPr>
    </w:lvl>
    <w:lvl w:ilvl="7" w:tplc="65281D9A">
      <w:start w:val="1"/>
      <w:numFmt w:val="lowerLetter"/>
      <w:lvlText w:val="%8."/>
      <w:lvlJc w:val="left"/>
      <w:pPr>
        <w:ind w:left="5760" w:hanging="360"/>
      </w:pPr>
      <w:rPr>
        <w:rFonts w:cs="Times New Roman"/>
      </w:rPr>
    </w:lvl>
    <w:lvl w:ilvl="8" w:tplc="FBFEE1A2">
      <w:start w:val="1"/>
      <w:numFmt w:val="lowerRoman"/>
      <w:lvlText w:val="%9."/>
      <w:lvlJc w:val="right"/>
      <w:pPr>
        <w:ind w:left="6480" w:hanging="180"/>
      </w:pPr>
      <w:rPr>
        <w:rFonts w:cs="Times New Roman"/>
      </w:rPr>
    </w:lvl>
  </w:abstractNum>
  <w:abstractNum w:abstractNumId="3" w15:restartNumberingAfterBreak="0">
    <w:nsid w:val="134E4DA5"/>
    <w:multiLevelType w:val="hybridMultilevel"/>
    <w:tmpl w:val="2184087E"/>
    <w:numStyleLink w:val="CPTB"/>
  </w:abstractNum>
  <w:abstractNum w:abstractNumId="4" w15:restartNumberingAfterBreak="0">
    <w:nsid w:val="13514FC7"/>
    <w:multiLevelType w:val="hybridMultilevel"/>
    <w:tmpl w:val="CCD810D4"/>
    <w:lvl w:ilvl="0" w:tplc="3E5EE52E">
      <w:start w:val="1"/>
      <w:numFmt w:val="lowerLetter"/>
      <w:pStyle w:val="listalpha"/>
      <w:lvlText w:val="%1."/>
      <w:lvlJc w:val="left"/>
      <w:pPr>
        <w:tabs>
          <w:tab w:val="num" w:pos="432"/>
        </w:tabs>
        <w:ind w:left="432" w:hanging="432"/>
      </w:pPr>
      <w:rPr>
        <w:rFonts w:ascii="Times New Roman" w:hAnsi="Times New Roman" w:cs="Times New Roman" w:hint="default"/>
      </w:rPr>
    </w:lvl>
    <w:lvl w:ilvl="1" w:tplc="A72E2D0E">
      <w:numFmt w:val="decimal"/>
      <w:lvlText w:val=""/>
      <w:lvlJc w:val="left"/>
    </w:lvl>
    <w:lvl w:ilvl="2" w:tplc="E3AAACDC">
      <w:numFmt w:val="decimal"/>
      <w:lvlText w:val=""/>
      <w:lvlJc w:val="left"/>
    </w:lvl>
    <w:lvl w:ilvl="3" w:tplc="E1563DB0">
      <w:numFmt w:val="decimal"/>
      <w:lvlText w:val=""/>
      <w:lvlJc w:val="left"/>
    </w:lvl>
    <w:lvl w:ilvl="4" w:tplc="0B14729A">
      <w:numFmt w:val="decimal"/>
      <w:lvlText w:val=""/>
      <w:lvlJc w:val="left"/>
    </w:lvl>
    <w:lvl w:ilvl="5" w:tplc="E21AA2B8">
      <w:numFmt w:val="decimal"/>
      <w:lvlText w:val=""/>
      <w:lvlJc w:val="left"/>
    </w:lvl>
    <w:lvl w:ilvl="6" w:tplc="D5EC5738">
      <w:numFmt w:val="decimal"/>
      <w:lvlText w:val=""/>
      <w:lvlJc w:val="left"/>
    </w:lvl>
    <w:lvl w:ilvl="7" w:tplc="97A669DE">
      <w:numFmt w:val="decimal"/>
      <w:lvlText w:val=""/>
      <w:lvlJc w:val="left"/>
    </w:lvl>
    <w:lvl w:ilvl="8" w:tplc="D0FCFD5E">
      <w:numFmt w:val="decimal"/>
      <w:lvlText w:val=""/>
      <w:lvlJc w:val="left"/>
    </w:lvl>
  </w:abstractNum>
  <w:abstractNum w:abstractNumId="5" w15:restartNumberingAfterBreak="0">
    <w:nsid w:val="137F350E"/>
    <w:multiLevelType w:val="hybridMultilevel"/>
    <w:tmpl w:val="5F28E73E"/>
    <w:lvl w:ilvl="0" w:tplc="67082FE0">
      <w:start w:val="1"/>
      <w:numFmt w:val="bullet"/>
      <w:lvlText w:val=""/>
      <w:lvlJc w:val="left"/>
      <w:pPr>
        <w:ind w:left="720" w:hanging="360"/>
      </w:pPr>
      <w:rPr>
        <w:rFonts w:ascii="Symbol" w:hAnsi="Symbol" w:hint="default"/>
      </w:rPr>
    </w:lvl>
    <w:lvl w:ilvl="1" w:tplc="272038FA">
      <w:start w:val="1"/>
      <w:numFmt w:val="bullet"/>
      <w:lvlText w:val="o"/>
      <w:lvlJc w:val="left"/>
      <w:pPr>
        <w:ind w:left="1440" w:hanging="360"/>
      </w:pPr>
      <w:rPr>
        <w:rFonts w:ascii="Courier New" w:hAnsi="Courier New" w:cs="Courier New" w:hint="default"/>
      </w:rPr>
    </w:lvl>
    <w:lvl w:ilvl="2" w:tplc="2926EE72">
      <w:start w:val="1"/>
      <w:numFmt w:val="bullet"/>
      <w:lvlText w:val=""/>
      <w:lvlJc w:val="left"/>
      <w:pPr>
        <w:ind w:left="2160" w:hanging="360"/>
      </w:pPr>
      <w:rPr>
        <w:rFonts w:ascii="Wingdings" w:hAnsi="Wingdings" w:hint="default"/>
      </w:rPr>
    </w:lvl>
    <w:lvl w:ilvl="3" w:tplc="118806DC">
      <w:start w:val="1"/>
      <w:numFmt w:val="bullet"/>
      <w:lvlText w:val=""/>
      <w:lvlJc w:val="left"/>
      <w:pPr>
        <w:ind w:left="2880" w:hanging="360"/>
      </w:pPr>
      <w:rPr>
        <w:rFonts w:ascii="Symbol" w:hAnsi="Symbol" w:hint="default"/>
      </w:rPr>
    </w:lvl>
    <w:lvl w:ilvl="4" w:tplc="9D52C3A0">
      <w:start w:val="1"/>
      <w:numFmt w:val="bullet"/>
      <w:lvlText w:val="o"/>
      <w:lvlJc w:val="left"/>
      <w:pPr>
        <w:ind w:left="3600" w:hanging="360"/>
      </w:pPr>
      <w:rPr>
        <w:rFonts w:ascii="Courier New" w:hAnsi="Courier New" w:cs="Courier New" w:hint="default"/>
      </w:rPr>
    </w:lvl>
    <w:lvl w:ilvl="5" w:tplc="7DF488AC">
      <w:start w:val="1"/>
      <w:numFmt w:val="bullet"/>
      <w:lvlText w:val=""/>
      <w:lvlJc w:val="left"/>
      <w:pPr>
        <w:ind w:left="4320" w:hanging="360"/>
      </w:pPr>
      <w:rPr>
        <w:rFonts w:ascii="Wingdings" w:hAnsi="Wingdings" w:hint="default"/>
      </w:rPr>
    </w:lvl>
    <w:lvl w:ilvl="6" w:tplc="8DBE1C78">
      <w:start w:val="1"/>
      <w:numFmt w:val="bullet"/>
      <w:lvlText w:val=""/>
      <w:lvlJc w:val="left"/>
      <w:pPr>
        <w:ind w:left="5040" w:hanging="360"/>
      </w:pPr>
      <w:rPr>
        <w:rFonts w:ascii="Symbol" w:hAnsi="Symbol" w:hint="default"/>
      </w:rPr>
    </w:lvl>
    <w:lvl w:ilvl="7" w:tplc="855A67B0">
      <w:start w:val="1"/>
      <w:numFmt w:val="bullet"/>
      <w:lvlText w:val="o"/>
      <w:lvlJc w:val="left"/>
      <w:pPr>
        <w:ind w:left="5760" w:hanging="360"/>
      </w:pPr>
      <w:rPr>
        <w:rFonts w:ascii="Courier New" w:hAnsi="Courier New" w:cs="Courier New" w:hint="default"/>
      </w:rPr>
    </w:lvl>
    <w:lvl w:ilvl="8" w:tplc="2E304584">
      <w:start w:val="1"/>
      <w:numFmt w:val="bullet"/>
      <w:lvlText w:val=""/>
      <w:lvlJc w:val="left"/>
      <w:pPr>
        <w:ind w:left="6480" w:hanging="360"/>
      </w:pPr>
      <w:rPr>
        <w:rFonts w:ascii="Wingdings" w:hAnsi="Wingdings" w:hint="default"/>
      </w:rPr>
    </w:lvl>
  </w:abstractNum>
  <w:abstractNum w:abstractNumId="6" w15:restartNumberingAfterBreak="0">
    <w:nsid w:val="24323AEA"/>
    <w:multiLevelType w:val="hybridMultilevel"/>
    <w:tmpl w:val="D75ECEE6"/>
    <w:lvl w:ilvl="0" w:tplc="D57206AA">
      <w:start w:val="1"/>
      <w:numFmt w:val="bullet"/>
      <w:lvlText w:val=""/>
      <w:lvlJc w:val="left"/>
      <w:pPr>
        <w:tabs>
          <w:tab w:val="num" w:pos="283"/>
        </w:tabs>
        <w:ind w:left="283" w:hanging="283"/>
      </w:pPr>
      <w:rPr>
        <w:rFonts w:ascii="Symbol" w:hAnsi="Symbol" w:hint="default"/>
        <w:sz w:val="24"/>
      </w:rPr>
    </w:lvl>
    <w:lvl w:ilvl="1" w:tplc="13BC7A90">
      <w:start w:val="1"/>
      <w:numFmt w:val="bullet"/>
      <w:lvlText w:val="o"/>
      <w:lvlJc w:val="left"/>
      <w:pPr>
        <w:tabs>
          <w:tab w:val="num" w:pos="1440"/>
        </w:tabs>
        <w:ind w:left="1440" w:hanging="360"/>
      </w:pPr>
      <w:rPr>
        <w:rFonts w:ascii="Courier New" w:hAnsi="Courier New" w:cs="Times New Roman" w:hint="default"/>
      </w:rPr>
    </w:lvl>
    <w:lvl w:ilvl="2" w:tplc="76065326">
      <w:start w:val="1"/>
      <w:numFmt w:val="bullet"/>
      <w:lvlText w:val=""/>
      <w:lvlJc w:val="left"/>
      <w:pPr>
        <w:tabs>
          <w:tab w:val="num" w:pos="2160"/>
        </w:tabs>
        <w:ind w:left="2160" w:hanging="360"/>
      </w:pPr>
      <w:rPr>
        <w:rFonts w:ascii="Wingdings" w:hAnsi="Wingdings" w:hint="default"/>
      </w:rPr>
    </w:lvl>
    <w:lvl w:ilvl="3" w:tplc="745A2DCC">
      <w:start w:val="1"/>
      <w:numFmt w:val="bullet"/>
      <w:lvlText w:val=""/>
      <w:lvlJc w:val="left"/>
      <w:pPr>
        <w:tabs>
          <w:tab w:val="num" w:pos="2880"/>
        </w:tabs>
        <w:ind w:left="2880" w:hanging="360"/>
      </w:pPr>
      <w:rPr>
        <w:rFonts w:ascii="Symbol" w:hAnsi="Symbol" w:hint="default"/>
      </w:rPr>
    </w:lvl>
    <w:lvl w:ilvl="4" w:tplc="32FAEC58">
      <w:start w:val="1"/>
      <w:numFmt w:val="bullet"/>
      <w:lvlText w:val="o"/>
      <w:lvlJc w:val="left"/>
      <w:pPr>
        <w:tabs>
          <w:tab w:val="num" w:pos="3600"/>
        </w:tabs>
        <w:ind w:left="3600" w:hanging="360"/>
      </w:pPr>
      <w:rPr>
        <w:rFonts w:ascii="Courier New" w:hAnsi="Courier New" w:cs="Times New Roman" w:hint="default"/>
      </w:rPr>
    </w:lvl>
    <w:lvl w:ilvl="5" w:tplc="9C3E6134">
      <w:start w:val="1"/>
      <w:numFmt w:val="bullet"/>
      <w:lvlText w:val=""/>
      <w:lvlJc w:val="left"/>
      <w:pPr>
        <w:tabs>
          <w:tab w:val="num" w:pos="4320"/>
        </w:tabs>
        <w:ind w:left="4320" w:hanging="360"/>
      </w:pPr>
      <w:rPr>
        <w:rFonts w:ascii="Wingdings" w:hAnsi="Wingdings" w:hint="default"/>
      </w:rPr>
    </w:lvl>
    <w:lvl w:ilvl="6" w:tplc="5FD029FA">
      <w:start w:val="1"/>
      <w:numFmt w:val="bullet"/>
      <w:lvlText w:val=""/>
      <w:lvlJc w:val="left"/>
      <w:pPr>
        <w:tabs>
          <w:tab w:val="num" w:pos="5040"/>
        </w:tabs>
        <w:ind w:left="5040" w:hanging="360"/>
      </w:pPr>
      <w:rPr>
        <w:rFonts w:ascii="Symbol" w:hAnsi="Symbol" w:hint="default"/>
      </w:rPr>
    </w:lvl>
    <w:lvl w:ilvl="7" w:tplc="D2BCEF78">
      <w:start w:val="1"/>
      <w:numFmt w:val="bullet"/>
      <w:lvlText w:val="o"/>
      <w:lvlJc w:val="left"/>
      <w:pPr>
        <w:tabs>
          <w:tab w:val="num" w:pos="5760"/>
        </w:tabs>
        <w:ind w:left="5760" w:hanging="360"/>
      </w:pPr>
      <w:rPr>
        <w:rFonts w:ascii="Courier New" w:hAnsi="Courier New" w:cs="Times New Roman" w:hint="default"/>
      </w:rPr>
    </w:lvl>
    <w:lvl w:ilvl="8" w:tplc="811EC36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B670A"/>
    <w:multiLevelType w:val="hybridMultilevel"/>
    <w:tmpl w:val="601EFC34"/>
    <w:lvl w:ilvl="0" w:tplc="E1AE93EC">
      <w:start w:val="1"/>
      <w:numFmt w:val="bullet"/>
      <w:lvlText w:val=""/>
      <w:lvlJc w:val="left"/>
      <w:pPr>
        <w:ind w:left="360" w:hanging="360"/>
      </w:pPr>
      <w:rPr>
        <w:rFonts w:ascii="Symbol" w:hAnsi="Symbol" w:hint="default"/>
        <w:color w:val="auto"/>
        <w:sz w:val="24"/>
      </w:rPr>
    </w:lvl>
    <w:lvl w:ilvl="1" w:tplc="6910203A" w:tentative="1">
      <w:start w:val="1"/>
      <w:numFmt w:val="lowerLetter"/>
      <w:lvlText w:val="%2."/>
      <w:lvlJc w:val="left"/>
      <w:pPr>
        <w:ind w:left="1080" w:hanging="360"/>
      </w:pPr>
    </w:lvl>
    <w:lvl w:ilvl="2" w:tplc="A5EAA3C4" w:tentative="1">
      <w:start w:val="1"/>
      <w:numFmt w:val="lowerRoman"/>
      <w:lvlText w:val="%3."/>
      <w:lvlJc w:val="right"/>
      <w:pPr>
        <w:ind w:left="1800" w:hanging="180"/>
      </w:pPr>
    </w:lvl>
    <w:lvl w:ilvl="3" w:tplc="247C1BA8" w:tentative="1">
      <w:start w:val="1"/>
      <w:numFmt w:val="decimal"/>
      <w:lvlText w:val="%4."/>
      <w:lvlJc w:val="left"/>
      <w:pPr>
        <w:ind w:left="2520" w:hanging="360"/>
      </w:pPr>
    </w:lvl>
    <w:lvl w:ilvl="4" w:tplc="541410DC" w:tentative="1">
      <w:start w:val="1"/>
      <w:numFmt w:val="lowerLetter"/>
      <w:lvlText w:val="%5."/>
      <w:lvlJc w:val="left"/>
      <w:pPr>
        <w:ind w:left="3240" w:hanging="360"/>
      </w:pPr>
    </w:lvl>
    <w:lvl w:ilvl="5" w:tplc="202A383E" w:tentative="1">
      <w:start w:val="1"/>
      <w:numFmt w:val="lowerRoman"/>
      <w:lvlText w:val="%6."/>
      <w:lvlJc w:val="right"/>
      <w:pPr>
        <w:ind w:left="3960" w:hanging="180"/>
      </w:pPr>
    </w:lvl>
    <w:lvl w:ilvl="6" w:tplc="FEDC08A6" w:tentative="1">
      <w:start w:val="1"/>
      <w:numFmt w:val="decimal"/>
      <w:lvlText w:val="%7."/>
      <w:lvlJc w:val="left"/>
      <w:pPr>
        <w:ind w:left="4680" w:hanging="360"/>
      </w:pPr>
    </w:lvl>
    <w:lvl w:ilvl="7" w:tplc="4AFE6FBA" w:tentative="1">
      <w:start w:val="1"/>
      <w:numFmt w:val="lowerLetter"/>
      <w:lvlText w:val="%8."/>
      <w:lvlJc w:val="left"/>
      <w:pPr>
        <w:ind w:left="5400" w:hanging="360"/>
      </w:pPr>
    </w:lvl>
    <w:lvl w:ilvl="8" w:tplc="94D41D6C" w:tentative="1">
      <w:start w:val="1"/>
      <w:numFmt w:val="lowerRoman"/>
      <w:lvlText w:val="%9."/>
      <w:lvlJc w:val="right"/>
      <w:pPr>
        <w:ind w:left="6120" w:hanging="180"/>
      </w:pPr>
    </w:lvl>
  </w:abstractNum>
  <w:abstractNum w:abstractNumId="8" w15:restartNumberingAfterBreak="0">
    <w:nsid w:val="3035190D"/>
    <w:multiLevelType w:val="hybridMultilevel"/>
    <w:tmpl w:val="6EA66680"/>
    <w:lvl w:ilvl="0" w:tplc="BD2E1928">
      <w:start w:val="1"/>
      <w:numFmt w:val="bullet"/>
      <w:pStyle w:val="listbull"/>
      <w:lvlText w:val=""/>
      <w:lvlJc w:val="left"/>
      <w:pPr>
        <w:tabs>
          <w:tab w:val="num" w:pos="432"/>
        </w:tabs>
        <w:ind w:left="432" w:hanging="432"/>
      </w:pPr>
      <w:rPr>
        <w:rFonts w:ascii="Symbol" w:hAnsi="Symbol" w:cs="Symbol" w:hint="default"/>
      </w:rPr>
    </w:lvl>
    <w:lvl w:ilvl="1" w:tplc="6F9085E0">
      <w:numFmt w:val="decimal"/>
      <w:lvlText w:val=""/>
      <w:lvlJc w:val="left"/>
    </w:lvl>
    <w:lvl w:ilvl="2" w:tplc="69763A80">
      <w:numFmt w:val="decimal"/>
      <w:lvlText w:val=""/>
      <w:lvlJc w:val="left"/>
    </w:lvl>
    <w:lvl w:ilvl="3" w:tplc="CB425B88">
      <w:numFmt w:val="decimal"/>
      <w:lvlText w:val=""/>
      <w:lvlJc w:val="left"/>
    </w:lvl>
    <w:lvl w:ilvl="4" w:tplc="E356EC5E">
      <w:numFmt w:val="decimal"/>
      <w:lvlText w:val=""/>
      <w:lvlJc w:val="left"/>
    </w:lvl>
    <w:lvl w:ilvl="5" w:tplc="8A24E8AC">
      <w:numFmt w:val="decimal"/>
      <w:lvlText w:val=""/>
      <w:lvlJc w:val="left"/>
    </w:lvl>
    <w:lvl w:ilvl="6" w:tplc="C9CE66A8">
      <w:numFmt w:val="decimal"/>
      <w:lvlText w:val=""/>
      <w:lvlJc w:val="left"/>
    </w:lvl>
    <w:lvl w:ilvl="7" w:tplc="B19A0192">
      <w:numFmt w:val="decimal"/>
      <w:lvlText w:val=""/>
      <w:lvlJc w:val="left"/>
    </w:lvl>
    <w:lvl w:ilvl="8" w:tplc="94FC1802">
      <w:numFmt w:val="decimal"/>
      <w:lvlText w:val=""/>
      <w:lvlJc w:val="left"/>
    </w:lvl>
  </w:abstractNum>
  <w:abstractNum w:abstractNumId="9" w15:restartNumberingAfterBreak="0">
    <w:nsid w:val="379E6CC0"/>
    <w:multiLevelType w:val="hybridMultilevel"/>
    <w:tmpl w:val="1FF8F356"/>
    <w:lvl w:ilvl="0" w:tplc="4A9238EA">
      <w:start w:val="1"/>
      <w:numFmt w:val="decimal"/>
      <w:lvlText w:val="%1."/>
      <w:lvlJc w:val="left"/>
      <w:pPr>
        <w:ind w:left="360" w:hanging="360"/>
      </w:pPr>
    </w:lvl>
    <w:lvl w:ilvl="1" w:tplc="E484287E">
      <w:start w:val="1"/>
      <w:numFmt w:val="lowerLetter"/>
      <w:lvlText w:val="%2."/>
      <w:lvlJc w:val="left"/>
      <w:pPr>
        <w:ind w:left="1440" w:hanging="360"/>
      </w:pPr>
    </w:lvl>
    <w:lvl w:ilvl="2" w:tplc="C08C6B08">
      <w:start w:val="1"/>
      <w:numFmt w:val="lowerRoman"/>
      <w:lvlText w:val="%3."/>
      <w:lvlJc w:val="right"/>
      <w:pPr>
        <w:ind w:left="2160" w:hanging="180"/>
      </w:pPr>
    </w:lvl>
    <w:lvl w:ilvl="3" w:tplc="81E00514">
      <w:start w:val="1"/>
      <w:numFmt w:val="decimal"/>
      <w:lvlText w:val="%4."/>
      <w:lvlJc w:val="left"/>
      <w:pPr>
        <w:ind w:left="2880" w:hanging="360"/>
      </w:pPr>
    </w:lvl>
    <w:lvl w:ilvl="4" w:tplc="3F529E4E">
      <w:start w:val="1"/>
      <w:numFmt w:val="lowerLetter"/>
      <w:lvlText w:val="%5."/>
      <w:lvlJc w:val="left"/>
      <w:pPr>
        <w:ind w:left="3600" w:hanging="360"/>
      </w:pPr>
    </w:lvl>
    <w:lvl w:ilvl="5" w:tplc="ADE4A87A">
      <w:start w:val="1"/>
      <w:numFmt w:val="lowerRoman"/>
      <w:lvlText w:val="%6."/>
      <w:lvlJc w:val="right"/>
      <w:pPr>
        <w:ind w:left="4320" w:hanging="180"/>
      </w:pPr>
    </w:lvl>
    <w:lvl w:ilvl="6" w:tplc="CE2E4A2C">
      <w:start w:val="1"/>
      <w:numFmt w:val="decimal"/>
      <w:lvlText w:val="%7."/>
      <w:lvlJc w:val="left"/>
      <w:pPr>
        <w:ind w:left="5040" w:hanging="360"/>
      </w:pPr>
    </w:lvl>
    <w:lvl w:ilvl="7" w:tplc="F9C6DEDE">
      <w:start w:val="1"/>
      <w:numFmt w:val="lowerLetter"/>
      <w:lvlText w:val="%8."/>
      <w:lvlJc w:val="left"/>
      <w:pPr>
        <w:ind w:left="5760" w:hanging="360"/>
      </w:pPr>
    </w:lvl>
    <w:lvl w:ilvl="8" w:tplc="87E0187E">
      <w:start w:val="1"/>
      <w:numFmt w:val="lowerRoman"/>
      <w:lvlText w:val="%9."/>
      <w:lvlJc w:val="right"/>
      <w:pPr>
        <w:ind w:left="6480" w:hanging="180"/>
      </w:pPr>
    </w:lvl>
  </w:abstractNum>
  <w:abstractNum w:abstractNumId="10" w15:restartNumberingAfterBreak="0">
    <w:nsid w:val="3FD0414A"/>
    <w:multiLevelType w:val="hybridMultilevel"/>
    <w:tmpl w:val="E71009FE"/>
    <w:lvl w:ilvl="0" w:tplc="817272FA">
      <w:start w:val="1"/>
      <w:numFmt w:val="decimal"/>
      <w:lvlText w:val="%1."/>
      <w:lvlJc w:val="left"/>
      <w:pPr>
        <w:ind w:left="774" w:hanging="360"/>
      </w:pPr>
    </w:lvl>
    <w:lvl w:ilvl="1" w:tplc="4E161DF2">
      <w:start w:val="1"/>
      <w:numFmt w:val="lowerLetter"/>
      <w:lvlText w:val="%2."/>
      <w:lvlJc w:val="left"/>
      <w:pPr>
        <w:ind w:left="1494" w:hanging="360"/>
      </w:pPr>
    </w:lvl>
    <w:lvl w:ilvl="2" w:tplc="22BE3166">
      <w:start w:val="1"/>
      <w:numFmt w:val="lowerRoman"/>
      <w:lvlText w:val="%3."/>
      <w:lvlJc w:val="right"/>
      <w:pPr>
        <w:ind w:left="2214" w:hanging="180"/>
      </w:pPr>
    </w:lvl>
    <w:lvl w:ilvl="3" w:tplc="8AAA2DFA">
      <w:start w:val="1"/>
      <w:numFmt w:val="decimal"/>
      <w:lvlText w:val="%4."/>
      <w:lvlJc w:val="left"/>
      <w:pPr>
        <w:ind w:left="2934" w:hanging="360"/>
      </w:pPr>
    </w:lvl>
    <w:lvl w:ilvl="4" w:tplc="50E02194">
      <w:start w:val="1"/>
      <w:numFmt w:val="lowerLetter"/>
      <w:lvlText w:val="%5."/>
      <w:lvlJc w:val="left"/>
      <w:pPr>
        <w:ind w:left="3654" w:hanging="360"/>
      </w:pPr>
    </w:lvl>
    <w:lvl w:ilvl="5" w:tplc="90908B82">
      <w:start w:val="1"/>
      <w:numFmt w:val="lowerRoman"/>
      <w:lvlText w:val="%6."/>
      <w:lvlJc w:val="right"/>
      <w:pPr>
        <w:ind w:left="4374" w:hanging="180"/>
      </w:pPr>
    </w:lvl>
    <w:lvl w:ilvl="6" w:tplc="A2CE5116">
      <w:start w:val="1"/>
      <w:numFmt w:val="decimal"/>
      <w:lvlText w:val="%7."/>
      <w:lvlJc w:val="left"/>
      <w:pPr>
        <w:ind w:left="5094" w:hanging="360"/>
      </w:pPr>
    </w:lvl>
    <w:lvl w:ilvl="7" w:tplc="2A3497AE">
      <w:start w:val="1"/>
      <w:numFmt w:val="lowerLetter"/>
      <w:lvlText w:val="%8."/>
      <w:lvlJc w:val="left"/>
      <w:pPr>
        <w:ind w:left="5814" w:hanging="360"/>
      </w:pPr>
    </w:lvl>
    <w:lvl w:ilvl="8" w:tplc="6D5CB988">
      <w:start w:val="1"/>
      <w:numFmt w:val="lowerRoman"/>
      <w:lvlText w:val="%9."/>
      <w:lvlJc w:val="right"/>
      <w:pPr>
        <w:ind w:left="6534" w:hanging="180"/>
      </w:pPr>
    </w:lvl>
  </w:abstractNum>
  <w:abstractNum w:abstractNumId="11" w15:restartNumberingAfterBreak="0">
    <w:nsid w:val="42B557A9"/>
    <w:multiLevelType w:val="hybridMultilevel"/>
    <w:tmpl w:val="2184087E"/>
    <w:styleLink w:val="CPTB"/>
    <w:lvl w:ilvl="0" w:tplc="9D380CA4">
      <w:start w:val="1"/>
      <w:numFmt w:val="bullet"/>
      <w:lvlText w:val=""/>
      <w:lvlJc w:val="left"/>
      <w:pPr>
        <w:ind w:left="720" w:hanging="360"/>
      </w:pPr>
      <w:rPr>
        <w:rFonts w:ascii="Symbol" w:hAnsi="Symbol" w:hint="default"/>
      </w:rPr>
    </w:lvl>
    <w:lvl w:ilvl="1" w:tplc="3EE43514">
      <w:start w:val="1"/>
      <w:numFmt w:val="bullet"/>
      <w:lvlText w:val="o"/>
      <w:lvlJc w:val="left"/>
      <w:pPr>
        <w:ind w:left="1080" w:hanging="360"/>
      </w:pPr>
      <w:rPr>
        <w:rFonts w:ascii="Courier New" w:hAnsi="Courier New" w:hint="default"/>
      </w:rPr>
    </w:lvl>
    <w:lvl w:ilvl="2" w:tplc="D1E034D4">
      <w:start w:val="1"/>
      <w:numFmt w:val="bullet"/>
      <w:lvlText w:val=""/>
      <w:lvlJc w:val="left"/>
      <w:pPr>
        <w:ind w:left="1440" w:hanging="360"/>
      </w:pPr>
      <w:rPr>
        <w:rFonts w:ascii="Wingdings" w:hAnsi="Wingdings" w:hint="default"/>
      </w:rPr>
    </w:lvl>
    <w:lvl w:ilvl="3" w:tplc="2D2AFF2E">
      <w:start w:val="1"/>
      <w:numFmt w:val="bullet"/>
      <w:lvlText w:val=""/>
      <w:lvlJc w:val="left"/>
      <w:pPr>
        <w:ind w:left="1800" w:hanging="360"/>
      </w:pPr>
      <w:rPr>
        <w:rFonts w:ascii="Wingdings" w:hAnsi="Wingdings" w:hint="default"/>
      </w:rPr>
    </w:lvl>
    <w:lvl w:ilvl="4" w:tplc="417A57A6">
      <w:start w:val="1"/>
      <w:numFmt w:val="bullet"/>
      <w:lvlText w:val=""/>
      <w:lvlJc w:val="left"/>
      <w:pPr>
        <w:ind w:left="2160" w:hanging="360"/>
      </w:pPr>
      <w:rPr>
        <w:rFonts w:ascii="Symbol" w:hAnsi="Symbol" w:hint="default"/>
      </w:rPr>
    </w:lvl>
    <w:lvl w:ilvl="5" w:tplc="D2B05FDC">
      <w:start w:val="1"/>
      <w:numFmt w:val="bullet"/>
      <w:lvlText w:val=""/>
      <w:lvlJc w:val="left"/>
      <w:pPr>
        <w:ind w:left="2520" w:hanging="360"/>
      </w:pPr>
      <w:rPr>
        <w:rFonts w:ascii="Wingdings" w:hAnsi="Wingdings" w:hint="default"/>
      </w:rPr>
    </w:lvl>
    <w:lvl w:ilvl="6" w:tplc="0720D308">
      <w:start w:val="1"/>
      <w:numFmt w:val="bullet"/>
      <w:lvlText w:val=""/>
      <w:lvlJc w:val="left"/>
      <w:pPr>
        <w:ind w:left="2880" w:hanging="360"/>
      </w:pPr>
      <w:rPr>
        <w:rFonts w:ascii="Wingdings" w:hAnsi="Wingdings" w:hint="default"/>
      </w:rPr>
    </w:lvl>
    <w:lvl w:ilvl="7" w:tplc="9354A112">
      <w:start w:val="1"/>
      <w:numFmt w:val="bullet"/>
      <w:lvlText w:val=""/>
      <w:lvlJc w:val="left"/>
      <w:pPr>
        <w:ind w:left="3240" w:hanging="360"/>
      </w:pPr>
      <w:rPr>
        <w:rFonts w:ascii="Symbol" w:hAnsi="Symbol" w:hint="default"/>
      </w:rPr>
    </w:lvl>
    <w:lvl w:ilvl="8" w:tplc="DA440F52">
      <w:start w:val="1"/>
      <w:numFmt w:val="bullet"/>
      <w:lvlText w:val=""/>
      <w:lvlJc w:val="left"/>
      <w:pPr>
        <w:ind w:left="3600" w:hanging="360"/>
      </w:pPr>
      <w:rPr>
        <w:rFonts w:ascii="Symbol" w:hAnsi="Symbol" w:hint="default"/>
      </w:rPr>
    </w:lvl>
  </w:abstractNum>
  <w:abstractNum w:abstractNumId="12" w15:restartNumberingAfterBreak="0">
    <w:nsid w:val="43401EC0"/>
    <w:multiLevelType w:val="hybridMultilevel"/>
    <w:tmpl w:val="2C62F932"/>
    <w:lvl w:ilvl="0" w:tplc="EB825A1A">
      <w:start w:val="1"/>
      <w:numFmt w:val="bullet"/>
      <w:pStyle w:val="listindentbull"/>
      <w:lvlText w:val=""/>
      <w:lvlJc w:val="left"/>
      <w:pPr>
        <w:tabs>
          <w:tab w:val="num" w:pos="864"/>
        </w:tabs>
        <w:ind w:left="864" w:hanging="432"/>
      </w:pPr>
      <w:rPr>
        <w:rFonts w:ascii="Symbol" w:hAnsi="Symbol" w:cs="Symbol" w:hint="default"/>
        <w:color w:val="auto"/>
      </w:rPr>
    </w:lvl>
    <w:lvl w:ilvl="1" w:tplc="EFE84B48">
      <w:numFmt w:val="decimal"/>
      <w:lvlText w:val=""/>
      <w:lvlJc w:val="left"/>
    </w:lvl>
    <w:lvl w:ilvl="2" w:tplc="5A5CE84E">
      <w:numFmt w:val="decimal"/>
      <w:lvlText w:val=""/>
      <w:lvlJc w:val="left"/>
    </w:lvl>
    <w:lvl w:ilvl="3" w:tplc="C066A0FA">
      <w:numFmt w:val="decimal"/>
      <w:lvlText w:val=""/>
      <w:lvlJc w:val="left"/>
    </w:lvl>
    <w:lvl w:ilvl="4" w:tplc="37B8D8E2">
      <w:numFmt w:val="decimal"/>
      <w:lvlText w:val=""/>
      <w:lvlJc w:val="left"/>
    </w:lvl>
    <w:lvl w:ilvl="5" w:tplc="0B9EE890">
      <w:numFmt w:val="decimal"/>
      <w:lvlText w:val=""/>
      <w:lvlJc w:val="left"/>
    </w:lvl>
    <w:lvl w:ilvl="6" w:tplc="9FE6E826">
      <w:numFmt w:val="decimal"/>
      <w:lvlText w:val=""/>
      <w:lvlJc w:val="left"/>
    </w:lvl>
    <w:lvl w:ilvl="7" w:tplc="91BA2778">
      <w:numFmt w:val="decimal"/>
      <w:lvlText w:val=""/>
      <w:lvlJc w:val="left"/>
    </w:lvl>
    <w:lvl w:ilvl="8" w:tplc="98CE9746">
      <w:numFmt w:val="decimal"/>
      <w:lvlText w:val=""/>
      <w:lvlJc w:val="left"/>
    </w:lvl>
  </w:abstractNum>
  <w:abstractNum w:abstractNumId="13" w15:restartNumberingAfterBreak="0">
    <w:nsid w:val="4AC76D83"/>
    <w:multiLevelType w:val="hybridMultilevel"/>
    <w:tmpl w:val="CBF61DAE"/>
    <w:lvl w:ilvl="0" w:tplc="161EDDE4">
      <w:start w:val="1"/>
      <w:numFmt w:val="bullet"/>
      <w:pStyle w:val="List2withbullet"/>
      <w:lvlText w:val=""/>
      <w:lvlJc w:val="left"/>
      <w:pPr>
        <w:tabs>
          <w:tab w:val="num" w:pos="576"/>
        </w:tabs>
        <w:ind w:left="576" w:hanging="292"/>
      </w:pPr>
      <w:rPr>
        <w:rFonts w:ascii="Symbol" w:hAnsi="Symbol" w:hint="default"/>
        <w:sz w:val="24"/>
      </w:rPr>
    </w:lvl>
    <w:lvl w:ilvl="1" w:tplc="F39E9348">
      <w:start w:val="1"/>
      <w:numFmt w:val="bullet"/>
      <w:lvlText w:val="o"/>
      <w:lvlJc w:val="left"/>
      <w:pPr>
        <w:tabs>
          <w:tab w:val="num" w:pos="1440"/>
        </w:tabs>
        <w:ind w:left="1440" w:hanging="360"/>
      </w:pPr>
      <w:rPr>
        <w:rFonts w:ascii="Courier New" w:hAnsi="Courier New" w:hint="default"/>
      </w:rPr>
    </w:lvl>
    <w:lvl w:ilvl="2" w:tplc="ADB2F3B8" w:tentative="1">
      <w:start w:val="1"/>
      <w:numFmt w:val="bullet"/>
      <w:lvlText w:val=""/>
      <w:lvlJc w:val="left"/>
      <w:pPr>
        <w:tabs>
          <w:tab w:val="num" w:pos="2160"/>
        </w:tabs>
        <w:ind w:left="2160" w:hanging="360"/>
      </w:pPr>
      <w:rPr>
        <w:rFonts w:ascii="Wingdings" w:hAnsi="Wingdings" w:hint="default"/>
      </w:rPr>
    </w:lvl>
    <w:lvl w:ilvl="3" w:tplc="5EFC7670" w:tentative="1">
      <w:start w:val="1"/>
      <w:numFmt w:val="bullet"/>
      <w:lvlText w:val=""/>
      <w:lvlJc w:val="left"/>
      <w:pPr>
        <w:tabs>
          <w:tab w:val="num" w:pos="2880"/>
        </w:tabs>
        <w:ind w:left="2880" w:hanging="360"/>
      </w:pPr>
      <w:rPr>
        <w:rFonts w:ascii="Symbol" w:hAnsi="Symbol" w:hint="default"/>
      </w:rPr>
    </w:lvl>
    <w:lvl w:ilvl="4" w:tplc="17905BC8" w:tentative="1">
      <w:start w:val="1"/>
      <w:numFmt w:val="bullet"/>
      <w:lvlText w:val="o"/>
      <w:lvlJc w:val="left"/>
      <w:pPr>
        <w:tabs>
          <w:tab w:val="num" w:pos="3600"/>
        </w:tabs>
        <w:ind w:left="3600" w:hanging="360"/>
      </w:pPr>
      <w:rPr>
        <w:rFonts w:ascii="Courier New" w:hAnsi="Courier New" w:hint="default"/>
      </w:rPr>
    </w:lvl>
    <w:lvl w:ilvl="5" w:tplc="7F1E3360" w:tentative="1">
      <w:start w:val="1"/>
      <w:numFmt w:val="bullet"/>
      <w:lvlText w:val=""/>
      <w:lvlJc w:val="left"/>
      <w:pPr>
        <w:tabs>
          <w:tab w:val="num" w:pos="4320"/>
        </w:tabs>
        <w:ind w:left="4320" w:hanging="360"/>
      </w:pPr>
      <w:rPr>
        <w:rFonts w:ascii="Wingdings" w:hAnsi="Wingdings" w:hint="default"/>
      </w:rPr>
    </w:lvl>
    <w:lvl w:ilvl="6" w:tplc="59EE877C" w:tentative="1">
      <w:start w:val="1"/>
      <w:numFmt w:val="bullet"/>
      <w:lvlText w:val=""/>
      <w:lvlJc w:val="left"/>
      <w:pPr>
        <w:tabs>
          <w:tab w:val="num" w:pos="5040"/>
        </w:tabs>
        <w:ind w:left="5040" w:hanging="360"/>
      </w:pPr>
      <w:rPr>
        <w:rFonts w:ascii="Symbol" w:hAnsi="Symbol" w:hint="default"/>
      </w:rPr>
    </w:lvl>
    <w:lvl w:ilvl="7" w:tplc="1FEC1D22" w:tentative="1">
      <w:start w:val="1"/>
      <w:numFmt w:val="bullet"/>
      <w:lvlText w:val="o"/>
      <w:lvlJc w:val="left"/>
      <w:pPr>
        <w:tabs>
          <w:tab w:val="num" w:pos="5760"/>
        </w:tabs>
        <w:ind w:left="5760" w:hanging="360"/>
      </w:pPr>
      <w:rPr>
        <w:rFonts w:ascii="Courier New" w:hAnsi="Courier New" w:hint="default"/>
      </w:rPr>
    </w:lvl>
    <w:lvl w:ilvl="8" w:tplc="175681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2C27A2"/>
    <w:multiLevelType w:val="hybridMultilevel"/>
    <w:tmpl w:val="70829FEE"/>
    <w:lvl w:ilvl="0" w:tplc="08AE695A">
      <w:start w:val="1"/>
      <w:numFmt w:val="bullet"/>
      <w:lvlText w:val=""/>
      <w:lvlJc w:val="left"/>
      <w:pPr>
        <w:ind w:left="360" w:hanging="360"/>
      </w:pPr>
      <w:rPr>
        <w:rFonts w:ascii="Symbol" w:hAnsi="Symbol" w:hint="default"/>
        <w:color w:val="auto"/>
        <w:sz w:val="24"/>
      </w:rPr>
    </w:lvl>
    <w:lvl w:ilvl="1" w:tplc="FD069BB6" w:tentative="1">
      <w:start w:val="1"/>
      <w:numFmt w:val="lowerLetter"/>
      <w:lvlText w:val="%2."/>
      <w:lvlJc w:val="left"/>
      <w:pPr>
        <w:ind w:left="1080" w:hanging="360"/>
      </w:pPr>
    </w:lvl>
    <w:lvl w:ilvl="2" w:tplc="2A0C8C94" w:tentative="1">
      <w:start w:val="1"/>
      <w:numFmt w:val="lowerRoman"/>
      <w:lvlText w:val="%3."/>
      <w:lvlJc w:val="right"/>
      <w:pPr>
        <w:ind w:left="1800" w:hanging="180"/>
      </w:pPr>
    </w:lvl>
    <w:lvl w:ilvl="3" w:tplc="81CAAC42" w:tentative="1">
      <w:start w:val="1"/>
      <w:numFmt w:val="decimal"/>
      <w:lvlText w:val="%4."/>
      <w:lvlJc w:val="left"/>
      <w:pPr>
        <w:ind w:left="2520" w:hanging="360"/>
      </w:pPr>
    </w:lvl>
    <w:lvl w:ilvl="4" w:tplc="0B702426" w:tentative="1">
      <w:start w:val="1"/>
      <w:numFmt w:val="lowerLetter"/>
      <w:lvlText w:val="%5."/>
      <w:lvlJc w:val="left"/>
      <w:pPr>
        <w:ind w:left="3240" w:hanging="360"/>
      </w:pPr>
    </w:lvl>
    <w:lvl w:ilvl="5" w:tplc="16A05490" w:tentative="1">
      <w:start w:val="1"/>
      <w:numFmt w:val="lowerRoman"/>
      <w:lvlText w:val="%6."/>
      <w:lvlJc w:val="right"/>
      <w:pPr>
        <w:ind w:left="3960" w:hanging="180"/>
      </w:pPr>
    </w:lvl>
    <w:lvl w:ilvl="6" w:tplc="A2867BFC" w:tentative="1">
      <w:start w:val="1"/>
      <w:numFmt w:val="decimal"/>
      <w:lvlText w:val="%7."/>
      <w:lvlJc w:val="left"/>
      <w:pPr>
        <w:ind w:left="4680" w:hanging="360"/>
      </w:pPr>
    </w:lvl>
    <w:lvl w:ilvl="7" w:tplc="D590AB5A" w:tentative="1">
      <w:start w:val="1"/>
      <w:numFmt w:val="lowerLetter"/>
      <w:lvlText w:val="%8."/>
      <w:lvlJc w:val="left"/>
      <w:pPr>
        <w:ind w:left="5400" w:hanging="360"/>
      </w:pPr>
    </w:lvl>
    <w:lvl w:ilvl="8" w:tplc="0A6412FC" w:tentative="1">
      <w:start w:val="1"/>
      <w:numFmt w:val="lowerRoman"/>
      <w:lvlText w:val="%9."/>
      <w:lvlJc w:val="right"/>
      <w:pPr>
        <w:ind w:left="6120" w:hanging="180"/>
      </w:pPr>
    </w:lvl>
  </w:abstractNum>
  <w:abstractNum w:abstractNumId="15" w15:restartNumberingAfterBreak="0">
    <w:nsid w:val="5E803080"/>
    <w:multiLevelType w:val="hybridMultilevel"/>
    <w:tmpl w:val="B754CA54"/>
    <w:lvl w:ilvl="0" w:tplc="680E74DC">
      <w:start w:val="1"/>
      <w:numFmt w:val="lowerLetter"/>
      <w:lvlText w:val="%1."/>
      <w:lvlJc w:val="left"/>
      <w:pPr>
        <w:tabs>
          <w:tab w:val="num" w:pos="576"/>
        </w:tabs>
        <w:ind w:left="576" w:hanging="292"/>
      </w:pPr>
      <w:rPr>
        <w:rFonts w:hint="default"/>
        <w:sz w:val="24"/>
      </w:rPr>
    </w:lvl>
    <w:lvl w:ilvl="1" w:tplc="A1F47DBA">
      <w:start w:val="1"/>
      <w:numFmt w:val="bullet"/>
      <w:lvlText w:val="o"/>
      <w:lvlJc w:val="left"/>
      <w:pPr>
        <w:tabs>
          <w:tab w:val="num" w:pos="1440"/>
        </w:tabs>
        <w:ind w:left="1440" w:hanging="360"/>
      </w:pPr>
      <w:rPr>
        <w:rFonts w:ascii="Courier New" w:hAnsi="Courier New" w:hint="default"/>
      </w:rPr>
    </w:lvl>
    <w:lvl w:ilvl="2" w:tplc="EA182F7E" w:tentative="1">
      <w:start w:val="1"/>
      <w:numFmt w:val="bullet"/>
      <w:lvlText w:val=""/>
      <w:lvlJc w:val="left"/>
      <w:pPr>
        <w:tabs>
          <w:tab w:val="num" w:pos="2160"/>
        </w:tabs>
        <w:ind w:left="2160" w:hanging="360"/>
      </w:pPr>
      <w:rPr>
        <w:rFonts w:ascii="Wingdings" w:hAnsi="Wingdings" w:hint="default"/>
      </w:rPr>
    </w:lvl>
    <w:lvl w:ilvl="3" w:tplc="54E0A62C" w:tentative="1">
      <w:start w:val="1"/>
      <w:numFmt w:val="bullet"/>
      <w:lvlText w:val=""/>
      <w:lvlJc w:val="left"/>
      <w:pPr>
        <w:tabs>
          <w:tab w:val="num" w:pos="2880"/>
        </w:tabs>
        <w:ind w:left="2880" w:hanging="360"/>
      </w:pPr>
      <w:rPr>
        <w:rFonts w:ascii="Symbol" w:hAnsi="Symbol" w:hint="default"/>
      </w:rPr>
    </w:lvl>
    <w:lvl w:ilvl="4" w:tplc="987EB82C" w:tentative="1">
      <w:start w:val="1"/>
      <w:numFmt w:val="bullet"/>
      <w:lvlText w:val="o"/>
      <w:lvlJc w:val="left"/>
      <w:pPr>
        <w:tabs>
          <w:tab w:val="num" w:pos="3600"/>
        </w:tabs>
        <w:ind w:left="3600" w:hanging="360"/>
      </w:pPr>
      <w:rPr>
        <w:rFonts w:ascii="Courier New" w:hAnsi="Courier New" w:hint="default"/>
      </w:rPr>
    </w:lvl>
    <w:lvl w:ilvl="5" w:tplc="074C5F48" w:tentative="1">
      <w:start w:val="1"/>
      <w:numFmt w:val="bullet"/>
      <w:lvlText w:val=""/>
      <w:lvlJc w:val="left"/>
      <w:pPr>
        <w:tabs>
          <w:tab w:val="num" w:pos="4320"/>
        </w:tabs>
        <w:ind w:left="4320" w:hanging="360"/>
      </w:pPr>
      <w:rPr>
        <w:rFonts w:ascii="Wingdings" w:hAnsi="Wingdings" w:hint="default"/>
      </w:rPr>
    </w:lvl>
    <w:lvl w:ilvl="6" w:tplc="E2080E8C" w:tentative="1">
      <w:start w:val="1"/>
      <w:numFmt w:val="bullet"/>
      <w:lvlText w:val=""/>
      <w:lvlJc w:val="left"/>
      <w:pPr>
        <w:tabs>
          <w:tab w:val="num" w:pos="5040"/>
        </w:tabs>
        <w:ind w:left="5040" w:hanging="360"/>
      </w:pPr>
      <w:rPr>
        <w:rFonts w:ascii="Symbol" w:hAnsi="Symbol" w:hint="default"/>
      </w:rPr>
    </w:lvl>
    <w:lvl w:ilvl="7" w:tplc="7AB63396" w:tentative="1">
      <w:start w:val="1"/>
      <w:numFmt w:val="bullet"/>
      <w:lvlText w:val="o"/>
      <w:lvlJc w:val="left"/>
      <w:pPr>
        <w:tabs>
          <w:tab w:val="num" w:pos="5760"/>
        </w:tabs>
        <w:ind w:left="5760" w:hanging="360"/>
      </w:pPr>
      <w:rPr>
        <w:rFonts w:ascii="Courier New" w:hAnsi="Courier New" w:hint="default"/>
      </w:rPr>
    </w:lvl>
    <w:lvl w:ilvl="8" w:tplc="51A478D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DD08F4"/>
    <w:multiLevelType w:val="hybridMultilevel"/>
    <w:tmpl w:val="65B40C8A"/>
    <w:lvl w:ilvl="0" w:tplc="263653DC">
      <w:start w:val="1"/>
      <w:numFmt w:val="bullet"/>
      <w:lvlText w:val=""/>
      <w:lvlJc w:val="left"/>
      <w:pPr>
        <w:ind w:left="360" w:hanging="360"/>
      </w:pPr>
      <w:rPr>
        <w:rFonts w:ascii="Symbol" w:hAnsi="Symbol" w:hint="default"/>
      </w:rPr>
    </w:lvl>
    <w:lvl w:ilvl="1" w:tplc="870A15EA">
      <w:start w:val="1"/>
      <w:numFmt w:val="lowerLetter"/>
      <w:lvlText w:val="%2."/>
      <w:lvlJc w:val="left"/>
      <w:pPr>
        <w:ind w:left="1440" w:hanging="360"/>
      </w:pPr>
    </w:lvl>
    <w:lvl w:ilvl="2" w:tplc="18083E60">
      <w:start w:val="1"/>
      <w:numFmt w:val="lowerRoman"/>
      <w:lvlText w:val="%3."/>
      <w:lvlJc w:val="right"/>
      <w:pPr>
        <w:ind w:left="2160" w:hanging="180"/>
      </w:pPr>
    </w:lvl>
    <w:lvl w:ilvl="3" w:tplc="7ACC4C86">
      <w:start w:val="1"/>
      <w:numFmt w:val="decimal"/>
      <w:lvlText w:val="%4."/>
      <w:lvlJc w:val="left"/>
      <w:pPr>
        <w:ind w:left="2880" w:hanging="360"/>
      </w:pPr>
    </w:lvl>
    <w:lvl w:ilvl="4" w:tplc="3BC8F730">
      <w:start w:val="1"/>
      <w:numFmt w:val="lowerLetter"/>
      <w:lvlText w:val="%5."/>
      <w:lvlJc w:val="left"/>
      <w:pPr>
        <w:ind w:left="3600" w:hanging="360"/>
      </w:pPr>
    </w:lvl>
    <w:lvl w:ilvl="5" w:tplc="AA7A7700">
      <w:start w:val="1"/>
      <w:numFmt w:val="lowerRoman"/>
      <w:lvlText w:val="%6."/>
      <w:lvlJc w:val="right"/>
      <w:pPr>
        <w:ind w:left="4320" w:hanging="180"/>
      </w:pPr>
    </w:lvl>
    <w:lvl w:ilvl="6" w:tplc="AFC25A28">
      <w:start w:val="1"/>
      <w:numFmt w:val="decimal"/>
      <w:lvlText w:val="%7."/>
      <w:lvlJc w:val="left"/>
      <w:pPr>
        <w:ind w:left="5040" w:hanging="360"/>
      </w:pPr>
    </w:lvl>
    <w:lvl w:ilvl="7" w:tplc="3F7617A2">
      <w:start w:val="1"/>
      <w:numFmt w:val="lowerLetter"/>
      <w:lvlText w:val="%8."/>
      <w:lvlJc w:val="left"/>
      <w:pPr>
        <w:ind w:left="5760" w:hanging="360"/>
      </w:pPr>
    </w:lvl>
    <w:lvl w:ilvl="8" w:tplc="1B62F792">
      <w:start w:val="1"/>
      <w:numFmt w:val="lowerRoman"/>
      <w:lvlText w:val="%9."/>
      <w:lvlJc w:val="right"/>
      <w:pPr>
        <w:ind w:left="6480" w:hanging="180"/>
      </w:pPr>
    </w:lvl>
  </w:abstractNum>
  <w:abstractNum w:abstractNumId="17" w15:restartNumberingAfterBreak="0">
    <w:nsid w:val="63AC76B8"/>
    <w:multiLevelType w:val="hybridMultilevel"/>
    <w:tmpl w:val="615ED068"/>
    <w:lvl w:ilvl="0" w:tplc="5964B164">
      <w:start w:val="1"/>
      <w:numFmt w:val="bullet"/>
      <w:lvlText w:val=""/>
      <w:lvlJc w:val="left"/>
      <w:pPr>
        <w:ind w:left="1440" w:hanging="360"/>
      </w:pPr>
      <w:rPr>
        <w:rFonts w:ascii="Symbol" w:hAnsi="Symbol" w:hint="default"/>
      </w:rPr>
    </w:lvl>
    <w:lvl w:ilvl="1" w:tplc="F47841CC">
      <w:start w:val="1"/>
      <w:numFmt w:val="bullet"/>
      <w:lvlText w:val="o"/>
      <w:lvlJc w:val="left"/>
      <w:pPr>
        <w:ind w:left="2160" w:hanging="360"/>
      </w:pPr>
      <w:rPr>
        <w:rFonts w:ascii="Courier New" w:hAnsi="Courier New" w:cs="Courier New" w:hint="default"/>
      </w:rPr>
    </w:lvl>
    <w:lvl w:ilvl="2" w:tplc="8572D92C">
      <w:start w:val="1"/>
      <w:numFmt w:val="bullet"/>
      <w:lvlText w:val=""/>
      <w:lvlJc w:val="left"/>
      <w:pPr>
        <w:ind w:left="2880" w:hanging="360"/>
      </w:pPr>
      <w:rPr>
        <w:rFonts w:ascii="Wingdings" w:hAnsi="Wingdings" w:hint="default"/>
      </w:rPr>
    </w:lvl>
    <w:lvl w:ilvl="3" w:tplc="2C88BB44">
      <w:start w:val="1"/>
      <w:numFmt w:val="bullet"/>
      <w:lvlText w:val=""/>
      <w:lvlJc w:val="left"/>
      <w:pPr>
        <w:ind w:left="3600" w:hanging="360"/>
      </w:pPr>
      <w:rPr>
        <w:rFonts w:ascii="Symbol" w:hAnsi="Symbol" w:hint="default"/>
      </w:rPr>
    </w:lvl>
    <w:lvl w:ilvl="4" w:tplc="A50EB27A">
      <w:start w:val="1"/>
      <w:numFmt w:val="bullet"/>
      <w:lvlText w:val="o"/>
      <w:lvlJc w:val="left"/>
      <w:pPr>
        <w:ind w:left="4320" w:hanging="360"/>
      </w:pPr>
      <w:rPr>
        <w:rFonts w:ascii="Courier New" w:hAnsi="Courier New" w:cs="Courier New" w:hint="default"/>
      </w:rPr>
    </w:lvl>
    <w:lvl w:ilvl="5" w:tplc="956032E8">
      <w:start w:val="1"/>
      <w:numFmt w:val="bullet"/>
      <w:lvlText w:val=""/>
      <w:lvlJc w:val="left"/>
      <w:pPr>
        <w:ind w:left="5040" w:hanging="360"/>
      </w:pPr>
      <w:rPr>
        <w:rFonts w:ascii="Wingdings" w:hAnsi="Wingdings" w:hint="default"/>
      </w:rPr>
    </w:lvl>
    <w:lvl w:ilvl="6" w:tplc="60BCA7F0">
      <w:start w:val="1"/>
      <w:numFmt w:val="bullet"/>
      <w:lvlText w:val=""/>
      <w:lvlJc w:val="left"/>
      <w:pPr>
        <w:ind w:left="5760" w:hanging="360"/>
      </w:pPr>
      <w:rPr>
        <w:rFonts w:ascii="Symbol" w:hAnsi="Symbol" w:hint="default"/>
      </w:rPr>
    </w:lvl>
    <w:lvl w:ilvl="7" w:tplc="42E83D84">
      <w:start w:val="1"/>
      <w:numFmt w:val="bullet"/>
      <w:lvlText w:val="o"/>
      <w:lvlJc w:val="left"/>
      <w:pPr>
        <w:ind w:left="6480" w:hanging="360"/>
      </w:pPr>
      <w:rPr>
        <w:rFonts w:ascii="Courier New" w:hAnsi="Courier New" w:cs="Courier New" w:hint="default"/>
      </w:rPr>
    </w:lvl>
    <w:lvl w:ilvl="8" w:tplc="4864AC92">
      <w:start w:val="1"/>
      <w:numFmt w:val="bullet"/>
      <w:lvlText w:val=""/>
      <w:lvlJc w:val="left"/>
      <w:pPr>
        <w:ind w:left="7200" w:hanging="360"/>
      </w:pPr>
      <w:rPr>
        <w:rFonts w:ascii="Wingdings" w:hAnsi="Wingdings" w:hint="default"/>
      </w:rPr>
    </w:lvl>
  </w:abstractNum>
  <w:abstractNum w:abstractNumId="18" w15:restartNumberingAfterBreak="0">
    <w:nsid w:val="677702FB"/>
    <w:multiLevelType w:val="hybridMultilevel"/>
    <w:tmpl w:val="252C5B3C"/>
    <w:lvl w:ilvl="0" w:tplc="8A2C5DA8">
      <w:start w:val="1"/>
      <w:numFmt w:val="bullet"/>
      <w:lvlText w:val=""/>
      <w:lvlJc w:val="left"/>
      <w:pPr>
        <w:ind w:left="360" w:hanging="360"/>
      </w:pPr>
      <w:rPr>
        <w:rFonts w:ascii="Symbol" w:hAnsi="Symbol" w:hint="default"/>
        <w:color w:val="auto"/>
        <w:sz w:val="24"/>
      </w:rPr>
    </w:lvl>
    <w:lvl w:ilvl="1" w:tplc="4EDCE3B4" w:tentative="1">
      <w:start w:val="1"/>
      <w:numFmt w:val="lowerLetter"/>
      <w:lvlText w:val="%2."/>
      <w:lvlJc w:val="left"/>
      <w:pPr>
        <w:ind w:left="1080" w:hanging="360"/>
      </w:pPr>
      <w:rPr>
        <w:rFonts w:cs="Times New Roman"/>
      </w:rPr>
    </w:lvl>
    <w:lvl w:ilvl="2" w:tplc="1C58DAB8" w:tentative="1">
      <w:start w:val="1"/>
      <w:numFmt w:val="lowerRoman"/>
      <w:lvlText w:val="%3."/>
      <w:lvlJc w:val="right"/>
      <w:pPr>
        <w:ind w:left="1800" w:hanging="180"/>
      </w:pPr>
      <w:rPr>
        <w:rFonts w:cs="Times New Roman"/>
      </w:rPr>
    </w:lvl>
    <w:lvl w:ilvl="3" w:tplc="5818EC2C" w:tentative="1">
      <w:start w:val="1"/>
      <w:numFmt w:val="decimal"/>
      <w:lvlText w:val="%4."/>
      <w:lvlJc w:val="left"/>
      <w:pPr>
        <w:ind w:left="2520" w:hanging="360"/>
      </w:pPr>
      <w:rPr>
        <w:rFonts w:cs="Times New Roman"/>
      </w:rPr>
    </w:lvl>
    <w:lvl w:ilvl="4" w:tplc="F21A8ED0" w:tentative="1">
      <w:start w:val="1"/>
      <w:numFmt w:val="lowerLetter"/>
      <w:lvlText w:val="%5."/>
      <w:lvlJc w:val="left"/>
      <w:pPr>
        <w:ind w:left="3240" w:hanging="360"/>
      </w:pPr>
      <w:rPr>
        <w:rFonts w:cs="Times New Roman"/>
      </w:rPr>
    </w:lvl>
    <w:lvl w:ilvl="5" w:tplc="311EAEB8" w:tentative="1">
      <w:start w:val="1"/>
      <w:numFmt w:val="lowerRoman"/>
      <w:lvlText w:val="%6."/>
      <w:lvlJc w:val="right"/>
      <w:pPr>
        <w:ind w:left="3960" w:hanging="180"/>
      </w:pPr>
      <w:rPr>
        <w:rFonts w:cs="Times New Roman"/>
      </w:rPr>
    </w:lvl>
    <w:lvl w:ilvl="6" w:tplc="5630FFE8" w:tentative="1">
      <w:start w:val="1"/>
      <w:numFmt w:val="decimal"/>
      <w:lvlText w:val="%7."/>
      <w:lvlJc w:val="left"/>
      <w:pPr>
        <w:ind w:left="4680" w:hanging="360"/>
      </w:pPr>
      <w:rPr>
        <w:rFonts w:cs="Times New Roman"/>
      </w:rPr>
    </w:lvl>
    <w:lvl w:ilvl="7" w:tplc="1B366EC2" w:tentative="1">
      <w:start w:val="1"/>
      <w:numFmt w:val="lowerLetter"/>
      <w:lvlText w:val="%8."/>
      <w:lvlJc w:val="left"/>
      <w:pPr>
        <w:ind w:left="5400" w:hanging="360"/>
      </w:pPr>
      <w:rPr>
        <w:rFonts w:cs="Times New Roman"/>
      </w:rPr>
    </w:lvl>
    <w:lvl w:ilvl="8" w:tplc="82A0AFAC" w:tentative="1">
      <w:start w:val="1"/>
      <w:numFmt w:val="lowerRoman"/>
      <w:lvlText w:val="%9."/>
      <w:lvlJc w:val="right"/>
      <w:pPr>
        <w:ind w:left="6120" w:hanging="180"/>
      </w:pPr>
      <w:rPr>
        <w:rFonts w:cs="Times New Roman"/>
      </w:rPr>
    </w:lvl>
  </w:abstractNum>
  <w:abstractNum w:abstractNumId="19" w15:restartNumberingAfterBreak="0">
    <w:nsid w:val="68682EF7"/>
    <w:multiLevelType w:val="hybridMultilevel"/>
    <w:tmpl w:val="0974EF78"/>
    <w:lvl w:ilvl="0" w:tplc="653ACABC">
      <w:start w:val="1"/>
      <w:numFmt w:val="bullet"/>
      <w:lvlText w:val=""/>
      <w:lvlJc w:val="left"/>
      <w:pPr>
        <w:ind w:left="360" w:hanging="360"/>
      </w:pPr>
      <w:rPr>
        <w:rFonts w:ascii="Symbol" w:hAnsi="Symbol" w:hint="default"/>
        <w:color w:val="auto"/>
        <w:sz w:val="24"/>
      </w:rPr>
    </w:lvl>
    <w:lvl w:ilvl="1" w:tplc="07F83428" w:tentative="1">
      <w:start w:val="1"/>
      <w:numFmt w:val="lowerLetter"/>
      <w:lvlText w:val="%2."/>
      <w:lvlJc w:val="left"/>
      <w:pPr>
        <w:ind w:left="1080" w:hanging="360"/>
      </w:pPr>
    </w:lvl>
    <w:lvl w:ilvl="2" w:tplc="6282A210" w:tentative="1">
      <w:start w:val="1"/>
      <w:numFmt w:val="lowerRoman"/>
      <w:lvlText w:val="%3."/>
      <w:lvlJc w:val="right"/>
      <w:pPr>
        <w:ind w:left="1800" w:hanging="180"/>
      </w:pPr>
    </w:lvl>
    <w:lvl w:ilvl="3" w:tplc="EAE6FAEC" w:tentative="1">
      <w:start w:val="1"/>
      <w:numFmt w:val="decimal"/>
      <w:lvlText w:val="%4."/>
      <w:lvlJc w:val="left"/>
      <w:pPr>
        <w:ind w:left="2520" w:hanging="360"/>
      </w:pPr>
    </w:lvl>
    <w:lvl w:ilvl="4" w:tplc="D832A34C" w:tentative="1">
      <w:start w:val="1"/>
      <w:numFmt w:val="lowerLetter"/>
      <w:lvlText w:val="%5."/>
      <w:lvlJc w:val="left"/>
      <w:pPr>
        <w:ind w:left="3240" w:hanging="360"/>
      </w:pPr>
    </w:lvl>
    <w:lvl w:ilvl="5" w:tplc="227E85BA" w:tentative="1">
      <w:start w:val="1"/>
      <w:numFmt w:val="lowerRoman"/>
      <w:lvlText w:val="%6."/>
      <w:lvlJc w:val="right"/>
      <w:pPr>
        <w:ind w:left="3960" w:hanging="180"/>
      </w:pPr>
    </w:lvl>
    <w:lvl w:ilvl="6" w:tplc="9C28560C" w:tentative="1">
      <w:start w:val="1"/>
      <w:numFmt w:val="decimal"/>
      <w:lvlText w:val="%7."/>
      <w:lvlJc w:val="left"/>
      <w:pPr>
        <w:ind w:left="4680" w:hanging="360"/>
      </w:pPr>
    </w:lvl>
    <w:lvl w:ilvl="7" w:tplc="7E6A20A0" w:tentative="1">
      <w:start w:val="1"/>
      <w:numFmt w:val="lowerLetter"/>
      <w:lvlText w:val="%8."/>
      <w:lvlJc w:val="left"/>
      <w:pPr>
        <w:ind w:left="5400" w:hanging="360"/>
      </w:pPr>
    </w:lvl>
    <w:lvl w:ilvl="8" w:tplc="089C834C" w:tentative="1">
      <w:start w:val="1"/>
      <w:numFmt w:val="lowerRoman"/>
      <w:lvlText w:val="%9."/>
      <w:lvlJc w:val="right"/>
      <w:pPr>
        <w:ind w:left="6120" w:hanging="180"/>
      </w:pPr>
    </w:lvl>
  </w:abstractNum>
  <w:abstractNum w:abstractNumId="20" w15:restartNumberingAfterBreak="0">
    <w:nsid w:val="6FA42509"/>
    <w:multiLevelType w:val="hybridMultilevel"/>
    <w:tmpl w:val="0AD28024"/>
    <w:lvl w:ilvl="0" w:tplc="7B6EB462">
      <w:start w:val="1"/>
      <w:numFmt w:val="bullet"/>
      <w:lvlText w:val=""/>
      <w:lvlJc w:val="left"/>
      <w:pPr>
        <w:ind w:left="720" w:hanging="360"/>
      </w:pPr>
      <w:rPr>
        <w:rFonts w:ascii="Symbol" w:hAnsi="Symbol" w:hint="default"/>
      </w:rPr>
    </w:lvl>
    <w:lvl w:ilvl="1" w:tplc="96CA4740">
      <w:start w:val="1"/>
      <w:numFmt w:val="bullet"/>
      <w:lvlText w:val="o"/>
      <w:lvlJc w:val="left"/>
      <w:pPr>
        <w:ind w:left="1440" w:hanging="360"/>
      </w:pPr>
      <w:rPr>
        <w:rFonts w:ascii="Courier New" w:hAnsi="Courier New" w:cs="Courier New" w:hint="default"/>
      </w:rPr>
    </w:lvl>
    <w:lvl w:ilvl="2" w:tplc="BC3A762C">
      <w:start w:val="1"/>
      <w:numFmt w:val="bullet"/>
      <w:lvlText w:val=""/>
      <w:lvlJc w:val="left"/>
      <w:pPr>
        <w:ind w:left="2160" w:hanging="360"/>
      </w:pPr>
      <w:rPr>
        <w:rFonts w:ascii="Wingdings" w:hAnsi="Wingdings" w:hint="default"/>
      </w:rPr>
    </w:lvl>
    <w:lvl w:ilvl="3" w:tplc="FF52BAC0">
      <w:start w:val="1"/>
      <w:numFmt w:val="bullet"/>
      <w:lvlText w:val=""/>
      <w:lvlJc w:val="left"/>
      <w:pPr>
        <w:ind w:left="2880" w:hanging="360"/>
      </w:pPr>
      <w:rPr>
        <w:rFonts w:ascii="Symbol" w:hAnsi="Symbol" w:hint="default"/>
      </w:rPr>
    </w:lvl>
    <w:lvl w:ilvl="4" w:tplc="D6284FD6">
      <w:start w:val="1"/>
      <w:numFmt w:val="bullet"/>
      <w:lvlText w:val="o"/>
      <w:lvlJc w:val="left"/>
      <w:pPr>
        <w:ind w:left="3600" w:hanging="360"/>
      </w:pPr>
      <w:rPr>
        <w:rFonts w:ascii="Courier New" w:hAnsi="Courier New" w:cs="Courier New" w:hint="default"/>
      </w:rPr>
    </w:lvl>
    <w:lvl w:ilvl="5" w:tplc="1BCCB3D2">
      <w:start w:val="1"/>
      <w:numFmt w:val="bullet"/>
      <w:lvlText w:val=""/>
      <w:lvlJc w:val="left"/>
      <w:pPr>
        <w:ind w:left="4320" w:hanging="360"/>
      </w:pPr>
      <w:rPr>
        <w:rFonts w:ascii="Wingdings" w:hAnsi="Wingdings" w:hint="default"/>
      </w:rPr>
    </w:lvl>
    <w:lvl w:ilvl="6" w:tplc="130E85A8">
      <w:start w:val="1"/>
      <w:numFmt w:val="bullet"/>
      <w:lvlText w:val=""/>
      <w:lvlJc w:val="left"/>
      <w:pPr>
        <w:ind w:left="5040" w:hanging="360"/>
      </w:pPr>
      <w:rPr>
        <w:rFonts w:ascii="Symbol" w:hAnsi="Symbol" w:hint="default"/>
      </w:rPr>
    </w:lvl>
    <w:lvl w:ilvl="7" w:tplc="09D811FC">
      <w:start w:val="1"/>
      <w:numFmt w:val="bullet"/>
      <w:lvlText w:val="o"/>
      <w:lvlJc w:val="left"/>
      <w:pPr>
        <w:ind w:left="5760" w:hanging="360"/>
      </w:pPr>
      <w:rPr>
        <w:rFonts w:ascii="Courier New" w:hAnsi="Courier New" w:cs="Courier New" w:hint="default"/>
      </w:rPr>
    </w:lvl>
    <w:lvl w:ilvl="8" w:tplc="491AF122">
      <w:start w:val="1"/>
      <w:numFmt w:val="bullet"/>
      <w:lvlText w:val=""/>
      <w:lvlJc w:val="left"/>
      <w:pPr>
        <w:ind w:left="6480" w:hanging="360"/>
      </w:pPr>
      <w:rPr>
        <w:rFonts w:ascii="Wingdings" w:hAnsi="Wingdings" w:hint="default"/>
      </w:rPr>
    </w:lvl>
  </w:abstractNum>
  <w:abstractNum w:abstractNumId="21" w15:restartNumberingAfterBreak="0">
    <w:nsid w:val="700B314B"/>
    <w:multiLevelType w:val="hybridMultilevel"/>
    <w:tmpl w:val="A14EC746"/>
    <w:lvl w:ilvl="0" w:tplc="DB420CCA">
      <w:start w:val="1"/>
      <w:numFmt w:val="bullet"/>
      <w:lvlText w:val=""/>
      <w:lvlJc w:val="left"/>
      <w:pPr>
        <w:ind w:left="360" w:hanging="360"/>
      </w:pPr>
      <w:rPr>
        <w:rFonts w:ascii="Symbol" w:hAnsi="Symbol" w:hint="default"/>
        <w:color w:val="auto"/>
        <w:sz w:val="24"/>
      </w:rPr>
    </w:lvl>
    <w:lvl w:ilvl="1" w:tplc="EAD8E712" w:tentative="1">
      <w:start w:val="1"/>
      <w:numFmt w:val="lowerLetter"/>
      <w:lvlText w:val="%2."/>
      <w:lvlJc w:val="left"/>
      <w:pPr>
        <w:ind w:left="1080" w:hanging="360"/>
      </w:pPr>
    </w:lvl>
    <w:lvl w:ilvl="2" w:tplc="23143C8A" w:tentative="1">
      <w:start w:val="1"/>
      <w:numFmt w:val="lowerRoman"/>
      <w:lvlText w:val="%3."/>
      <w:lvlJc w:val="right"/>
      <w:pPr>
        <w:ind w:left="1800" w:hanging="180"/>
      </w:pPr>
    </w:lvl>
    <w:lvl w:ilvl="3" w:tplc="F4725C06" w:tentative="1">
      <w:start w:val="1"/>
      <w:numFmt w:val="decimal"/>
      <w:lvlText w:val="%4."/>
      <w:lvlJc w:val="left"/>
      <w:pPr>
        <w:ind w:left="2520" w:hanging="360"/>
      </w:pPr>
    </w:lvl>
    <w:lvl w:ilvl="4" w:tplc="B8BEF45C" w:tentative="1">
      <w:start w:val="1"/>
      <w:numFmt w:val="lowerLetter"/>
      <w:lvlText w:val="%5."/>
      <w:lvlJc w:val="left"/>
      <w:pPr>
        <w:ind w:left="3240" w:hanging="360"/>
      </w:pPr>
    </w:lvl>
    <w:lvl w:ilvl="5" w:tplc="1AF0C0A8" w:tentative="1">
      <w:start w:val="1"/>
      <w:numFmt w:val="lowerRoman"/>
      <w:lvlText w:val="%6."/>
      <w:lvlJc w:val="right"/>
      <w:pPr>
        <w:ind w:left="3960" w:hanging="180"/>
      </w:pPr>
    </w:lvl>
    <w:lvl w:ilvl="6" w:tplc="980C9ADE" w:tentative="1">
      <w:start w:val="1"/>
      <w:numFmt w:val="decimal"/>
      <w:lvlText w:val="%7."/>
      <w:lvlJc w:val="left"/>
      <w:pPr>
        <w:ind w:left="4680" w:hanging="360"/>
      </w:pPr>
    </w:lvl>
    <w:lvl w:ilvl="7" w:tplc="E398B9E8" w:tentative="1">
      <w:start w:val="1"/>
      <w:numFmt w:val="lowerLetter"/>
      <w:lvlText w:val="%8."/>
      <w:lvlJc w:val="left"/>
      <w:pPr>
        <w:ind w:left="5400" w:hanging="360"/>
      </w:pPr>
    </w:lvl>
    <w:lvl w:ilvl="8" w:tplc="A8B81950" w:tentative="1">
      <w:start w:val="1"/>
      <w:numFmt w:val="lowerRoman"/>
      <w:lvlText w:val="%9."/>
      <w:lvlJc w:val="right"/>
      <w:pPr>
        <w:ind w:left="6120" w:hanging="180"/>
      </w:pPr>
    </w:lvl>
  </w:abstractNum>
  <w:abstractNum w:abstractNumId="22" w15:restartNumberingAfterBreak="0">
    <w:nsid w:val="740D628F"/>
    <w:multiLevelType w:val="multilevel"/>
    <w:tmpl w:val="04AC81C4"/>
    <w:lvl w:ilvl="0">
      <w:start w:val="1"/>
      <w:numFmt w:val="decimal"/>
      <w:pStyle w:val="Heading1"/>
      <w:lvlText w:val="%1"/>
      <w:lvlJc w:val="left"/>
      <w:pPr>
        <w:tabs>
          <w:tab w:val="num" w:pos="2016"/>
        </w:tabs>
        <w:ind w:left="2016" w:hanging="2016"/>
      </w:pPr>
      <w:rPr>
        <w:rFonts w:hint="default"/>
      </w:rPr>
    </w:lvl>
    <w:lvl w:ilvl="1">
      <w:start w:val="1"/>
      <w:numFmt w:val="decimal"/>
      <w:pStyle w:val="Heading2"/>
      <w:lvlText w:val="%1.%2"/>
      <w:lvlJc w:val="left"/>
      <w:pPr>
        <w:tabs>
          <w:tab w:val="num" w:pos="4896"/>
        </w:tabs>
        <w:ind w:left="4896" w:hanging="2016"/>
      </w:pPr>
      <w:rPr>
        <w:rFonts w:hint="default"/>
      </w:rPr>
    </w:lvl>
    <w:lvl w:ilvl="2">
      <w:start w:val="1"/>
      <w:numFmt w:val="decimal"/>
      <w:pStyle w:val="Heading3"/>
      <w:lvlText w:val="%1.%2.%3"/>
      <w:lvlJc w:val="left"/>
      <w:pPr>
        <w:tabs>
          <w:tab w:val="num" w:pos="2016"/>
        </w:tabs>
        <w:ind w:left="2016" w:hanging="2016"/>
      </w:pPr>
      <w:rPr>
        <w:rFonts w:hint="default"/>
      </w:rPr>
    </w:lvl>
    <w:lvl w:ilvl="3">
      <w:start w:val="1"/>
      <w:numFmt w:val="decimal"/>
      <w:pStyle w:val="Heading4"/>
      <w:lvlText w:val="%1.%2.%3.%4"/>
      <w:lvlJc w:val="left"/>
      <w:pPr>
        <w:tabs>
          <w:tab w:val="num" w:pos="2016"/>
        </w:tabs>
        <w:ind w:left="2016" w:hanging="2016"/>
      </w:pPr>
      <w:rPr>
        <w:rFonts w:hint="default"/>
      </w:rPr>
    </w:lvl>
    <w:lvl w:ilvl="4">
      <w:start w:val="1"/>
      <w:numFmt w:val="decimal"/>
      <w:pStyle w:val="Heading5"/>
      <w:lvlText w:val="%1.%2.%3.%4.%5"/>
      <w:lvlJc w:val="left"/>
      <w:pPr>
        <w:tabs>
          <w:tab w:val="num" w:pos="2016"/>
        </w:tabs>
        <w:ind w:left="2016" w:hanging="2016"/>
      </w:pPr>
      <w:rPr>
        <w:rFonts w:hint="default"/>
      </w:rPr>
    </w:lvl>
    <w:lvl w:ilvl="5">
      <w:start w:val="1"/>
      <w:numFmt w:val="decimal"/>
      <w:pStyle w:val="Heading6"/>
      <w:lvlText w:val="%1.%2.%3.%4.%5.%6"/>
      <w:lvlJc w:val="left"/>
      <w:pPr>
        <w:tabs>
          <w:tab w:val="num" w:pos="2016"/>
        </w:tabs>
        <w:ind w:left="2016" w:hanging="2016"/>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6172563"/>
    <w:multiLevelType w:val="hybridMultilevel"/>
    <w:tmpl w:val="2C96E392"/>
    <w:lvl w:ilvl="0" w:tplc="A022AE62">
      <w:start w:val="1"/>
      <w:numFmt w:val="bullet"/>
      <w:pStyle w:val="Tablelist"/>
      <w:lvlText w:val=""/>
      <w:lvlJc w:val="left"/>
      <w:pPr>
        <w:tabs>
          <w:tab w:val="num" w:pos="288"/>
        </w:tabs>
        <w:ind w:left="284" w:hanging="284"/>
      </w:pPr>
      <w:rPr>
        <w:rFonts w:ascii="Symbol" w:hAnsi="Symbol" w:hint="default"/>
      </w:rPr>
    </w:lvl>
    <w:lvl w:ilvl="1" w:tplc="8932CC1E">
      <w:numFmt w:val="decimal"/>
      <w:lvlText w:val=""/>
      <w:lvlJc w:val="left"/>
    </w:lvl>
    <w:lvl w:ilvl="2" w:tplc="34B44866">
      <w:numFmt w:val="decimal"/>
      <w:lvlText w:val=""/>
      <w:lvlJc w:val="left"/>
    </w:lvl>
    <w:lvl w:ilvl="3" w:tplc="C57CE1A6">
      <w:numFmt w:val="decimal"/>
      <w:lvlText w:val=""/>
      <w:lvlJc w:val="left"/>
    </w:lvl>
    <w:lvl w:ilvl="4" w:tplc="2D3A7C56">
      <w:numFmt w:val="decimal"/>
      <w:lvlText w:val=""/>
      <w:lvlJc w:val="left"/>
    </w:lvl>
    <w:lvl w:ilvl="5" w:tplc="7B04E1F2">
      <w:numFmt w:val="decimal"/>
      <w:lvlText w:val=""/>
      <w:lvlJc w:val="left"/>
    </w:lvl>
    <w:lvl w:ilvl="6" w:tplc="95F07D7A">
      <w:numFmt w:val="decimal"/>
      <w:lvlText w:val=""/>
      <w:lvlJc w:val="left"/>
    </w:lvl>
    <w:lvl w:ilvl="7" w:tplc="142AF2F8">
      <w:numFmt w:val="decimal"/>
      <w:lvlText w:val=""/>
      <w:lvlJc w:val="left"/>
    </w:lvl>
    <w:lvl w:ilvl="8" w:tplc="B866CBFE">
      <w:numFmt w:val="decimal"/>
      <w:lvlText w:val=""/>
      <w:lvlJc w:val="left"/>
    </w:lvl>
  </w:abstractNum>
  <w:abstractNum w:abstractNumId="24" w15:restartNumberingAfterBreak="0">
    <w:nsid w:val="7C8135AA"/>
    <w:multiLevelType w:val="hybridMultilevel"/>
    <w:tmpl w:val="1FDA3C46"/>
    <w:lvl w:ilvl="0" w:tplc="70E6C332">
      <w:start w:val="1"/>
      <w:numFmt w:val="bullet"/>
      <w:pStyle w:val="List1withbullet"/>
      <w:lvlText w:val=""/>
      <w:lvlJc w:val="left"/>
      <w:pPr>
        <w:ind w:left="720" w:hanging="360"/>
      </w:pPr>
      <w:rPr>
        <w:rFonts w:ascii="Symbol" w:hAnsi="Symbol" w:hint="default"/>
        <w:color w:val="auto"/>
        <w:sz w:val="24"/>
      </w:rPr>
    </w:lvl>
    <w:lvl w:ilvl="1" w:tplc="C834076C">
      <w:start w:val="1"/>
      <w:numFmt w:val="lowerLetter"/>
      <w:lvlText w:val="%2."/>
      <w:lvlJc w:val="left"/>
      <w:pPr>
        <w:ind w:left="1080" w:hanging="360"/>
      </w:pPr>
    </w:lvl>
    <w:lvl w:ilvl="2" w:tplc="F8022796" w:tentative="1">
      <w:start w:val="1"/>
      <w:numFmt w:val="lowerRoman"/>
      <w:lvlText w:val="%3."/>
      <w:lvlJc w:val="right"/>
      <w:pPr>
        <w:ind w:left="1800" w:hanging="180"/>
      </w:pPr>
    </w:lvl>
    <w:lvl w:ilvl="3" w:tplc="0D001502" w:tentative="1">
      <w:start w:val="1"/>
      <w:numFmt w:val="decimal"/>
      <w:lvlText w:val="%4."/>
      <w:lvlJc w:val="left"/>
      <w:pPr>
        <w:ind w:left="2520" w:hanging="360"/>
      </w:pPr>
    </w:lvl>
    <w:lvl w:ilvl="4" w:tplc="3C0C148E" w:tentative="1">
      <w:start w:val="1"/>
      <w:numFmt w:val="lowerLetter"/>
      <w:lvlText w:val="%5."/>
      <w:lvlJc w:val="left"/>
      <w:pPr>
        <w:ind w:left="3240" w:hanging="360"/>
      </w:pPr>
    </w:lvl>
    <w:lvl w:ilvl="5" w:tplc="0A9C5CA2" w:tentative="1">
      <w:start w:val="1"/>
      <w:numFmt w:val="lowerRoman"/>
      <w:lvlText w:val="%6."/>
      <w:lvlJc w:val="right"/>
      <w:pPr>
        <w:ind w:left="3960" w:hanging="180"/>
      </w:pPr>
    </w:lvl>
    <w:lvl w:ilvl="6" w:tplc="1834C126" w:tentative="1">
      <w:start w:val="1"/>
      <w:numFmt w:val="decimal"/>
      <w:lvlText w:val="%7."/>
      <w:lvlJc w:val="left"/>
      <w:pPr>
        <w:ind w:left="4680" w:hanging="360"/>
      </w:pPr>
    </w:lvl>
    <w:lvl w:ilvl="7" w:tplc="8064DA62" w:tentative="1">
      <w:start w:val="1"/>
      <w:numFmt w:val="lowerLetter"/>
      <w:lvlText w:val="%8."/>
      <w:lvlJc w:val="left"/>
      <w:pPr>
        <w:ind w:left="5400" w:hanging="360"/>
      </w:pPr>
    </w:lvl>
    <w:lvl w:ilvl="8" w:tplc="81BA34DA" w:tentative="1">
      <w:start w:val="1"/>
      <w:numFmt w:val="lowerRoman"/>
      <w:lvlText w:val="%9."/>
      <w:lvlJc w:val="right"/>
      <w:pPr>
        <w:ind w:left="6120" w:hanging="180"/>
      </w:pPr>
    </w:lvl>
  </w:abstractNum>
  <w:num w:numId="1">
    <w:abstractNumId w:val="22"/>
  </w:num>
  <w:num w:numId="2">
    <w:abstractNumId w:val="12"/>
  </w:num>
  <w:num w:numId="3">
    <w:abstractNumId w:val="8"/>
  </w:num>
  <w:num w:numId="4">
    <w:abstractNumId w:val="22"/>
  </w:num>
  <w:num w:numId="5">
    <w:abstractNumId w:val="13"/>
  </w:num>
  <w:num w:numId="6">
    <w:abstractNumId w:val="23"/>
  </w:num>
  <w:num w:numId="7">
    <w:abstractNumId w:val="21"/>
  </w:num>
  <w:num w:numId="8">
    <w:abstractNumId w:val="14"/>
  </w:num>
  <w:num w:numId="9">
    <w:abstractNumId w:val="19"/>
  </w:num>
  <w:num w:numId="10">
    <w:abstractNumId w:val="7"/>
  </w:num>
  <w:num w:numId="11">
    <w:abstractNumId w:val="24"/>
  </w:num>
  <w:num w:numId="12">
    <w:abstractNumId w:val="15"/>
  </w:num>
  <w:num w:numId="13">
    <w:abstractNumId w:val="0"/>
  </w:num>
  <w:num w:numId="14">
    <w:abstractNumId w:val="11"/>
  </w:num>
  <w:num w:numId="15">
    <w:abstractNumId w:val="3"/>
  </w:num>
  <w:num w:numId="16">
    <w:abstractNumId w:val="4"/>
  </w:num>
  <w:num w:numId="17">
    <w:abstractNumId w:val="5"/>
  </w:num>
  <w:num w:numId="18">
    <w:abstractNumId w:val="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0"/>
  </w:num>
  <w:num w:numId="25">
    <w:abstractNumId w:val="23"/>
  </w:num>
  <w:num w:numId="26">
    <w:abstractNumId w:val="18"/>
  </w:num>
  <w:num w:numId="27">
    <w:abstractNumId w:val="2"/>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561"/>
  <w:hyphenationZone w:val="425"/>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2MLIwNjU2NTcyNTRR0lEKTi0uzszPAykwrQUAXuiCUiwAAAA="/>
  </w:docVars>
  <w:rsids>
    <w:rsidRoot w:val="00545165"/>
    <w:rsid w:val="00000092"/>
    <w:rsid w:val="00000581"/>
    <w:rsid w:val="00000861"/>
    <w:rsid w:val="00001221"/>
    <w:rsid w:val="00002306"/>
    <w:rsid w:val="00002C93"/>
    <w:rsid w:val="000033A6"/>
    <w:rsid w:val="000034B0"/>
    <w:rsid w:val="000046E1"/>
    <w:rsid w:val="00005B6C"/>
    <w:rsid w:val="00006700"/>
    <w:rsid w:val="0000679D"/>
    <w:rsid w:val="00006F1D"/>
    <w:rsid w:val="0000744F"/>
    <w:rsid w:val="00010508"/>
    <w:rsid w:val="00010E53"/>
    <w:rsid w:val="00012134"/>
    <w:rsid w:val="000128AF"/>
    <w:rsid w:val="000138FB"/>
    <w:rsid w:val="000146E3"/>
    <w:rsid w:val="00015815"/>
    <w:rsid w:val="000158F5"/>
    <w:rsid w:val="00016248"/>
    <w:rsid w:val="00016A6C"/>
    <w:rsid w:val="00016B78"/>
    <w:rsid w:val="00017F21"/>
    <w:rsid w:val="00020BB2"/>
    <w:rsid w:val="000210DA"/>
    <w:rsid w:val="000212CA"/>
    <w:rsid w:val="0002261F"/>
    <w:rsid w:val="00023439"/>
    <w:rsid w:val="00023E28"/>
    <w:rsid w:val="0002455E"/>
    <w:rsid w:val="0002475A"/>
    <w:rsid w:val="00024B84"/>
    <w:rsid w:val="000258A1"/>
    <w:rsid w:val="000259B1"/>
    <w:rsid w:val="00025A83"/>
    <w:rsid w:val="000266B3"/>
    <w:rsid w:val="00026CC0"/>
    <w:rsid w:val="00026D83"/>
    <w:rsid w:val="000273E0"/>
    <w:rsid w:val="000273EB"/>
    <w:rsid w:val="0003042F"/>
    <w:rsid w:val="00030BE6"/>
    <w:rsid w:val="00030D06"/>
    <w:rsid w:val="00031076"/>
    <w:rsid w:val="00033147"/>
    <w:rsid w:val="000334EB"/>
    <w:rsid w:val="00033F21"/>
    <w:rsid w:val="00034174"/>
    <w:rsid w:val="0003418F"/>
    <w:rsid w:val="00034A14"/>
    <w:rsid w:val="00035071"/>
    <w:rsid w:val="0003521D"/>
    <w:rsid w:val="00041D63"/>
    <w:rsid w:val="00041E8E"/>
    <w:rsid w:val="00042592"/>
    <w:rsid w:val="00042A85"/>
    <w:rsid w:val="00042BF2"/>
    <w:rsid w:val="00043D06"/>
    <w:rsid w:val="00044701"/>
    <w:rsid w:val="00044CBB"/>
    <w:rsid w:val="00044FD2"/>
    <w:rsid w:val="000454FA"/>
    <w:rsid w:val="00045CCD"/>
    <w:rsid w:val="00046410"/>
    <w:rsid w:val="000477DE"/>
    <w:rsid w:val="00047E70"/>
    <w:rsid w:val="00050AF5"/>
    <w:rsid w:val="00050BE9"/>
    <w:rsid w:val="000519FB"/>
    <w:rsid w:val="00051F92"/>
    <w:rsid w:val="0005228D"/>
    <w:rsid w:val="00052437"/>
    <w:rsid w:val="00052885"/>
    <w:rsid w:val="0005294B"/>
    <w:rsid w:val="0005497B"/>
    <w:rsid w:val="00055577"/>
    <w:rsid w:val="00055821"/>
    <w:rsid w:val="0005613E"/>
    <w:rsid w:val="00056AD7"/>
    <w:rsid w:val="00060DF2"/>
    <w:rsid w:val="00061CF5"/>
    <w:rsid w:val="00061DEA"/>
    <w:rsid w:val="00061EB4"/>
    <w:rsid w:val="0006228B"/>
    <w:rsid w:val="0006232A"/>
    <w:rsid w:val="000628F1"/>
    <w:rsid w:val="000632B0"/>
    <w:rsid w:val="0006486B"/>
    <w:rsid w:val="0006490B"/>
    <w:rsid w:val="00064A85"/>
    <w:rsid w:val="00064E34"/>
    <w:rsid w:val="00064F00"/>
    <w:rsid w:val="00065D09"/>
    <w:rsid w:val="00065F9A"/>
    <w:rsid w:val="000668AC"/>
    <w:rsid w:val="00066DE1"/>
    <w:rsid w:val="00067390"/>
    <w:rsid w:val="000678B5"/>
    <w:rsid w:val="0007077E"/>
    <w:rsid w:val="000712DF"/>
    <w:rsid w:val="00071323"/>
    <w:rsid w:val="000720E6"/>
    <w:rsid w:val="00073948"/>
    <w:rsid w:val="000750D7"/>
    <w:rsid w:val="000753E5"/>
    <w:rsid w:val="0007567F"/>
    <w:rsid w:val="00076929"/>
    <w:rsid w:val="00080331"/>
    <w:rsid w:val="00080AAF"/>
    <w:rsid w:val="00080E49"/>
    <w:rsid w:val="00081091"/>
    <w:rsid w:val="000819CB"/>
    <w:rsid w:val="00083590"/>
    <w:rsid w:val="0008393A"/>
    <w:rsid w:val="00083F93"/>
    <w:rsid w:val="00085023"/>
    <w:rsid w:val="000862D1"/>
    <w:rsid w:val="00086DBB"/>
    <w:rsid w:val="000871C6"/>
    <w:rsid w:val="00087608"/>
    <w:rsid w:val="000904B5"/>
    <w:rsid w:val="00090B77"/>
    <w:rsid w:val="00090FD1"/>
    <w:rsid w:val="000916A4"/>
    <w:rsid w:val="00091867"/>
    <w:rsid w:val="00092205"/>
    <w:rsid w:val="000925B5"/>
    <w:rsid w:val="00093D6C"/>
    <w:rsid w:val="00094160"/>
    <w:rsid w:val="00095083"/>
    <w:rsid w:val="00095C44"/>
    <w:rsid w:val="00096608"/>
    <w:rsid w:val="00096826"/>
    <w:rsid w:val="00097037"/>
    <w:rsid w:val="00097A40"/>
    <w:rsid w:val="00097BB2"/>
    <w:rsid w:val="00097D90"/>
    <w:rsid w:val="000A1742"/>
    <w:rsid w:val="000A2366"/>
    <w:rsid w:val="000A2542"/>
    <w:rsid w:val="000A25E3"/>
    <w:rsid w:val="000A2A0E"/>
    <w:rsid w:val="000A2FF9"/>
    <w:rsid w:val="000A3FF5"/>
    <w:rsid w:val="000A42A0"/>
    <w:rsid w:val="000A4BD0"/>
    <w:rsid w:val="000A544A"/>
    <w:rsid w:val="000A5541"/>
    <w:rsid w:val="000A67FC"/>
    <w:rsid w:val="000A6A84"/>
    <w:rsid w:val="000A7F8A"/>
    <w:rsid w:val="000B0154"/>
    <w:rsid w:val="000B04B7"/>
    <w:rsid w:val="000B06D8"/>
    <w:rsid w:val="000B0CDD"/>
    <w:rsid w:val="000B13F9"/>
    <w:rsid w:val="000B221B"/>
    <w:rsid w:val="000B2257"/>
    <w:rsid w:val="000B22D8"/>
    <w:rsid w:val="000B3EB1"/>
    <w:rsid w:val="000B407A"/>
    <w:rsid w:val="000B44BF"/>
    <w:rsid w:val="000B4AF4"/>
    <w:rsid w:val="000B5DFE"/>
    <w:rsid w:val="000B75E3"/>
    <w:rsid w:val="000C080A"/>
    <w:rsid w:val="000C12B1"/>
    <w:rsid w:val="000C1313"/>
    <w:rsid w:val="000C16BA"/>
    <w:rsid w:val="000C229E"/>
    <w:rsid w:val="000C2379"/>
    <w:rsid w:val="000C2F4E"/>
    <w:rsid w:val="000C4385"/>
    <w:rsid w:val="000C4637"/>
    <w:rsid w:val="000C4BEA"/>
    <w:rsid w:val="000C5029"/>
    <w:rsid w:val="000C58D1"/>
    <w:rsid w:val="000C5AA5"/>
    <w:rsid w:val="000C5B0B"/>
    <w:rsid w:val="000C5E83"/>
    <w:rsid w:val="000C604C"/>
    <w:rsid w:val="000C64FA"/>
    <w:rsid w:val="000C6532"/>
    <w:rsid w:val="000D0604"/>
    <w:rsid w:val="000D0735"/>
    <w:rsid w:val="000D0DC7"/>
    <w:rsid w:val="000D15D8"/>
    <w:rsid w:val="000D1755"/>
    <w:rsid w:val="000D17F9"/>
    <w:rsid w:val="000D1FC2"/>
    <w:rsid w:val="000D23C3"/>
    <w:rsid w:val="000D29F3"/>
    <w:rsid w:val="000D3FB8"/>
    <w:rsid w:val="000D43A1"/>
    <w:rsid w:val="000D4B1B"/>
    <w:rsid w:val="000D4BEA"/>
    <w:rsid w:val="000D5EA7"/>
    <w:rsid w:val="000D6851"/>
    <w:rsid w:val="000E0646"/>
    <w:rsid w:val="000E0773"/>
    <w:rsid w:val="000E119B"/>
    <w:rsid w:val="000E154D"/>
    <w:rsid w:val="000E1DF6"/>
    <w:rsid w:val="000E2400"/>
    <w:rsid w:val="000E250A"/>
    <w:rsid w:val="000E259F"/>
    <w:rsid w:val="000E2BCA"/>
    <w:rsid w:val="000E2D44"/>
    <w:rsid w:val="000E2F22"/>
    <w:rsid w:val="000E32C7"/>
    <w:rsid w:val="000E404C"/>
    <w:rsid w:val="000E48D0"/>
    <w:rsid w:val="000E4A97"/>
    <w:rsid w:val="000E53C2"/>
    <w:rsid w:val="000E63DC"/>
    <w:rsid w:val="000E650D"/>
    <w:rsid w:val="000E761F"/>
    <w:rsid w:val="000E782E"/>
    <w:rsid w:val="000E7A92"/>
    <w:rsid w:val="000F03E2"/>
    <w:rsid w:val="000F08DF"/>
    <w:rsid w:val="000F0B27"/>
    <w:rsid w:val="000F0E7C"/>
    <w:rsid w:val="000F0F76"/>
    <w:rsid w:val="000F14A4"/>
    <w:rsid w:val="000F1764"/>
    <w:rsid w:val="000F282D"/>
    <w:rsid w:val="000F34E9"/>
    <w:rsid w:val="000F3908"/>
    <w:rsid w:val="000F3CE0"/>
    <w:rsid w:val="000F3D86"/>
    <w:rsid w:val="000F5E8F"/>
    <w:rsid w:val="000F6BBE"/>
    <w:rsid w:val="000F7423"/>
    <w:rsid w:val="000F75B0"/>
    <w:rsid w:val="000F778D"/>
    <w:rsid w:val="00100392"/>
    <w:rsid w:val="001013BF"/>
    <w:rsid w:val="00101A5C"/>
    <w:rsid w:val="001025FE"/>
    <w:rsid w:val="00103985"/>
    <w:rsid w:val="001039F4"/>
    <w:rsid w:val="00104031"/>
    <w:rsid w:val="00104440"/>
    <w:rsid w:val="0010454F"/>
    <w:rsid w:val="001048A6"/>
    <w:rsid w:val="001052DF"/>
    <w:rsid w:val="001058F7"/>
    <w:rsid w:val="00105DF9"/>
    <w:rsid w:val="00106192"/>
    <w:rsid w:val="001061E4"/>
    <w:rsid w:val="001068A6"/>
    <w:rsid w:val="00107163"/>
    <w:rsid w:val="0010736A"/>
    <w:rsid w:val="00107ECB"/>
    <w:rsid w:val="0011058C"/>
    <w:rsid w:val="00111A94"/>
    <w:rsid w:val="0011225E"/>
    <w:rsid w:val="00112560"/>
    <w:rsid w:val="00112A2C"/>
    <w:rsid w:val="00112BDB"/>
    <w:rsid w:val="00114596"/>
    <w:rsid w:val="00114CC0"/>
    <w:rsid w:val="001155B2"/>
    <w:rsid w:val="00115E28"/>
    <w:rsid w:val="00115FEE"/>
    <w:rsid w:val="0011607E"/>
    <w:rsid w:val="00116301"/>
    <w:rsid w:val="00117AB0"/>
    <w:rsid w:val="001228A5"/>
    <w:rsid w:val="00122BCA"/>
    <w:rsid w:val="00122C08"/>
    <w:rsid w:val="0012347A"/>
    <w:rsid w:val="00124797"/>
    <w:rsid w:val="00125EE9"/>
    <w:rsid w:val="00126EB7"/>
    <w:rsid w:val="00127AF5"/>
    <w:rsid w:val="00127EA0"/>
    <w:rsid w:val="00127FA2"/>
    <w:rsid w:val="00130060"/>
    <w:rsid w:val="00130844"/>
    <w:rsid w:val="0013125B"/>
    <w:rsid w:val="00131574"/>
    <w:rsid w:val="001316DB"/>
    <w:rsid w:val="00131BFE"/>
    <w:rsid w:val="0013203A"/>
    <w:rsid w:val="00132048"/>
    <w:rsid w:val="00133C41"/>
    <w:rsid w:val="00133E43"/>
    <w:rsid w:val="001352B6"/>
    <w:rsid w:val="0013663E"/>
    <w:rsid w:val="00136A6E"/>
    <w:rsid w:val="00140D44"/>
    <w:rsid w:val="0014156D"/>
    <w:rsid w:val="00141B09"/>
    <w:rsid w:val="001424F5"/>
    <w:rsid w:val="0014293E"/>
    <w:rsid w:val="00142FB0"/>
    <w:rsid w:val="001430D6"/>
    <w:rsid w:val="001435AC"/>
    <w:rsid w:val="001436A3"/>
    <w:rsid w:val="00143BAF"/>
    <w:rsid w:val="00143DF8"/>
    <w:rsid w:val="00143E94"/>
    <w:rsid w:val="00145514"/>
    <w:rsid w:val="00145703"/>
    <w:rsid w:val="00145976"/>
    <w:rsid w:val="001471BE"/>
    <w:rsid w:val="00151097"/>
    <w:rsid w:val="001513D5"/>
    <w:rsid w:val="001514C7"/>
    <w:rsid w:val="00151C44"/>
    <w:rsid w:val="00152516"/>
    <w:rsid w:val="001526F2"/>
    <w:rsid w:val="00153989"/>
    <w:rsid w:val="00153EE5"/>
    <w:rsid w:val="00154464"/>
    <w:rsid w:val="00154679"/>
    <w:rsid w:val="00154ED7"/>
    <w:rsid w:val="00155C7C"/>
    <w:rsid w:val="00155CDE"/>
    <w:rsid w:val="00157683"/>
    <w:rsid w:val="001607FF"/>
    <w:rsid w:val="0016211F"/>
    <w:rsid w:val="00162C36"/>
    <w:rsid w:val="00162DAB"/>
    <w:rsid w:val="00163482"/>
    <w:rsid w:val="00163760"/>
    <w:rsid w:val="00163B08"/>
    <w:rsid w:val="00163C26"/>
    <w:rsid w:val="00163DE1"/>
    <w:rsid w:val="00163E35"/>
    <w:rsid w:val="00163F13"/>
    <w:rsid w:val="00164741"/>
    <w:rsid w:val="00164B10"/>
    <w:rsid w:val="001653AC"/>
    <w:rsid w:val="001654C8"/>
    <w:rsid w:val="00165AE5"/>
    <w:rsid w:val="00165BBB"/>
    <w:rsid w:val="00166204"/>
    <w:rsid w:val="001668DD"/>
    <w:rsid w:val="001678EC"/>
    <w:rsid w:val="0017049F"/>
    <w:rsid w:val="00170549"/>
    <w:rsid w:val="00170DBA"/>
    <w:rsid w:val="00170F71"/>
    <w:rsid w:val="00172042"/>
    <w:rsid w:val="00172F50"/>
    <w:rsid w:val="001739DD"/>
    <w:rsid w:val="00173A27"/>
    <w:rsid w:val="00174594"/>
    <w:rsid w:val="0017531B"/>
    <w:rsid w:val="001757D7"/>
    <w:rsid w:val="00175B55"/>
    <w:rsid w:val="00175C37"/>
    <w:rsid w:val="0017612C"/>
    <w:rsid w:val="00176A88"/>
    <w:rsid w:val="0017746D"/>
    <w:rsid w:val="001774D0"/>
    <w:rsid w:val="001778C8"/>
    <w:rsid w:val="00177950"/>
    <w:rsid w:val="001779D3"/>
    <w:rsid w:val="00177B23"/>
    <w:rsid w:val="001813F4"/>
    <w:rsid w:val="00182CB7"/>
    <w:rsid w:val="00182EB7"/>
    <w:rsid w:val="00183123"/>
    <w:rsid w:val="0018414E"/>
    <w:rsid w:val="001846D5"/>
    <w:rsid w:val="00184771"/>
    <w:rsid w:val="001856F6"/>
    <w:rsid w:val="0018613B"/>
    <w:rsid w:val="00186A80"/>
    <w:rsid w:val="00186C4A"/>
    <w:rsid w:val="001875C5"/>
    <w:rsid w:val="00191F87"/>
    <w:rsid w:val="001920B6"/>
    <w:rsid w:val="00192C10"/>
    <w:rsid w:val="0019416E"/>
    <w:rsid w:val="001943A7"/>
    <w:rsid w:val="00194890"/>
    <w:rsid w:val="00195D43"/>
    <w:rsid w:val="00197124"/>
    <w:rsid w:val="001A10FF"/>
    <w:rsid w:val="001A1D9F"/>
    <w:rsid w:val="001A2758"/>
    <w:rsid w:val="001A2881"/>
    <w:rsid w:val="001A3E2E"/>
    <w:rsid w:val="001A4C0F"/>
    <w:rsid w:val="001A5ED4"/>
    <w:rsid w:val="001A63DD"/>
    <w:rsid w:val="001A66EE"/>
    <w:rsid w:val="001A7705"/>
    <w:rsid w:val="001B0A7E"/>
    <w:rsid w:val="001B1AB8"/>
    <w:rsid w:val="001B554F"/>
    <w:rsid w:val="001B6888"/>
    <w:rsid w:val="001B6E0F"/>
    <w:rsid w:val="001B6EAA"/>
    <w:rsid w:val="001B6FDC"/>
    <w:rsid w:val="001B7C02"/>
    <w:rsid w:val="001C0077"/>
    <w:rsid w:val="001C0118"/>
    <w:rsid w:val="001C3A07"/>
    <w:rsid w:val="001C40A9"/>
    <w:rsid w:val="001C44E9"/>
    <w:rsid w:val="001C70DF"/>
    <w:rsid w:val="001C7CD9"/>
    <w:rsid w:val="001D0C62"/>
    <w:rsid w:val="001D1222"/>
    <w:rsid w:val="001D1A49"/>
    <w:rsid w:val="001D2923"/>
    <w:rsid w:val="001D2CE9"/>
    <w:rsid w:val="001D2DB1"/>
    <w:rsid w:val="001D3F01"/>
    <w:rsid w:val="001D5432"/>
    <w:rsid w:val="001D703B"/>
    <w:rsid w:val="001E02B9"/>
    <w:rsid w:val="001E0722"/>
    <w:rsid w:val="001E138A"/>
    <w:rsid w:val="001E14D8"/>
    <w:rsid w:val="001E1647"/>
    <w:rsid w:val="001E1FE2"/>
    <w:rsid w:val="001E2952"/>
    <w:rsid w:val="001E2C5D"/>
    <w:rsid w:val="001E4D5C"/>
    <w:rsid w:val="001E50F1"/>
    <w:rsid w:val="001E53D4"/>
    <w:rsid w:val="001E57B8"/>
    <w:rsid w:val="001E611B"/>
    <w:rsid w:val="001E62E1"/>
    <w:rsid w:val="001E6434"/>
    <w:rsid w:val="001E79A1"/>
    <w:rsid w:val="001F1D40"/>
    <w:rsid w:val="001F23E9"/>
    <w:rsid w:val="001F31C6"/>
    <w:rsid w:val="001F32D7"/>
    <w:rsid w:val="001F3541"/>
    <w:rsid w:val="001F3A5A"/>
    <w:rsid w:val="001F4A9F"/>
    <w:rsid w:val="001F56CD"/>
    <w:rsid w:val="001F730F"/>
    <w:rsid w:val="002008F0"/>
    <w:rsid w:val="00201486"/>
    <w:rsid w:val="00201B7E"/>
    <w:rsid w:val="00201F82"/>
    <w:rsid w:val="002028D1"/>
    <w:rsid w:val="00202DEC"/>
    <w:rsid w:val="00202FD8"/>
    <w:rsid w:val="00203C78"/>
    <w:rsid w:val="0020476A"/>
    <w:rsid w:val="00204936"/>
    <w:rsid w:val="002049A1"/>
    <w:rsid w:val="00205290"/>
    <w:rsid w:val="002060BE"/>
    <w:rsid w:val="00206144"/>
    <w:rsid w:val="00210AF7"/>
    <w:rsid w:val="00210F84"/>
    <w:rsid w:val="00211745"/>
    <w:rsid w:val="002124AE"/>
    <w:rsid w:val="00213B10"/>
    <w:rsid w:val="00214A64"/>
    <w:rsid w:val="00216854"/>
    <w:rsid w:val="00217AFF"/>
    <w:rsid w:val="00220488"/>
    <w:rsid w:val="00220734"/>
    <w:rsid w:val="00220D0C"/>
    <w:rsid w:val="00221CE6"/>
    <w:rsid w:val="00222000"/>
    <w:rsid w:val="00222005"/>
    <w:rsid w:val="00222C1E"/>
    <w:rsid w:val="00222F11"/>
    <w:rsid w:val="002232FD"/>
    <w:rsid w:val="002235A0"/>
    <w:rsid w:val="002238B2"/>
    <w:rsid w:val="002239A7"/>
    <w:rsid w:val="00224784"/>
    <w:rsid w:val="00225915"/>
    <w:rsid w:val="00227A13"/>
    <w:rsid w:val="00227B6F"/>
    <w:rsid w:val="00230811"/>
    <w:rsid w:val="002308B0"/>
    <w:rsid w:val="002308DC"/>
    <w:rsid w:val="00231E17"/>
    <w:rsid w:val="0023225A"/>
    <w:rsid w:val="002325F0"/>
    <w:rsid w:val="002335C5"/>
    <w:rsid w:val="00234C08"/>
    <w:rsid w:val="0023673D"/>
    <w:rsid w:val="00236B82"/>
    <w:rsid w:val="0023709E"/>
    <w:rsid w:val="00237212"/>
    <w:rsid w:val="0023735B"/>
    <w:rsid w:val="002378BB"/>
    <w:rsid w:val="00240583"/>
    <w:rsid w:val="00241A3E"/>
    <w:rsid w:val="00241F34"/>
    <w:rsid w:val="002427A9"/>
    <w:rsid w:val="00242A67"/>
    <w:rsid w:val="00242B42"/>
    <w:rsid w:val="00242CF6"/>
    <w:rsid w:val="002435E7"/>
    <w:rsid w:val="00244126"/>
    <w:rsid w:val="00244CE1"/>
    <w:rsid w:val="00245361"/>
    <w:rsid w:val="002459CA"/>
    <w:rsid w:val="0024621A"/>
    <w:rsid w:val="0024638A"/>
    <w:rsid w:val="0024645E"/>
    <w:rsid w:val="00246C68"/>
    <w:rsid w:val="002477CE"/>
    <w:rsid w:val="00247916"/>
    <w:rsid w:val="00247BF5"/>
    <w:rsid w:val="0025036E"/>
    <w:rsid w:val="00250AD4"/>
    <w:rsid w:val="00250E40"/>
    <w:rsid w:val="0025157F"/>
    <w:rsid w:val="00251AD6"/>
    <w:rsid w:val="00251B0D"/>
    <w:rsid w:val="00251D65"/>
    <w:rsid w:val="00251EE4"/>
    <w:rsid w:val="00251F1F"/>
    <w:rsid w:val="00253267"/>
    <w:rsid w:val="00253B40"/>
    <w:rsid w:val="00254466"/>
    <w:rsid w:val="00255707"/>
    <w:rsid w:val="00255832"/>
    <w:rsid w:val="00255847"/>
    <w:rsid w:val="0025584D"/>
    <w:rsid w:val="00255E20"/>
    <w:rsid w:val="00256B04"/>
    <w:rsid w:val="002571F9"/>
    <w:rsid w:val="00257A69"/>
    <w:rsid w:val="00257B60"/>
    <w:rsid w:val="002601B3"/>
    <w:rsid w:val="002609A0"/>
    <w:rsid w:val="002616AE"/>
    <w:rsid w:val="00262EF1"/>
    <w:rsid w:val="00263455"/>
    <w:rsid w:val="002639DC"/>
    <w:rsid w:val="0026475A"/>
    <w:rsid w:val="002663E1"/>
    <w:rsid w:val="00267BB4"/>
    <w:rsid w:val="002701D9"/>
    <w:rsid w:val="002702C4"/>
    <w:rsid w:val="002711B4"/>
    <w:rsid w:val="00271220"/>
    <w:rsid w:val="0027146A"/>
    <w:rsid w:val="00271B92"/>
    <w:rsid w:val="00271DA3"/>
    <w:rsid w:val="00272845"/>
    <w:rsid w:val="00272CC0"/>
    <w:rsid w:val="00272D82"/>
    <w:rsid w:val="00272E23"/>
    <w:rsid w:val="00272EF5"/>
    <w:rsid w:val="00274A4A"/>
    <w:rsid w:val="00274C58"/>
    <w:rsid w:val="00274F6E"/>
    <w:rsid w:val="002753AE"/>
    <w:rsid w:val="002756C0"/>
    <w:rsid w:val="0027752C"/>
    <w:rsid w:val="00277B34"/>
    <w:rsid w:val="002800A2"/>
    <w:rsid w:val="00280950"/>
    <w:rsid w:val="00281A6C"/>
    <w:rsid w:val="00281E71"/>
    <w:rsid w:val="00282A38"/>
    <w:rsid w:val="00282DE4"/>
    <w:rsid w:val="00285031"/>
    <w:rsid w:val="00287768"/>
    <w:rsid w:val="00287A7A"/>
    <w:rsid w:val="00290C6D"/>
    <w:rsid w:val="00291206"/>
    <w:rsid w:val="00291FB8"/>
    <w:rsid w:val="00291FBD"/>
    <w:rsid w:val="0029234A"/>
    <w:rsid w:val="002930F3"/>
    <w:rsid w:val="00293151"/>
    <w:rsid w:val="00293F90"/>
    <w:rsid w:val="002959B8"/>
    <w:rsid w:val="00295F32"/>
    <w:rsid w:val="002965BB"/>
    <w:rsid w:val="002968CF"/>
    <w:rsid w:val="00296AC4"/>
    <w:rsid w:val="00297378"/>
    <w:rsid w:val="002A0B4F"/>
    <w:rsid w:val="002A0D57"/>
    <w:rsid w:val="002A0ED9"/>
    <w:rsid w:val="002A0F68"/>
    <w:rsid w:val="002A2C41"/>
    <w:rsid w:val="002A2E35"/>
    <w:rsid w:val="002A2F35"/>
    <w:rsid w:val="002A3E2F"/>
    <w:rsid w:val="002A4E70"/>
    <w:rsid w:val="002A51AA"/>
    <w:rsid w:val="002A610F"/>
    <w:rsid w:val="002A613B"/>
    <w:rsid w:val="002A68A9"/>
    <w:rsid w:val="002B002E"/>
    <w:rsid w:val="002B02A5"/>
    <w:rsid w:val="002B057C"/>
    <w:rsid w:val="002B0653"/>
    <w:rsid w:val="002B0E20"/>
    <w:rsid w:val="002B13E8"/>
    <w:rsid w:val="002B1507"/>
    <w:rsid w:val="002B19E0"/>
    <w:rsid w:val="002B2701"/>
    <w:rsid w:val="002B2D24"/>
    <w:rsid w:val="002B3116"/>
    <w:rsid w:val="002B3590"/>
    <w:rsid w:val="002B372D"/>
    <w:rsid w:val="002B3977"/>
    <w:rsid w:val="002B4759"/>
    <w:rsid w:val="002B5005"/>
    <w:rsid w:val="002B51AB"/>
    <w:rsid w:val="002B62A7"/>
    <w:rsid w:val="002B6B16"/>
    <w:rsid w:val="002B6F3F"/>
    <w:rsid w:val="002B75FE"/>
    <w:rsid w:val="002B7C3E"/>
    <w:rsid w:val="002B7E0B"/>
    <w:rsid w:val="002B7E28"/>
    <w:rsid w:val="002C09A0"/>
    <w:rsid w:val="002C134B"/>
    <w:rsid w:val="002C260E"/>
    <w:rsid w:val="002C2CD9"/>
    <w:rsid w:val="002C2DC9"/>
    <w:rsid w:val="002C3BDB"/>
    <w:rsid w:val="002C459F"/>
    <w:rsid w:val="002C559A"/>
    <w:rsid w:val="002C5F7D"/>
    <w:rsid w:val="002C7BB8"/>
    <w:rsid w:val="002C7D93"/>
    <w:rsid w:val="002D03B5"/>
    <w:rsid w:val="002D06DE"/>
    <w:rsid w:val="002D0832"/>
    <w:rsid w:val="002D1A2D"/>
    <w:rsid w:val="002D1CA4"/>
    <w:rsid w:val="002D22DF"/>
    <w:rsid w:val="002D25F5"/>
    <w:rsid w:val="002D2B02"/>
    <w:rsid w:val="002D3554"/>
    <w:rsid w:val="002D39F4"/>
    <w:rsid w:val="002D4A58"/>
    <w:rsid w:val="002D4C0D"/>
    <w:rsid w:val="002D5216"/>
    <w:rsid w:val="002D67CF"/>
    <w:rsid w:val="002D6824"/>
    <w:rsid w:val="002D6AE2"/>
    <w:rsid w:val="002D6C45"/>
    <w:rsid w:val="002E047A"/>
    <w:rsid w:val="002E07E7"/>
    <w:rsid w:val="002E09A8"/>
    <w:rsid w:val="002E0C42"/>
    <w:rsid w:val="002E1453"/>
    <w:rsid w:val="002E246A"/>
    <w:rsid w:val="002E28C0"/>
    <w:rsid w:val="002E3F2E"/>
    <w:rsid w:val="002E46F8"/>
    <w:rsid w:val="002E4A6D"/>
    <w:rsid w:val="002E504A"/>
    <w:rsid w:val="002E510D"/>
    <w:rsid w:val="002E54A5"/>
    <w:rsid w:val="002E5739"/>
    <w:rsid w:val="002E57C2"/>
    <w:rsid w:val="002E6DAC"/>
    <w:rsid w:val="002E7413"/>
    <w:rsid w:val="002E7C2C"/>
    <w:rsid w:val="002F08CF"/>
    <w:rsid w:val="002F0DB6"/>
    <w:rsid w:val="002F0ECB"/>
    <w:rsid w:val="002F10B9"/>
    <w:rsid w:val="002F11A2"/>
    <w:rsid w:val="002F18ED"/>
    <w:rsid w:val="002F1924"/>
    <w:rsid w:val="002F1C6F"/>
    <w:rsid w:val="002F1D42"/>
    <w:rsid w:val="002F265C"/>
    <w:rsid w:val="002F2B8D"/>
    <w:rsid w:val="002F2FA9"/>
    <w:rsid w:val="002F32DE"/>
    <w:rsid w:val="002F38C7"/>
    <w:rsid w:val="002F414C"/>
    <w:rsid w:val="002F4324"/>
    <w:rsid w:val="002F4EC4"/>
    <w:rsid w:val="002F67D0"/>
    <w:rsid w:val="002F6806"/>
    <w:rsid w:val="002F6842"/>
    <w:rsid w:val="002F6989"/>
    <w:rsid w:val="002F7648"/>
    <w:rsid w:val="002F7B52"/>
    <w:rsid w:val="00300287"/>
    <w:rsid w:val="003006DA"/>
    <w:rsid w:val="0030179F"/>
    <w:rsid w:val="0030186C"/>
    <w:rsid w:val="00303B24"/>
    <w:rsid w:val="003042FD"/>
    <w:rsid w:val="003049D9"/>
    <w:rsid w:val="0030572E"/>
    <w:rsid w:val="00305ECA"/>
    <w:rsid w:val="00305F91"/>
    <w:rsid w:val="003063CA"/>
    <w:rsid w:val="00306450"/>
    <w:rsid w:val="00306A32"/>
    <w:rsid w:val="00307521"/>
    <w:rsid w:val="00307606"/>
    <w:rsid w:val="00310BC4"/>
    <w:rsid w:val="003111F4"/>
    <w:rsid w:val="003126E4"/>
    <w:rsid w:val="00312B99"/>
    <w:rsid w:val="00313006"/>
    <w:rsid w:val="003139AE"/>
    <w:rsid w:val="00313DA3"/>
    <w:rsid w:val="00314401"/>
    <w:rsid w:val="00314CD7"/>
    <w:rsid w:val="003174F9"/>
    <w:rsid w:val="003208FA"/>
    <w:rsid w:val="00320F93"/>
    <w:rsid w:val="00321E82"/>
    <w:rsid w:val="0032398D"/>
    <w:rsid w:val="00324A14"/>
    <w:rsid w:val="0032500B"/>
    <w:rsid w:val="00325859"/>
    <w:rsid w:val="00325A33"/>
    <w:rsid w:val="00326057"/>
    <w:rsid w:val="00326A4E"/>
    <w:rsid w:val="00326E2E"/>
    <w:rsid w:val="00330FC4"/>
    <w:rsid w:val="003321DD"/>
    <w:rsid w:val="00332E22"/>
    <w:rsid w:val="00333227"/>
    <w:rsid w:val="003336D3"/>
    <w:rsid w:val="00333731"/>
    <w:rsid w:val="00333D94"/>
    <w:rsid w:val="003343F4"/>
    <w:rsid w:val="003344B8"/>
    <w:rsid w:val="003354CE"/>
    <w:rsid w:val="003359C5"/>
    <w:rsid w:val="00335B5A"/>
    <w:rsid w:val="003370AE"/>
    <w:rsid w:val="0033757A"/>
    <w:rsid w:val="003375CD"/>
    <w:rsid w:val="0033760E"/>
    <w:rsid w:val="00340007"/>
    <w:rsid w:val="0034054D"/>
    <w:rsid w:val="00340D32"/>
    <w:rsid w:val="003416B3"/>
    <w:rsid w:val="00342596"/>
    <w:rsid w:val="003426C7"/>
    <w:rsid w:val="00342A6E"/>
    <w:rsid w:val="00343EEB"/>
    <w:rsid w:val="00344D9F"/>
    <w:rsid w:val="00344DBC"/>
    <w:rsid w:val="0034566C"/>
    <w:rsid w:val="00345B2E"/>
    <w:rsid w:val="00345F50"/>
    <w:rsid w:val="00346139"/>
    <w:rsid w:val="003465BB"/>
    <w:rsid w:val="003465FB"/>
    <w:rsid w:val="0034693A"/>
    <w:rsid w:val="003473AC"/>
    <w:rsid w:val="003478A6"/>
    <w:rsid w:val="003478B9"/>
    <w:rsid w:val="00347CD5"/>
    <w:rsid w:val="00347EC6"/>
    <w:rsid w:val="003502D0"/>
    <w:rsid w:val="003502DF"/>
    <w:rsid w:val="003510BD"/>
    <w:rsid w:val="003519F2"/>
    <w:rsid w:val="00352889"/>
    <w:rsid w:val="003532B2"/>
    <w:rsid w:val="0035422C"/>
    <w:rsid w:val="00354A43"/>
    <w:rsid w:val="00355B40"/>
    <w:rsid w:val="00355E48"/>
    <w:rsid w:val="00357266"/>
    <w:rsid w:val="00357458"/>
    <w:rsid w:val="0035751F"/>
    <w:rsid w:val="00357884"/>
    <w:rsid w:val="003612F3"/>
    <w:rsid w:val="00362B23"/>
    <w:rsid w:val="003645E8"/>
    <w:rsid w:val="00364B96"/>
    <w:rsid w:val="00364D66"/>
    <w:rsid w:val="00364F4A"/>
    <w:rsid w:val="003667C0"/>
    <w:rsid w:val="0036707B"/>
    <w:rsid w:val="0036743C"/>
    <w:rsid w:val="003722B0"/>
    <w:rsid w:val="003725C3"/>
    <w:rsid w:val="00373001"/>
    <w:rsid w:val="00373BA9"/>
    <w:rsid w:val="0037420A"/>
    <w:rsid w:val="00374EE8"/>
    <w:rsid w:val="003751F2"/>
    <w:rsid w:val="00375403"/>
    <w:rsid w:val="003758BE"/>
    <w:rsid w:val="00375E4D"/>
    <w:rsid w:val="00375E9E"/>
    <w:rsid w:val="0037759D"/>
    <w:rsid w:val="00377678"/>
    <w:rsid w:val="00377A21"/>
    <w:rsid w:val="00377C51"/>
    <w:rsid w:val="00380A68"/>
    <w:rsid w:val="00380F8F"/>
    <w:rsid w:val="00381BE0"/>
    <w:rsid w:val="003826F3"/>
    <w:rsid w:val="00383716"/>
    <w:rsid w:val="00384541"/>
    <w:rsid w:val="00384851"/>
    <w:rsid w:val="00384889"/>
    <w:rsid w:val="00384AC6"/>
    <w:rsid w:val="00386504"/>
    <w:rsid w:val="003869B0"/>
    <w:rsid w:val="00386B91"/>
    <w:rsid w:val="00386F94"/>
    <w:rsid w:val="00387150"/>
    <w:rsid w:val="00387C10"/>
    <w:rsid w:val="0039091D"/>
    <w:rsid w:val="003914F4"/>
    <w:rsid w:val="0039153E"/>
    <w:rsid w:val="00391D62"/>
    <w:rsid w:val="00393559"/>
    <w:rsid w:val="00393AD1"/>
    <w:rsid w:val="00394199"/>
    <w:rsid w:val="00394B5F"/>
    <w:rsid w:val="00395891"/>
    <w:rsid w:val="00396B89"/>
    <w:rsid w:val="00396F84"/>
    <w:rsid w:val="00397212"/>
    <w:rsid w:val="003A1232"/>
    <w:rsid w:val="003A146B"/>
    <w:rsid w:val="003A1489"/>
    <w:rsid w:val="003A243D"/>
    <w:rsid w:val="003A2460"/>
    <w:rsid w:val="003A2552"/>
    <w:rsid w:val="003A2DA3"/>
    <w:rsid w:val="003A378A"/>
    <w:rsid w:val="003A3861"/>
    <w:rsid w:val="003A42EC"/>
    <w:rsid w:val="003A4AE0"/>
    <w:rsid w:val="003A4E76"/>
    <w:rsid w:val="003A532E"/>
    <w:rsid w:val="003A599F"/>
    <w:rsid w:val="003A5B4A"/>
    <w:rsid w:val="003A5BE4"/>
    <w:rsid w:val="003A5C57"/>
    <w:rsid w:val="003B1894"/>
    <w:rsid w:val="003B29D9"/>
    <w:rsid w:val="003B3988"/>
    <w:rsid w:val="003B4079"/>
    <w:rsid w:val="003B4761"/>
    <w:rsid w:val="003B5A6C"/>
    <w:rsid w:val="003B5E25"/>
    <w:rsid w:val="003B689C"/>
    <w:rsid w:val="003B74AE"/>
    <w:rsid w:val="003B7593"/>
    <w:rsid w:val="003B7690"/>
    <w:rsid w:val="003B76C3"/>
    <w:rsid w:val="003B797F"/>
    <w:rsid w:val="003C08C4"/>
    <w:rsid w:val="003C11F7"/>
    <w:rsid w:val="003C1641"/>
    <w:rsid w:val="003C259B"/>
    <w:rsid w:val="003C26F9"/>
    <w:rsid w:val="003C2791"/>
    <w:rsid w:val="003C2DE9"/>
    <w:rsid w:val="003C417F"/>
    <w:rsid w:val="003C41A0"/>
    <w:rsid w:val="003C4495"/>
    <w:rsid w:val="003C4521"/>
    <w:rsid w:val="003C455C"/>
    <w:rsid w:val="003C49B2"/>
    <w:rsid w:val="003C4BDD"/>
    <w:rsid w:val="003C510E"/>
    <w:rsid w:val="003C53EC"/>
    <w:rsid w:val="003C6950"/>
    <w:rsid w:val="003C707D"/>
    <w:rsid w:val="003C7650"/>
    <w:rsid w:val="003D0605"/>
    <w:rsid w:val="003D0870"/>
    <w:rsid w:val="003D0D15"/>
    <w:rsid w:val="003D0FE7"/>
    <w:rsid w:val="003D19B0"/>
    <w:rsid w:val="003D1AD3"/>
    <w:rsid w:val="003D201D"/>
    <w:rsid w:val="003D3640"/>
    <w:rsid w:val="003D3D81"/>
    <w:rsid w:val="003D4027"/>
    <w:rsid w:val="003D4347"/>
    <w:rsid w:val="003D4FD5"/>
    <w:rsid w:val="003D5F1D"/>
    <w:rsid w:val="003D66F6"/>
    <w:rsid w:val="003D7720"/>
    <w:rsid w:val="003E0A00"/>
    <w:rsid w:val="003E12A3"/>
    <w:rsid w:val="003E1782"/>
    <w:rsid w:val="003E198A"/>
    <w:rsid w:val="003E1E9B"/>
    <w:rsid w:val="003E23E4"/>
    <w:rsid w:val="003E5032"/>
    <w:rsid w:val="003E50E4"/>
    <w:rsid w:val="003E6885"/>
    <w:rsid w:val="003E753C"/>
    <w:rsid w:val="003F03F9"/>
    <w:rsid w:val="003F0838"/>
    <w:rsid w:val="003F2D33"/>
    <w:rsid w:val="003F375B"/>
    <w:rsid w:val="003F38D0"/>
    <w:rsid w:val="003F3BE2"/>
    <w:rsid w:val="003F46C9"/>
    <w:rsid w:val="003F4910"/>
    <w:rsid w:val="003F4913"/>
    <w:rsid w:val="003F4DBB"/>
    <w:rsid w:val="003F5184"/>
    <w:rsid w:val="003F61BE"/>
    <w:rsid w:val="003F6387"/>
    <w:rsid w:val="003F671F"/>
    <w:rsid w:val="003F6898"/>
    <w:rsid w:val="004005FB"/>
    <w:rsid w:val="00400D4D"/>
    <w:rsid w:val="00401815"/>
    <w:rsid w:val="00402C0E"/>
    <w:rsid w:val="00402DE0"/>
    <w:rsid w:val="0040307B"/>
    <w:rsid w:val="0040329F"/>
    <w:rsid w:val="0040364C"/>
    <w:rsid w:val="004039AE"/>
    <w:rsid w:val="00403EC0"/>
    <w:rsid w:val="00403F04"/>
    <w:rsid w:val="004043E7"/>
    <w:rsid w:val="00404B9F"/>
    <w:rsid w:val="0040583A"/>
    <w:rsid w:val="00405EE2"/>
    <w:rsid w:val="004062C6"/>
    <w:rsid w:val="0040677F"/>
    <w:rsid w:val="00406C93"/>
    <w:rsid w:val="00406CBB"/>
    <w:rsid w:val="00406F62"/>
    <w:rsid w:val="00406F86"/>
    <w:rsid w:val="00407947"/>
    <w:rsid w:val="0041167D"/>
    <w:rsid w:val="00411E74"/>
    <w:rsid w:val="00412617"/>
    <w:rsid w:val="0041295B"/>
    <w:rsid w:val="00412A63"/>
    <w:rsid w:val="00412AF3"/>
    <w:rsid w:val="00412D8F"/>
    <w:rsid w:val="00412FD5"/>
    <w:rsid w:val="00413337"/>
    <w:rsid w:val="00413E7F"/>
    <w:rsid w:val="00413EC7"/>
    <w:rsid w:val="00414F75"/>
    <w:rsid w:val="00415514"/>
    <w:rsid w:val="00416522"/>
    <w:rsid w:val="00416A30"/>
    <w:rsid w:val="004202E5"/>
    <w:rsid w:val="00420A69"/>
    <w:rsid w:val="00420ED4"/>
    <w:rsid w:val="00420F6D"/>
    <w:rsid w:val="0042656C"/>
    <w:rsid w:val="0042747B"/>
    <w:rsid w:val="00427852"/>
    <w:rsid w:val="00427B8A"/>
    <w:rsid w:val="00427BA3"/>
    <w:rsid w:val="004317D8"/>
    <w:rsid w:val="00431930"/>
    <w:rsid w:val="0043344E"/>
    <w:rsid w:val="00433E78"/>
    <w:rsid w:val="0043537D"/>
    <w:rsid w:val="0043557D"/>
    <w:rsid w:val="0043578C"/>
    <w:rsid w:val="00435F78"/>
    <w:rsid w:val="0043645E"/>
    <w:rsid w:val="004369B6"/>
    <w:rsid w:val="00437012"/>
    <w:rsid w:val="004375AD"/>
    <w:rsid w:val="0043769E"/>
    <w:rsid w:val="00441495"/>
    <w:rsid w:val="0044216E"/>
    <w:rsid w:val="004421FE"/>
    <w:rsid w:val="00443473"/>
    <w:rsid w:val="0044384A"/>
    <w:rsid w:val="00443A0B"/>
    <w:rsid w:val="00443A30"/>
    <w:rsid w:val="00444403"/>
    <w:rsid w:val="0044489C"/>
    <w:rsid w:val="00444D3C"/>
    <w:rsid w:val="00445356"/>
    <w:rsid w:val="0044577A"/>
    <w:rsid w:val="00446FBF"/>
    <w:rsid w:val="00447076"/>
    <w:rsid w:val="0045132F"/>
    <w:rsid w:val="004514AD"/>
    <w:rsid w:val="00453489"/>
    <w:rsid w:val="0045548E"/>
    <w:rsid w:val="00455C79"/>
    <w:rsid w:val="00456D93"/>
    <w:rsid w:val="00457024"/>
    <w:rsid w:val="00457904"/>
    <w:rsid w:val="004579DC"/>
    <w:rsid w:val="00457BE8"/>
    <w:rsid w:val="00457D9C"/>
    <w:rsid w:val="00460A4A"/>
    <w:rsid w:val="00461D23"/>
    <w:rsid w:val="0046244C"/>
    <w:rsid w:val="0046375F"/>
    <w:rsid w:val="004648A9"/>
    <w:rsid w:val="00464A77"/>
    <w:rsid w:val="00467232"/>
    <w:rsid w:val="00467F2C"/>
    <w:rsid w:val="00470010"/>
    <w:rsid w:val="00470153"/>
    <w:rsid w:val="00470270"/>
    <w:rsid w:val="00470609"/>
    <w:rsid w:val="004707BE"/>
    <w:rsid w:val="0047174C"/>
    <w:rsid w:val="004717A5"/>
    <w:rsid w:val="00472F4B"/>
    <w:rsid w:val="00473026"/>
    <w:rsid w:val="00473714"/>
    <w:rsid w:val="00473979"/>
    <w:rsid w:val="00473D17"/>
    <w:rsid w:val="00475891"/>
    <w:rsid w:val="004760BC"/>
    <w:rsid w:val="00476BA9"/>
    <w:rsid w:val="00477322"/>
    <w:rsid w:val="00477A3A"/>
    <w:rsid w:val="00477FC6"/>
    <w:rsid w:val="0048023C"/>
    <w:rsid w:val="0048092A"/>
    <w:rsid w:val="004821C0"/>
    <w:rsid w:val="0048272E"/>
    <w:rsid w:val="004828CB"/>
    <w:rsid w:val="004828CC"/>
    <w:rsid w:val="0048318B"/>
    <w:rsid w:val="0048324F"/>
    <w:rsid w:val="00483701"/>
    <w:rsid w:val="00484C59"/>
    <w:rsid w:val="0048532E"/>
    <w:rsid w:val="00485560"/>
    <w:rsid w:val="00485573"/>
    <w:rsid w:val="00485926"/>
    <w:rsid w:val="00485AFE"/>
    <w:rsid w:val="0048681D"/>
    <w:rsid w:val="004872D2"/>
    <w:rsid w:val="00487F9D"/>
    <w:rsid w:val="00490A33"/>
    <w:rsid w:val="00491BA2"/>
    <w:rsid w:val="00491C18"/>
    <w:rsid w:val="00491C71"/>
    <w:rsid w:val="00492452"/>
    <w:rsid w:val="00492833"/>
    <w:rsid w:val="0049329C"/>
    <w:rsid w:val="004937AA"/>
    <w:rsid w:val="00494248"/>
    <w:rsid w:val="00494620"/>
    <w:rsid w:val="0049543C"/>
    <w:rsid w:val="00495726"/>
    <w:rsid w:val="00495D0C"/>
    <w:rsid w:val="004964E7"/>
    <w:rsid w:val="00497E21"/>
    <w:rsid w:val="004A0A94"/>
    <w:rsid w:val="004A10E8"/>
    <w:rsid w:val="004A1370"/>
    <w:rsid w:val="004A2004"/>
    <w:rsid w:val="004A283C"/>
    <w:rsid w:val="004A2ADE"/>
    <w:rsid w:val="004A2C44"/>
    <w:rsid w:val="004A303C"/>
    <w:rsid w:val="004A3043"/>
    <w:rsid w:val="004A37D0"/>
    <w:rsid w:val="004A3FDF"/>
    <w:rsid w:val="004A4598"/>
    <w:rsid w:val="004A4D52"/>
    <w:rsid w:val="004A51A4"/>
    <w:rsid w:val="004A5D7A"/>
    <w:rsid w:val="004A6BE7"/>
    <w:rsid w:val="004A706C"/>
    <w:rsid w:val="004A76C9"/>
    <w:rsid w:val="004A7AE4"/>
    <w:rsid w:val="004B2078"/>
    <w:rsid w:val="004B2284"/>
    <w:rsid w:val="004B2BF4"/>
    <w:rsid w:val="004B2E79"/>
    <w:rsid w:val="004B513C"/>
    <w:rsid w:val="004B527D"/>
    <w:rsid w:val="004B6409"/>
    <w:rsid w:val="004B665D"/>
    <w:rsid w:val="004B7309"/>
    <w:rsid w:val="004B77F6"/>
    <w:rsid w:val="004B7B2B"/>
    <w:rsid w:val="004C1596"/>
    <w:rsid w:val="004C1B29"/>
    <w:rsid w:val="004C2CE3"/>
    <w:rsid w:val="004C3381"/>
    <w:rsid w:val="004C387E"/>
    <w:rsid w:val="004C471D"/>
    <w:rsid w:val="004C573B"/>
    <w:rsid w:val="004C60D4"/>
    <w:rsid w:val="004C6133"/>
    <w:rsid w:val="004C6F1B"/>
    <w:rsid w:val="004C6F84"/>
    <w:rsid w:val="004C7299"/>
    <w:rsid w:val="004C740D"/>
    <w:rsid w:val="004D00C6"/>
    <w:rsid w:val="004D02A5"/>
    <w:rsid w:val="004D090F"/>
    <w:rsid w:val="004D10FA"/>
    <w:rsid w:val="004D1526"/>
    <w:rsid w:val="004D16CC"/>
    <w:rsid w:val="004D1D97"/>
    <w:rsid w:val="004D27EA"/>
    <w:rsid w:val="004D2D79"/>
    <w:rsid w:val="004D3BD3"/>
    <w:rsid w:val="004D3D44"/>
    <w:rsid w:val="004D4187"/>
    <w:rsid w:val="004D4E4D"/>
    <w:rsid w:val="004D561C"/>
    <w:rsid w:val="004D675D"/>
    <w:rsid w:val="004D6D9E"/>
    <w:rsid w:val="004D6EAA"/>
    <w:rsid w:val="004D728A"/>
    <w:rsid w:val="004D7FE7"/>
    <w:rsid w:val="004E00FA"/>
    <w:rsid w:val="004E023A"/>
    <w:rsid w:val="004E0317"/>
    <w:rsid w:val="004E1ED2"/>
    <w:rsid w:val="004E3595"/>
    <w:rsid w:val="004E3A82"/>
    <w:rsid w:val="004E4668"/>
    <w:rsid w:val="004E4DB8"/>
    <w:rsid w:val="004E5DE1"/>
    <w:rsid w:val="004E5F0C"/>
    <w:rsid w:val="004E6705"/>
    <w:rsid w:val="004E6BA7"/>
    <w:rsid w:val="004E7152"/>
    <w:rsid w:val="004E7BCF"/>
    <w:rsid w:val="004F02C3"/>
    <w:rsid w:val="004F1BE0"/>
    <w:rsid w:val="004F2340"/>
    <w:rsid w:val="004F25D5"/>
    <w:rsid w:val="004F2D4A"/>
    <w:rsid w:val="004F2F3B"/>
    <w:rsid w:val="004F3E7D"/>
    <w:rsid w:val="004F431B"/>
    <w:rsid w:val="004F49B1"/>
    <w:rsid w:val="004F4AFD"/>
    <w:rsid w:val="004F5316"/>
    <w:rsid w:val="004F5507"/>
    <w:rsid w:val="004F627F"/>
    <w:rsid w:val="004F63CF"/>
    <w:rsid w:val="004F67EE"/>
    <w:rsid w:val="004F72C0"/>
    <w:rsid w:val="004F7348"/>
    <w:rsid w:val="004F7AC7"/>
    <w:rsid w:val="004F7BC5"/>
    <w:rsid w:val="0050029C"/>
    <w:rsid w:val="005005BD"/>
    <w:rsid w:val="005005EB"/>
    <w:rsid w:val="005009BC"/>
    <w:rsid w:val="005015A2"/>
    <w:rsid w:val="00501697"/>
    <w:rsid w:val="005018E4"/>
    <w:rsid w:val="00501AAB"/>
    <w:rsid w:val="00501B4E"/>
    <w:rsid w:val="00501D11"/>
    <w:rsid w:val="00501DBD"/>
    <w:rsid w:val="00502286"/>
    <w:rsid w:val="0050264D"/>
    <w:rsid w:val="00502994"/>
    <w:rsid w:val="00502A27"/>
    <w:rsid w:val="00502C1E"/>
    <w:rsid w:val="00502CF5"/>
    <w:rsid w:val="00502D3D"/>
    <w:rsid w:val="00502E6C"/>
    <w:rsid w:val="00504578"/>
    <w:rsid w:val="0050462F"/>
    <w:rsid w:val="00504A09"/>
    <w:rsid w:val="00505361"/>
    <w:rsid w:val="00505AE5"/>
    <w:rsid w:val="00506B7F"/>
    <w:rsid w:val="00507417"/>
    <w:rsid w:val="00507CFF"/>
    <w:rsid w:val="005100BB"/>
    <w:rsid w:val="00510600"/>
    <w:rsid w:val="00511312"/>
    <w:rsid w:val="00511C6A"/>
    <w:rsid w:val="00511F71"/>
    <w:rsid w:val="0051232E"/>
    <w:rsid w:val="005124C5"/>
    <w:rsid w:val="00513CAA"/>
    <w:rsid w:val="0051409B"/>
    <w:rsid w:val="0051464C"/>
    <w:rsid w:val="00514731"/>
    <w:rsid w:val="0051478B"/>
    <w:rsid w:val="00514C44"/>
    <w:rsid w:val="00514E3A"/>
    <w:rsid w:val="005154CB"/>
    <w:rsid w:val="005156FA"/>
    <w:rsid w:val="00515736"/>
    <w:rsid w:val="00515D33"/>
    <w:rsid w:val="00515DCE"/>
    <w:rsid w:val="00516079"/>
    <w:rsid w:val="005160A9"/>
    <w:rsid w:val="005162D1"/>
    <w:rsid w:val="00516D22"/>
    <w:rsid w:val="005173C1"/>
    <w:rsid w:val="00517CA2"/>
    <w:rsid w:val="00520E3D"/>
    <w:rsid w:val="0052322A"/>
    <w:rsid w:val="005243C8"/>
    <w:rsid w:val="00524617"/>
    <w:rsid w:val="00524F40"/>
    <w:rsid w:val="00525B14"/>
    <w:rsid w:val="00527090"/>
    <w:rsid w:val="005270AE"/>
    <w:rsid w:val="00527887"/>
    <w:rsid w:val="0053128E"/>
    <w:rsid w:val="00532D3B"/>
    <w:rsid w:val="005330F6"/>
    <w:rsid w:val="005335F4"/>
    <w:rsid w:val="00533645"/>
    <w:rsid w:val="00533F28"/>
    <w:rsid w:val="0053428B"/>
    <w:rsid w:val="005343FF"/>
    <w:rsid w:val="00534A0A"/>
    <w:rsid w:val="00535AEF"/>
    <w:rsid w:val="00536B69"/>
    <w:rsid w:val="00537B1E"/>
    <w:rsid w:val="00537C7B"/>
    <w:rsid w:val="00540288"/>
    <w:rsid w:val="0054073A"/>
    <w:rsid w:val="00540956"/>
    <w:rsid w:val="00540F61"/>
    <w:rsid w:val="0054252B"/>
    <w:rsid w:val="00542F5B"/>
    <w:rsid w:val="005433D5"/>
    <w:rsid w:val="0054375A"/>
    <w:rsid w:val="0054425E"/>
    <w:rsid w:val="005444D3"/>
    <w:rsid w:val="00544ADC"/>
    <w:rsid w:val="00544BAB"/>
    <w:rsid w:val="00544E90"/>
    <w:rsid w:val="00545165"/>
    <w:rsid w:val="0054633D"/>
    <w:rsid w:val="00546779"/>
    <w:rsid w:val="00547043"/>
    <w:rsid w:val="00547589"/>
    <w:rsid w:val="005505F8"/>
    <w:rsid w:val="00550EFE"/>
    <w:rsid w:val="00552455"/>
    <w:rsid w:val="005526CC"/>
    <w:rsid w:val="00553A56"/>
    <w:rsid w:val="00553D0B"/>
    <w:rsid w:val="005542CF"/>
    <w:rsid w:val="00554CDA"/>
    <w:rsid w:val="00556226"/>
    <w:rsid w:val="00556A41"/>
    <w:rsid w:val="00560211"/>
    <w:rsid w:val="005606D9"/>
    <w:rsid w:val="00560CC5"/>
    <w:rsid w:val="005617B5"/>
    <w:rsid w:val="00561945"/>
    <w:rsid w:val="00561E2B"/>
    <w:rsid w:val="005623E2"/>
    <w:rsid w:val="005624F8"/>
    <w:rsid w:val="00562639"/>
    <w:rsid w:val="00563C0F"/>
    <w:rsid w:val="00563E83"/>
    <w:rsid w:val="00564D41"/>
    <w:rsid w:val="00565AA5"/>
    <w:rsid w:val="00567401"/>
    <w:rsid w:val="00567CE7"/>
    <w:rsid w:val="0057019A"/>
    <w:rsid w:val="00570561"/>
    <w:rsid w:val="00570C26"/>
    <w:rsid w:val="00571CE7"/>
    <w:rsid w:val="00572919"/>
    <w:rsid w:val="00573690"/>
    <w:rsid w:val="00573CE5"/>
    <w:rsid w:val="005742B5"/>
    <w:rsid w:val="00575A21"/>
    <w:rsid w:val="00575A24"/>
    <w:rsid w:val="00576AD7"/>
    <w:rsid w:val="00576BFD"/>
    <w:rsid w:val="0057710B"/>
    <w:rsid w:val="00577EA6"/>
    <w:rsid w:val="00580B2D"/>
    <w:rsid w:val="00580DA7"/>
    <w:rsid w:val="005822B7"/>
    <w:rsid w:val="00582653"/>
    <w:rsid w:val="005826DF"/>
    <w:rsid w:val="0058379B"/>
    <w:rsid w:val="0058412B"/>
    <w:rsid w:val="005843D4"/>
    <w:rsid w:val="005849CB"/>
    <w:rsid w:val="00584D20"/>
    <w:rsid w:val="0058648B"/>
    <w:rsid w:val="0058680A"/>
    <w:rsid w:val="0058779B"/>
    <w:rsid w:val="005901F5"/>
    <w:rsid w:val="005911E6"/>
    <w:rsid w:val="00591448"/>
    <w:rsid w:val="00593484"/>
    <w:rsid w:val="00593870"/>
    <w:rsid w:val="00593A14"/>
    <w:rsid w:val="0059406A"/>
    <w:rsid w:val="0059489E"/>
    <w:rsid w:val="00594D8F"/>
    <w:rsid w:val="005963F5"/>
    <w:rsid w:val="00596F76"/>
    <w:rsid w:val="005971DC"/>
    <w:rsid w:val="00597D41"/>
    <w:rsid w:val="005A0BA7"/>
    <w:rsid w:val="005A15CC"/>
    <w:rsid w:val="005A2B25"/>
    <w:rsid w:val="005A3030"/>
    <w:rsid w:val="005A3ACC"/>
    <w:rsid w:val="005A479E"/>
    <w:rsid w:val="005A4B2E"/>
    <w:rsid w:val="005A5413"/>
    <w:rsid w:val="005A5FF2"/>
    <w:rsid w:val="005A63DA"/>
    <w:rsid w:val="005A6909"/>
    <w:rsid w:val="005A6B59"/>
    <w:rsid w:val="005A6D60"/>
    <w:rsid w:val="005A70F0"/>
    <w:rsid w:val="005B05ED"/>
    <w:rsid w:val="005B1D80"/>
    <w:rsid w:val="005B2389"/>
    <w:rsid w:val="005B24B2"/>
    <w:rsid w:val="005B2776"/>
    <w:rsid w:val="005B485C"/>
    <w:rsid w:val="005B5355"/>
    <w:rsid w:val="005B57A3"/>
    <w:rsid w:val="005B57BB"/>
    <w:rsid w:val="005B5B45"/>
    <w:rsid w:val="005B6170"/>
    <w:rsid w:val="005B6351"/>
    <w:rsid w:val="005B6C23"/>
    <w:rsid w:val="005B6E83"/>
    <w:rsid w:val="005B6F58"/>
    <w:rsid w:val="005C0673"/>
    <w:rsid w:val="005C26EA"/>
    <w:rsid w:val="005C29A6"/>
    <w:rsid w:val="005C2EC9"/>
    <w:rsid w:val="005C3855"/>
    <w:rsid w:val="005C667C"/>
    <w:rsid w:val="005C6CDB"/>
    <w:rsid w:val="005C71CB"/>
    <w:rsid w:val="005C7E33"/>
    <w:rsid w:val="005D149F"/>
    <w:rsid w:val="005D2123"/>
    <w:rsid w:val="005D2BB6"/>
    <w:rsid w:val="005D2CAB"/>
    <w:rsid w:val="005D2E7F"/>
    <w:rsid w:val="005D4ADA"/>
    <w:rsid w:val="005D546C"/>
    <w:rsid w:val="005D5518"/>
    <w:rsid w:val="005D5A87"/>
    <w:rsid w:val="005D5F25"/>
    <w:rsid w:val="005D672A"/>
    <w:rsid w:val="005D6927"/>
    <w:rsid w:val="005D73DD"/>
    <w:rsid w:val="005D760B"/>
    <w:rsid w:val="005D7E5E"/>
    <w:rsid w:val="005D7ED1"/>
    <w:rsid w:val="005E1E9B"/>
    <w:rsid w:val="005E252C"/>
    <w:rsid w:val="005E2785"/>
    <w:rsid w:val="005E2B1B"/>
    <w:rsid w:val="005E335C"/>
    <w:rsid w:val="005E3977"/>
    <w:rsid w:val="005E3EFE"/>
    <w:rsid w:val="005E491B"/>
    <w:rsid w:val="005E5ACF"/>
    <w:rsid w:val="005E7BD6"/>
    <w:rsid w:val="005F06DE"/>
    <w:rsid w:val="005F19D8"/>
    <w:rsid w:val="005F20F8"/>
    <w:rsid w:val="005F27BC"/>
    <w:rsid w:val="005F34A2"/>
    <w:rsid w:val="005F3605"/>
    <w:rsid w:val="005F3C0D"/>
    <w:rsid w:val="005F3DF6"/>
    <w:rsid w:val="005F3EBF"/>
    <w:rsid w:val="005F4432"/>
    <w:rsid w:val="005F50C2"/>
    <w:rsid w:val="005F770E"/>
    <w:rsid w:val="005F7857"/>
    <w:rsid w:val="005F7F91"/>
    <w:rsid w:val="00600CDB"/>
    <w:rsid w:val="00601561"/>
    <w:rsid w:val="006028E7"/>
    <w:rsid w:val="00603151"/>
    <w:rsid w:val="00603353"/>
    <w:rsid w:val="00604910"/>
    <w:rsid w:val="00604A9E"/>
    <w:rsid w:val="0060532C"/>
    <w:rsid w:val="006054C4"/>
    <w:rsid w:val="0060572D"/>
    <w:rsid w:val="00605F7A"/>
    <w:rsid w:val="00607210"/>
    <w:rsid w:val="00607BA3"/>
    <w:rsid w:val="00610657"/>
    <w:rsid w:val="00610EE7"/>
    <w:rsid w:val="006119C6"/>
    <w:rsid w:val="006121C5"/>
    <w:rsid w:val="00612731"/>
    <w:rsid w:val="00615266"/>
    <w:rsid w:val="006162D0"/>
    <w:rsid w:val="006169FB"/>
    <w:rsid w:val="00616C6A"/>
    <w:rsid w:val="0062007D"/>
    <w:rsid w:val="00622A98"/>
    <w:rsid w:val="00623900"/>
    <w:rsid w:val="00623D49"/>
    <w:rsid w:val="00623D75"/>
    <w:rsid w:val="00623DDF"/>
    <w:rsid w:val="00626027"/>
    <w:rsid w:val="00627B05"/>
    <w:rsid w:val="00627F29"/>
    <w:rsid w:val="00630BAA"/>
    <w:rsid w:val="00631076"/>
    <w:rsid w:val="0063191E"/>
    <w:rsid w:val="00631943"/>
    <w:rsid w:val="00631FFF"/>
    <w:rsid w:val="00632039"/>
    <w:rsid w:val="006337D6"/>
    <w:rsid w:val="006356F5"/>
    <w:rsid w:val="006402B4"/>
    <w:rsid w:val="00640336"/>
    <w:rsid w:val="006408D7"/>
    <w:rsid w:val="006409D3"/>
    <w:rsid w:val="00640E82"/>
    <w:rsid w:val="00640EA3"/>
    <w:rsid w:val="00640FF3"/>
    <w:rsid w:val="006412E1"/>
    <w:rsid w:val="00641B78"/>
    <w:rsid w:val="0064294C"/>
    <w:rsid w:val="00642A28"/>
    <w:rsid w:val="00642CE4"/>
    <w:rsid w:val="0064315A"/>
    <w:rsid w:val="0064348E"/>
    <w:rsid w:val="006445D7"/>
    <w:rsid w:val="00644810"/>
    <w:rsid w:val="00645EFF"/>
    <w:rsid w:val="00646F48"/>
    <w:rsid w:val="006476A5"/>
    <w:rsid w:val="0065045F"/>
    <w:rsid w:val="00650E41"/>
    <w:rsid w:val="00650E56"/>
    <w:rsid w:val="00652140"/>
    <w:rsid w:val="006521CF"/>
    <w:rsid w:val="00652950"/>
    <w:rsid w:val="00653B4D"/>
    <w:rsid w:val="00653CAA"/>
    <w:rsid w:val="00653E08"/>
    <w:rsid w:val="00655757"/>
    <w:rsid w:val="00655E40"/>
    <w:rsid w:val="006568D3"/>
    <w:rsid w:val="006572A6"/>
    <w:rsid w:val="006575A0"/>
    <w:rsid w:val="0065795F"/>
    <w:rsid w:val="006604DC"/>
    <w:rsid w:val="00660989"/>
    <w:rsid w:val="00660C89"/>
    <w:rsid w:val="006613C6"/>
    <w:rsid w:val="0066151C"/>
    <w:rsid w:val="00661561"/>
    <w:rsid w:val="00661BF7"/>
    <w:rsid w:val="00661D94"/>
    <w:rsid w:val="00662305"/>
    <w:rsid w:val="0066277E"/>
    <w:rsid w:val="006635A2"/>
    <w:rsid w:val="006638A1"/>
    <w:rsid w:val="00665379"/>
    <w:rsid w:val="00665EE6"/>
    <w:rsid w:val="00666644"/>
    <w:rsid w:val="006667E6"/>
    <w:rsid w:val="00667D70"/>
    <w:rsid w:val="00670839"/>
    <w:rsid w:val="00670BC2"/>
    <w:rsid w:val="00671982"/>
    <w:rsid w:val="00671F46"/>
    <w:rsid w:val="0067250F"/>
    <w:rsid w:val="00674ACE"/>
    <w:rsid w:val="00675128"/>
    <w:rsid w:val="006751EE"/>
    <w:rsid w:val="006753F5"/>
    <w:rsid w:val="00676CAB"/>
    <w:rsid w:val="00677289"/>
    <w:rsid w:val="0068075A"/>
    <w:rsid w:val="00682612"/>
    <w:rsid w:val="006828B3"/>
    <w:rsid w:val="006834ED"/>
    <w:rsid w:val="00683A8C"/>
    <w:rsid w:val="00684457"/>
    <w:rsid w:val="00684509"/>
    <w:rsid w:val="00684984"/>
    <w:rsid w:val="00684CF8"/>
    <w:rsid w:val="00685C39"/>
    <w:rsid w:val="006870F1"/>
    <w:rsid w:val="0069106E"/>
    <w:rsid w:val="0069130D"/>
    <w:rsid w:val="00691BDA"/>
    <w:rsid w:val="00691D38"/>
    <w:rsid w:val="006921CD"/>
    <w:rsid w:val="00692400"/>
    <w:rsid w:val="00692801"/>
    <w:rsid w:val="00692CB6"/>
    <w:rsid w:val="00694A07"/>
    <w:rsid w:val="006963FF"/>
    <w:rsid w:val="00697DBC"/>
    <w:rsid w:val="006A00BF"/>
    <w:rsid w:val="006A085A"/>
    <w:rsid w:val="006A0BAA"/>
    <w:rsid w:val="006A0BB7"/>
    <w:rsid w:val="006A1532"/>
    <w:rsid w:val="006A1656"/>
    <w:rsid w:val="006A27C8"/>
    <w:rsid w:val="006A2927"/>
    <w:rsid w:val="006A4081"/>
    <w:rsid w:val="006A56AE"/>
    <w:rsid w:val="006A5E30"/>
    <w:rsid w:val="006A60E7"/>
    <w:rsid w:val="006A61B6"/>
    <w:rsid w:val="006A61E0"/>
    <w:rsid w:val="006A6750"/>
    <w:rsid w:val="006A7969"/>
    <w:rsid w:val="006B0584"/>
    <w:rsid w:val="006B128C"/>
    <w:rsid w:val="006B12C8"/>
    <w:rsid w:val="006B1332"/>
    <w:rsid w:val="006B1497"/>
    <w:rsid w:val="006B1804"/>
    <w:rsid w:val="006B2E20"/>
    <w:rsid w:val="006B3F6B"/>
    <w:rsid w:val="006B490A"/>
    <w:rsid w:val="006B5133"/>
    <w:rsid w:val="006B69D2"/>
    <w:rsid w:val="006B6D4A"/>
    <w:rsid w:val="006B6FDA"/>
    <w:rsid w:val="006C07AC"/>
    <w:rsid w:val="006C0C13"/>
    <w:rsid w:val="006C0D7F"/>
    <w:rsid w:val="006C1EA9"/>
    <w:rsid w:val="006C2395"/>
    <w:rsid w:val="006C2BB8"/>
    <w:rsid w:val="006C30CE"/>
    <w:rsid w:val="006C33CF"/>
    <w:rsid w:val="006C4B7A"/>
    <w:rsid w:val="006C5218"/>
    <w:rsid w:val="006C6169"/>
    <w:rsid w:val="006C65C4"/>
    <w:rsid w:val="006C6A9B"/>
    <w:rsid w:val="006C7D69"/>
    <w:rsid w:val="006C7E11"/>
    <w:rsid w:val="006D06B0"/>
    <w:rsid w:val="006D08BC"/>
    <w:rsid w:val="006D0FD9"/>
    <w:rsid w:val="006D25BD"/>
    <w:rsid w:val="006D32C8"/>
    <w:rsid w:val="006D3573"/>
    <w:rsid w:val="006D4210"/>
    <w:rsid w:val="006D4414"/>
    <w:rsid w:val="006D45F7"/>
    <w:rsid w:val="006D46B2"/>
    <w:rsid w:val="006D480B"/>
    <w:rsid w:val="006D4BF7"/>
    <w:rsid w:val="006D4FC3"/>
    <w:rsid w:val="006D5221"/>
    <w:rsid w:val="006D56C9"/>
    <w:rsid w:val="006D6855"/>
    <w:rsid w:val="006D695D"/>
    <w:rsid w:val="006D6BCC"/>
    <w:rsid w:val="006E0369"/>
    <w:rsid w:val="006E0F75"/>
    <w:rsid w:val="006E1882"/>
    <w:rsid w:val="006E2737"/>
    <w:rsid w:val="006E27A6"/>
    <w:rsid w:val="006E2CDE"/>
    <w:rsid w:val="006E2F6F"/>
    <w:rsid w:val="006E2F86"/>
    <w:rsid w:val="006E46E4"/>
    <w:rsid w:val="006E58B7"/>
    <w:rsid w:val="006E60E3"/>
    <w:rsid w:val="006E6BAE"/>
    <w:rsid w:val="006E7232"/>
    <w:rsid w:val="006F07D7"/>
    <w:rsid w:val="006F0F68"/>
    <w:rsid w:val="006F11E3"/>
    <w:rsid w:val="006F1291"/>
    <w:rsid w:val="006F1996"/>
    <w:rsid w:val="006F3AB4"/>
    <w:rsid w:val="006F443D"/>
    <w:rsid w:val="006F4A53"/>
    <w:rsid w:val="006F687F"/>
    <w:rsid w:val="006F692F"/>
    <w:rsid w:val="006F73A1"/>
    <w:rsid w:val="006F7649"/>
    <w:rsid w:val="006F77BE"/>
    <w:rsid w:val="007005E9"/>
    <w:rsid w:val="007006FB"/>
    <w:rsid w:val="00700892"/>
    <w:rsid w:val="007013B5"/>
    <w:rsid w:val="00701D11"/>
    <w:rsid w:val="00702000"/>
    <w:rsid w:val="0070215F"/>
    <w:rsid w:val="00703061"/>
    <w:rsid w:val="007031C2"/>
    <w:rsid w:val="007037AB"/>
    <w:rsid w:val="00703BD6"/>
    <w:rsid w:val="007047B0"/>
    <w:rsid w:val="00704922"/>
    <w:rsid w:val="00705300"/>
    <w:rsid w:val="0070566C"/>
    <w:rsid w:val="00705B21"/>
    <w:rsid w:val="00706A0C"/>
    <w:rsid w:val="00706AD7"/>
    <w:rsid w:val="007070F4"/>
    <w:rsid w:val="0070734C"/>
    <w:rsid w:val="007073F7"/>
    <w:rsid w:val="00707833"/>
    <w:rsid w:val="00710DF4"/>
    <w:rsid w:val="00710E2E"/>
    <w:rsid w:val="00711956"/>
    <w:rsid w:val="00711CE7"/>
    <w:rsid w:val="00711EFD"/>
    <w:rsid w:val="00712AF0"/>
    <w:rsid w:val="00712D48"/>
    <w:rsid w:val="00713328"/>
    <w:rsid w:val="007133B7"/>
    <w:rsid w:val="007137B4"/>
    <w:rsid w:val="0071386B"/>
    <w:rsid w:val="0071407B"/>
    <w:rsid w:val="00716196"/>
    <w:rsid w:val="0071668D"/>
    <w:rsid w:val="007173B5"/>
    <w:rsid w:val="0072078C"/>
    <w:rsid w:val="00721E04"/>
    <w:rsid w:val="007221F1"/>
    <w:rsid w:val="00723906"/>
    <w:rsid w:val="00723C89"/>
    <w:rsid w:val="007256AB"/>
    <w:rsid w:val="007267B2"/>
    <w:rsid w:val="00726DB1"/>
    <w:rsid w:val="00727084"/>
    <w:rsid w:val="00727C1C"/>
    <w:rsid w:val="00730689"/>
    <w:rsid w:val="0073091E"/>
    <w:rsid w:val="007322BB"/>
    <w:rsid w:val="0073275D"/>
    <w:rsid w:val="00732959"/>
    <w:rsid w:val="00733004"/>
    <w:rsid w:val="00733B65"/>
    <w:rsid w:val="007343B8"/>
    <w:rsid w:val="00734FB4"/>
    <w:rsid w:val="00735C0C"/>
    <w:rsid w:val="00735CA6"/>
    <w:rsid w:val="00737350"/>
    <w:rsid w:val="00737401"/>
    <w:rsid w:val="007376BF"/>
    <w:rsid w:val="00737A1A"/>
    <w:rsid w:val="00737E3B"/>
    <w:rsid w:val="007408C6"/>
    <w:rsid w:val="00740A91"/>
    <w:rsid w:val="00741B1E"/>
    <w:rsid w:val="00741BA6"/>
    <w:rsid w:val="00742A1A"/>
    <w:rsid w:val="00742FC5"/>
    <w:rsid w:val="00745131"/>
    <w:rsid w:val="007465AE"/>
    <w:rsid w:val="00746998"/>
    <w:rsid w:val="00747D29"/>
    <w:rsid w:val="007520DB"/>
    <w:rsid w:val="00752149"/>
    <w:rsid w:val="0075273A"/>
    <w:rsid w:val="00752E0B"/>
    <w:rsid w:val="00753883"/>
    <w:rsid w:val="00753CCF"/>
    <w:rsid w:val="0075495B"/>
    <w:rsid w:val="00754BD8"/>
    <w:rsid w:val="00755A30"/>
    <w:rsid w:val="00755CB1"/>
    <w:rsid w:val="00756104"/>
    <w:rsid w:val="00756314"/>
    <w:rsid w:val="00756DA5"/>
    <w:rsid w:val="007600F7"/>
    <w:rsid w:val="007613ED"/>
    <w:rsid w:val="00761FEF"/>
    <w:rsid w:val="0076293D"/>
    <w:rsid w:val="007639C3"/>
    <w:rsid w:val="007643C5"/>
    <w:rsid w:val="00764B21"/>
    <w:rsid w:val="00765798"/>
    <w:rsid w:val="007662C0"/>
    <w:rsid w:val="007669BF"/>
    <w:rsid w:val="00770A29"/>
    <w:rsid w:val="00770BAA"/>
    <w:rsid w:val="00770BAF"/>
    <w:rsid w:val="007717F1"/>
    <w:rsid w:val="00771AD9"/>
    <w:rsid w:val="0077331D"/>
    <w:rsid w:val="007733C7"/>
    <w:rsid w:val="007743BC"/>
    <w:rsid w:val="00774973"/>
    <w:rsid w:val="0077701B"/>
    <w:rsid w:val="0077718E"/>
    <w:rsid w:val="00777F19"/>
    <w:rsid w:val="00780029"/>
    <w:rsid w:val="0078003D"/>
    <w:rsid w:val="007804D7"/>
    <w:rsid w:val="0078124E"/>
    <w:rsid w:val="007819DB"/>
    <w:rsid w:val="00781C8C"/>
    <w:rsid w:val="00781D17"/>
    <w:rsid w:val="00781E8F"/>
    <w:rsid w:val="0078239C"/>
    <w:rsid w:val="0078382B"/>
    <w:rsid w:val="0078418B"/>
    <w:rsid w:val="0078487A"/>
    <w:rsid w:val="007852F5"/>
    <w:rsid w:val="00785BC8"/>
    <w:rsid w:val="007864CE"/>
    <w:rsid w:val="007872D5"/>
    <w:rsid w:val="007876ED"/>
    <w:rsid w:val="00787DD6"/>
    <w:rsid w:val="00790766"/>
    <w:rsid w:val="00790C66"/>
    <w:rsid w:val="00791345"/>
    <w:rsid w:val="007918F5"/>
    <w:rsid w:val="00791EDA"/>
    <w:rsid w:val="00792132"/>
    <w:rsid w:val="00792AE0"/>
    <w:rsid w:val="007930DA"/>
    <w:rsid w:val="007938A2"/>
    <w:rsid w:val="00793C7D"/>
    <w:rsid w:val="007940C2"/>
    <w:rsid w:val="007941F7"/>
    <w:rsid w:val="00794A32"/>
    <w:rsid w:val="00795C41"/>
    <w:rsid w:val="00796B78"/>
    <w:rsid w:val="00796DB0"/>
    <w:rsid w:val="00797055"/>
    <w:rsid w:val="007A0168"/>
    <w:rsid w:val="007A0593"/>
    <w:rsid w:val="007A13FB"/>
    <w:rsid w:val="007A19AB"/>
    <w:rsid w:val="007A3279"/>
    <w:rsid w:val="007A328F"/>
    <w:rsid w:val="007A345C"/>
    <w:rsid w:val="007A3742"/>
    <w:rsid w:val="007A43AE"/>
    <w:rsid w:val="007A4968"/>
    <w:rsid w:val="007A59C5"/>
    <w:rsid w:val="007A64B3"/>
    <w:rsid w:val="007A7F67"/>
    <w:rsid w:val="007B0208"/>
    <w:rsid w:val="007B087D"/>
    <w:rsid w:val="007B1799"/>
    <w:rsid w:val="007B2EC9"/>
    <w:rsid w:val="007B5424"/>
    <w:rsid w:val="007B55FA"/>
    <w:rsid w:val="007B5766"/>
    <w:rsid w:val="007B5C1A"/>
    <w:rsid w:val="007B658D"/>
    <w:rsid w:val="007B68F7"/>
    <w:rsid w:val="007B7489"/>
    <w:rsid w:val="007C009A"/>
    <w:rsid w:val="007C00D2"/>
    <w:rsid w:val="007C093C"/>
    <w:rsid w:val="007C0CA3"/>
    <w:rsid w:val="007C0F6E"/>
    <w:rsid w:val="007C1E45"/>
    <w:rsid w:val="007C20A1"/>
    <w:rsid w:val="007C23AF"/>
    <w:rsid w:val="007C3010"/>
    <w:rsid w:val="007C35DD"/>
    <w:rsid w:val="007C3F87"/>
    <w:rsid w:val="007C4176"/>
    <w:rsid w:val="007C54CD"/>
    <w:rsid w:val="007C67CE"/>
    <w:rsid w:val="007C682B"/>
    <w:rsid w:val="007C6FE1"/>
    <w:rsid w:val="007C7AAD"/>
    <w:rsid w:val="007C7CA7"/>
    <w:rsid w:val="007D0911"/>
    <w:rsid w:val="007D0C18"/>
    <w:rsid w:val="007D0C6C"/>
    <w:rsid w:val="007D0C7E"/>
    <w:rsid w:val="007D0D0A"/>
    <w:rsid w:val="007D166F"/>
    <w:rsid w:val="007D1C75"/>
    <w:rsid w:val="007D1D51"/>
    <w:rsid w:val="007D1DF1"/>
    <w:rsid w:val="007D2074"/>
    <w:rsid w:val="007D2A92"/>
    <w:rsid w:val="007D2B3C"/>
    <w:rsid w:val="007D370F"/>
    <w:rsid w:val="007D382A"/>
    <w:rsid w:val="007D38D2"/>
    <w:rsid w:val="007D3D30"/>
    <w:rsid w:val="007D4437"/>
    <w:rsid w:val="007D48F5"/>
    <w:rsid w:val="007D51F9"/>
    <w:rsid w:val="007D5243"/>
    <w:rsid w:val="007D6697"/>
    <w:rsid w:val="007D6CB0"/>
    <w:rsid w:val="007E09D7"/>
    <w:rsid w:val="007E2162"/>
    <w:rsid w:val="007E2374"/>
    <w:rsid w:val="007E380A"/>
    <w:rsid w:val="007E421C"/>
    <w:rsid w:val="007E4D0E"/>
    <w:rsid w:val="007E6F75"/>
    <w:rsid w:val="007F2867"/>
    <w:rsid w:val="007F3575"/>
    <w:rsid w:val="007F3900"/>
    <w:rsid w:val="007F3B68"/>
    <w:rsid w:val="007F54DE"/>
    <w:rsid w:val="007F65D6"/>
    <w:rsid w:val="008015B0"/>
    <w:rsid w:val="0080189C"/>
    <w:rsid w:val="00802470"/>
    <w:rsid w:val="008032E1"/>
    <w:rsid w:val="00803670"/>
    <w:rsid w:val="00805347"/>
    <w:rsid w:val="00805EC7"/>
    <w:rsid w:val="008069DA"/>
    <w:rsid w:val="00806FEB"/>
    <w:rsid w:val="0080770E"/>
    <w:rsid w:val="008107F8"/>
    <w:rsid w:val="00810CC9"/>
    <w:rsid w:val="00810EE9"/>
    <w:rsid w:val="00810F4F"/>
    <w:rsid w:val="0081109C"/>
    <w:rsid w:val="008111A8"/>
    <w:rsid w:val="00811BD8"/>
    <w:rsid w:val="008129E0"/>
    <w:rsid w:val="008130CC"/>
    <w:rsid w:val="008144D1"/>
    <w:rsid w:val="008145E0"/>
    <w:rsid w:val="008146B9"/>
    <w:rsid w:val="0081496C"/>
    <w:rsid w:val="00815036"/>
    <w:rsid w:val="00815651"/>
    <w:rsid w:val="0081739D"/>
    <w:rsid w:val="008200D1"/>
    <w:rsid w:val="00820F14"/>
    <w:rsid w:val="008221FE"/>
    <w:rsid w:val="008222B5"/>
    <w:rsid w:val="00822C59"/>
    <w:rsid w:val="0082332C"/>
    <w:rsid w:val="00824192"/>
    <w:rsid w:val="008255C6"/>
    <w:rsid w:val="008256D8"/>
    <w:rsid w:val="008257AD"/>
    <w:rsid w:val="00825809"/>
    <w:rsid w:val="00826229"/>
    <w:rsid w:val="008264A3"/>
    <w:rsid w:val="0082784E"/>
    <w:rsid w:val="008313E6"/>
    <w:rsid w:val="00831718"/>
    <w:rsid w:val="00831A7A"/>
    <w:rsid w:val="008323FB"/>
    <w:rsid w:val="0083335D"/>
    <w:rsid w:val="008337EA"/>
    <w:rsid w:val="008356D6"/>
    <w:rsid w:val="00835780"/>
    <w:rsid w:val="0083599F"/>
    <w:rsid w:val="0083626C"/>
    <w:rsid w:val="0083701F"/>
    <w:rsid w:val="0083719B"/>
    <w:rsid w:val="008377B9"/>
    <w:rsid w:val="00837F5C"/>
    <w:rsid w:val="00841993"/>
    <w:rsid w:val="0084208F"/>
    <w:rsid w:val="0084220A"/>
    <w:rsid w:val="00842B8D"/>
    <w:rsid w:val="00842DE4"/>
    <w:rsid w:val="008432F1"/>
    <w:rsid w:val="00843663"/>
    <w:rsid w:val="008442DC"/>
    <w:rsid w:val="008458F6"/>
    <w:rsid w:val="00845DFF"/>
    <w:rsid w:val="008469F4"/>
    <w:rsid w:val="00847B4B"/>
    <w:rsid w:val="0085021F"/>
    <w:rsid w:val="0085058C"/>
    <w:rsid w:val="008512F2"/>
    <w:rsid w:val="008512FD"/>
    <w:rsid w:val="00852EBF"/>
    <w:rsid w:val="00853CFF"/>
    <w:rsid w:val="00853E37"/>
    <w:rsid w:val="00854162"/>
    <w:rsid w:val="00854209"/>
    <w:rsid w:val="00855517"/>
    <w:rsid w:val="00856662"/>
    <w:rsid w:val="00856DC3"/>
    <w:rsid w:val="0085754D"/>
    <w:rsid w:val="008577FD"/>
    <w:rsid w:val="00857CF2"/>
    <w:rsid w:val="00860A8A"/>
    <w:rsid w:val="00860A9D"/>
    <w:rsid w:val="00860D4A"/>
    <w:rsid w:val="00861A04"/>
    <w:rsid w:val="00862F8B"/>
    <w:rsid w:val="00863311"/>
    <w:rsid w:val="00863423"/>
    <w:rsid w:val="00863BB0"/>
    <w:rsid w:val="00863F5D"/>
    <w:rsid w:val="00864DA1"/>
    <w:rsid w:val="00867E50"/>
    <w:rsid w:val="0087025A"/>
    <w:rsid w:val="0087057B"/>
    <w:rsid w:val="00870EAC"/>
    <w:rsid w:val="00871172"/>
    <w:rsid w:val="0087207B"/>
    <w:rsid w:val="008723E5"/>
    <w:rsid w:val="00873995"/>
    <w:rsid w:val="00874BD5"/>
    <w:rsid w:val="00875AF9"/>
    <w:rsid w:val="008777BB"/>
    <w:rsid w:val="00877EC1"/>
    <w:rsid w:val="008804D1"/>
    <w:rsid w:val="0088102B"/>
    <w:rsid w:val="008814B0"/>
    <w:rsid w:val="0088199C"/>
    <w:rsid w:val="00881EEF"/>
    <w:rsid w:val="008830FD"/>
    <w:rsid w:val="00883E9C"/>
    <w:rsid w:val="008841FF"/>
    <w:rsid w:val="00884676"/>
    <w:rsid w:val="00884C2A"/>
    <w:rsid w:val="00885C70"/>
    <w:rsid w:val="00885D10"/>
    <w:rsid w:val="00885DFF"/>
    <w:rsid w:val="00887444"/>
    <w:rsid w:val="008874E6"/>
    <w:rsid w:val="0089034A"/>
    <w:rsid w:val="00891091"/>
    <w:rsid w:val="00891350"/>
    <w:rsid w:val="008913AE"/>
    <w:rsid w:val="00891FD0"/>
    <w:rsid w:val="0089280C"/>
    <w:rsid w:val="008929EF"/>
    <w:rsid w:val="00893020"/>
    <w:rsid w:val="00893DED"/>
    <w:rsid w:val="00893DF2"/>
    <w:rsid w:val="0089534D"/>
    <w:rsid w:val="00896966"/>
    <w:rsid w:val="00897223"/>
    <w:rsid w:val="00897720"/>
    <w:rsid w:val="008A096B"/>
    <w:rsid w:val="008A11D4"/>
    <w:rsid w:val="008A137C"/>
    <w:rsid w:val="008A21BD"/>
    <w:rsid w:val="008A2F20"/>
    <w:rsid w:val="008A3893"/>
    <w:rsid w:val="008A5E00"/>
    <w:rsid w:val="008A5E4E"/>
    <w:rsid w:val="008A5F34"/>
    <w:rsid w:val="008A600A"/>
    <w:rsid w:val="008A626C"/>
    <w:rsid w:val="008A75A8"/>
    <w:rsid w:val="008B0073"/>
    <w:rsid w:val="008B04B7"/>
    <w:rsid w:val="008B0BCB"/>
    <w:rsid w:val="008B1D48"/>
    <w:rsid w:val="008B2218"/>
    <w:rsid w:val="008B3174"/>
    <w:rsid w:val="008B46D1"/>
    <w:rsid w:val="008B491F"/>
    <w:rsid w:val="008B4FBC"/>
    <w:rsid w:val="008B5084"/>
    <w:rsid w:val="008B50B8"/>
    <w:rsid w:val="008B564E"/>
    <w:rsid w:val="008B5915"/>
    <w:rsid w:val="008B5B8F"/>
    <w:rsid w:val="008B5CF3"/>
    <w:rsid w:val="008B6E61"/>
    <w:rsid w:val="008B70CA"/>
    <w:rsid w:val="008B7438"/>
    <w:rsid w:val="008B74C1"/>
    <w:rsid w:val="008C02B5"/>
    <w:rsid w:val="008C0CA6"/>
    <w:rsid w:val="008C15F7"/>
    <w:rsid w:val="008C1904"/>
    <w:rsid w:val="008C1BC6"/>
    <w:rsid w:val="008C1E30"/>
    <w:rsid w:val="008C2A22"/>
    <w:rsid w:val="008C2A3B"/>
    <w:rsid w:val="008C3B92"/>
    <w:rsid w:val="008C3CBF"/>
    <w:rsid w:val="008C4913"/>
    <w:rsid w:val="008C497B"/>
    <w:rsid w:val="008C4DE0"/>
    <w:rsid w:val="008C585D"/>
    <w:rsid w:val="008C69B1"/>
    <w:rsid w:val="008C7357"/>
    <w:rsid w:val="008C7443"/>
    <w:rsid w:val="008C7E09"/>
    <w:rsid w:val="008D0141"/>
    <w:rsid w:val="008D02B8"/>
    <w:rsid w:val="008D06A8"/>
    <w:rsid w:val="008D13C3"/>
    <w:rsid w:val="008D156C"/>
    <w:rsid w:val="008D16F8"/>
    <w:rsid w:val="008D244D"/>
    <w:rsid w:val="008D24F0"/>
    <w:rsid w:val="008D25D0"/>
    <w:rsid w:val="008D2923"/>
    <w:rsid w:val="008D31B1"/>
    <w:rsid w:val="008D37C0"/>
    <w:rsid w:val="008D38A0"/>
    <w:rsid w:val="008D48C9"/>
    <w:rsid w:val="008D4BA4"/>
    <w:rsid w:val="008D51D5"/>
    <w:rsid w:val="008D5C22"/>
    <w:rsid w:val="008D5EE4"/>
    <w:rsid w:val="008D6095"/>
    <w:rsid w:val="008D6113"/>
    <w:rsid w:val="008D6893"/>
    <w:rsid w:val="008D6E51"/>
    <w:rsid w:val="008D6FD3"/>
    <w:rsid w:val="008D715D"/>
    <w:rsid w:val="008D77D5"/>
    <w:rsid w:val="008D7828"/>
    <w:rsid w:val="008D7A48"/>
    <w:rsid w:val="008E012F"/>
    <w:rsid w:val="008E1384"/>
    <w:rsid w:val="008E1505"/>
    <w:rsid w:val="008E1CE4"/>
    <w:rsid w:val="008E2441"/>
    <w:rsid w:val="008E2A63"/>
    <w:rsid w:val="008E2C4C"/>
    <w:rsid w:val="008E3012"/>
    <w:rsid w:val="008E36E3"/>
    <w:rsid w:val="008E464A"/>
    <w:rsid w:val="008E5DAE"/>
    <w:rsid w:val="008E5DFB"/>
    <w:rsid w:val="008E61DC"/>
    <w:rsid w:val="008E6DA9"/>
    <w:rsid w:val="008E7070"/>
    <w:rsid w:val="008F0FA1"/>
    <w:rsid w:val="008F1598"/>
    <w:rsid w:val="008F2294"/>
    <w:rsid w:val="008F33C0"/>
    <w:rsid w:val="008F33CF"/>
    <w:rsid w:val="008F345A"/>
    <w:rsid w:val="008F3677"/>
    <w:rsid w:val="008F38BC"/>
    <w:rsid w:val="008F497E"/>
    <w:rsid w:val="008F4CA2"/>
    <w:rsid w:val="008F681E"/>
    <w:rsid w:val="0090022D"/>
    <w:rsid w:val="00900664"/>
    <w:rsid w:val="00900BC4"/>
    <w:rsid w:val="009010CE"/>
    <w:rsid w:val="009014D1"/>
    <w:rsid w:val="0090155B"/>
    <w:rsid w:val="009017EB"/>
    <w:rsid w:val="0090187A"/>
    <w:rsid w:val="00901E39"/>
    <w:rsid w:val="00901FBB"/>
    <w:rsid w:val="00902096"/>
    <w:rsid w:val="00903F6F"/>
    <w:rsid w:val="0090401C"/>
    <w:rsid w:val="00906151"/>
    <w:rsid w:val="0090668A"/>
    <w:rsid w:val="00906A4D"/>
    <w:rsid w:val="00907ACA"/>
    <w:rsid w:val="00912221"/>
    <w:rsid w:val="00912AEF"/>
    <w:rsid w:val="009132AF"/>
    <w:rsid w:val="00913344"/>
    <w:rsid w:val="00913373"/>
    <w:rsid w:val="00915247"/>
    <w:rsid w:val="00915274"/>
    <w:rsid w:val="00916231"/>
    <w:rsid w:val="009163D3"/>
    <w:rsid w:val="0091699A"/>
    <w:rsid w:val="00917437"/>
    <w:rsid w:val="0091769D"/>
    <w:rsid w:val="00917CF7"/>
    <w:rsid w:val="00917D3C"/>
    <w:rsid w:val="00917F71"/>
    <w:rsid w:val="009206FE"/>
    <w:rsid w:val="00922136"/>
    <w:rsid w:val="00922CC0"/>
    <w:rsid w:val="009235A7"/>
    <w:rsid w:val="00923CDC"/>
    <w:rsid w:val="00924133"/>
    <w:rsid w:val="00925059"/>
    <w:rsid w:val="00925297"/>
    <w:rsid w:val="009252F5"/>
    <w:rsid w:val="009253D2"/>
    <w:rsid w:val="00925E6B"/>
    <w:rsid w:val="009263D0"/>
    <w:rsid w:val="00926E06"/>
    <w:rsid w:val="00930B53"/>
    <w:rsid w:val="00931200"/>
    <w:rsid w:val="00931C85"/>
    <w:rsid w:val="009330E2"/>
    <w:rsid w:val="009331EE"/>
    <w:rsid w:val="00934E02"/>
    <w:rsid w:val="009355F9"/>
    <w:rsid w:val="009368AA"/>
    <w:rsid w:val="009374BA"/>
    <w:rsid w:val="00937689"/>
    <w:rsid w:val="00940D9C"/>
    <w:rsid w:val="00941794"/>
    <w:rsid w:val="009436B7"/>
    <w:rsid w:val="00943C9D"/>
    <w:rsid w:val="009447B4"/>
    <w:rsid w:val="0094522B"/>
    <w:rsid w:val="00945494"/>
    <w:rsid w:val="00946244"/>
    <w:rsid w:val="0094669E"/>
    <w:rsid w:val="009467BF"/>
    <w:rsid w:val="00946C89"/>
    <w:rsid w:val="0094708A"/>
    <w:rsid w:val="009475FF"/>
    <w:rsid w:val="00947E23"/>
    <w:rsid w:val="00947E58"/>
    <w:rsid w:val="0095092C"/>
    <w:rsid w:val="00950989"/>
    <w:rsid w:val="00950D43"/>
    <w:rsid w:val="009515D1"/>
    <w:rsid w:val="00951AB7"/>
    <w:rsid w:val="00951B37"/>
    <w:rsid w:val="00951D62"/>
    <w:rsid w:val="00952944"/>
    <w:rsid w:val="009532AD"/>
    <w:rsid w:val="00953A21"/>
    <w:rsid w:val="009569E5"/>
    <w:rsid w:val="00956B76"/>
    <w:rsid w:val="0096028B"/>
    <w:rsid w:val="0096085C"/>
    <w:rsid w:val="00960A28"/>
    <w:rsid w:val="00960D9F"/>
    <w:rsid w:val="0096125F"/>
    <w:rsid w:val="00961FBA"/>
    <w:rsid w:val="00962093"/>
    <w:rsid w:val="0096259A"/>
    <w:rsid w:val="00962894"/>
    <w:rsid w:val="00962CCA"/>
    <w:rsid w:val="009643CA"/>
    <w:rsid w:val="00964433"/>
    <w:rsid w:val="0096507F"/>
    <w:rsid w:val="009650D5"/>
    <w:rsid w:val="00965324"/>
    <w:rsid w:val="00965490"/>
    <w:rsid w:val="009658C6"/>
    <w:rsid w:val="00965F55"/>
    <w:rsid w:val="00966857"/>
    <w:rsid w:val="00966885"/>
    <w:rsid w:val="0096702F"/>
    <w:rsid w:val="00967229"/>
    <w:rsid w:val="009674A1"/>
    <w:rsid w:val="009678FB"/>
    <w:rsid w:val="0096795A"/>
    <w:rsid w:val="00967BCC"/>
    <w:rsid w:val="00967CE7"/>
    <w:rsid w:val="00971FA3"/>
    <w:rsid w:val="0097295C"/>
    <w:rsid w:val="00973C93"/>
    <w:rsid w:val="00973DA0"/>
    <w:rsid w:val="00974545"/>
    <w:rsid w:val="009749C9"/>
    <w:rsid w:val="00974B4E"/>
    <w:rsid w:val="0097550C"/>
    <w:rsid w:val="0097680A"/>
    <w:rsid w:val="00976A60"/>
    <w:rsid w:val="00976AAC"/>
    <w:rsid w:val="00976B9C"/>
    <w:rsid w:val="00977981"/>
    <w:rsid w:val="009800A2"/>
    <w:rsid w:val="00980494"/>
    <w:rsid w:val="00981611"/>
    <w:rsid w:val="00981EF7"/>
    <w:rsid w:val="009820EE"/>
    <w:rsid w:val="00983A51"/>
    <w:rsid w:val="0098503D"/>
    <w:rsid w:val="009864A9"/>
    <w:rsid w:val="00986944"/>
    <w:rsid w:val="009870F8"/>
    <w:rsid w:val="00990134"/>
    <w:rsid w:val="00992765"/>
    <w:rsid w:val="00992D25"/>
    <w:rsid w:val="00993CA2"/>
    <w:rsid w:val="00993DD8"/>
    <w:rsid w:val="00994B5C"/>
    <w:rsid w:val="00995037"/>
    <w:rsid w:val="00995C2B"/>
    <w:rsid w:val="00995DC2"/>
    <w:rsid w:val="00995EA9"/>
    <w:rsid w:val="0099601C"/>
    <w:rsid w:val="00997A44"/>
    <w:rsid w:val="009A0103"/>
    <w:rsid w:val="009A046F"/>
    <w:rsid w:val="009A0566"/>
    <w:rsid w:val="009A0910"/>
    <w:rsid w:val="009A18E4"/>
    <w:rsid w:val="009A1AA6"/>
    <w:rsid w:val="009A2751"/>
    <w:rsid w:val="009A2D73"/>
    <w:rsid w:val="009A2FE3"/>
    <w:rsid w:val="009A2FFE"/>
    <w:rsid w:val="009A3685"/>
    <w:rsid w:val="009A4089"/>
    <w:rsid w:val="009A4AD1"/>
    <w:rsid w:val="009A4AE4"/>
    <w:rsid w:val="009A6E78"/>
    <w:rsid w:val="009A71F3"/>
    <w:rsid w:val="009B0C87"/>
    <w:rsid w:val="009B1911"/>
    <w:rsid w:val="009B27DF"/>
    <w:rsid w:val="009B3895"/>
    <w:rsid w:val="009B5AB6"/>
    <w:rsid w:val="009B6138"/>
    <w:rsid w:val="009B7607"/>
    <w:rsid w:val="009B76AC"/>
    <w:rsid w:val="009B782B"/>
    <w:rsid w:val="009C1529"/>
    <w:rsid w:val="009C16D9"/>
    <w:rsid w:val="009C43D3"/>
    <w:rsid w:val="009C4A61"/>
    <w:rsid w:val="009C4AB5"/>
    <w:rsid w:val="009C5AFC"/>
    <w:rsid w:val="009C6176"/>
    <w:rsid w:val="009C66F4"/>
    <w:rsid w:val="009C6761"/>
    <w:rsid w:val="009C69B9"/>
    <w:rsid w:val="009C6FCC"/>
    <w:rsid w:val="009C7266"/>
    <w:rsid w:val="009C7E5B"/>
    <w:rsid w:val="009D064C"/>
    <w:rsid w:val="009D0E93"/>
    <w:rsid w:val="009D17F2"/>
    <w:rsid w:val="009D1E72"/>
    <w:rsid w:val="009D2034"/>
    <w:rsid w:val="009D2151"/>
    <w:rsid w:val="009D25C3"/>
    <w:rsid w:val="009D27DF"/>
    <w:rsid w:val="009D2915"/>
    <w:rsid w:val="009D335A"/>
    <w:rsid w:val="009D374E"/>
    <w:rsid w:val="009D3F43"/>
    <w:rsid w:val="009D40F3"/>
    <w:rsid w:val="009D4325"/>
    <w:rsid w:val="009D49C4"/>
    <w:rsid w:val="009D667A"/>
    <w:rsid w:val="009D6BA0"/>
    <w:rsid w:val="009D7171"/>
    <w:rsid w:val="009D77E9"/>
    <w:rsid w:val="009D7E85"/>
    <w:rsid w:val="009D7F06"/>
    <w:rsid w:val="009D7F7C"/>
    <w:rsid w:val="009E0C61"/>
    <w:rsid w:val="009E0D6B"/>
    <w:rsid w:val="009E1096"/>
    <w:rsid w:val="009E10C3"/>
    <w:rsid w:val="009E2131"/>
    <w:rsid w:val="009E2925"/>
    <w:rsid w:val="009E2F23"/>
    <w:rsid w:val="009E3DC8"/>
    <w:rsid w:val="009E427B"/>
    <w:rsid w:val="009E4B47"/>
    <w:rsid w:val="009E574E"/>
    <w:rsid w:val="009E6FBF"/>
    <w:rsid w:val="009E7245"/>
    <w:rsid w:val="009E7455"/>
    <w:rsid w:val="009E75F8"/>
    <w:rsid w:val="009F00DF"/>
    <w:rsid w:val="009F0503"/>
    <w:rsid w:val="009F1382"/>
    <w:rsid w:val="009F1B0F"/>
    <w:rsid w:val="009F2544"/>
    <w:rsid w:val="009F39DC"/>
    <w:rsid w:val="009F40EB"/>
    <w:rsid w:val="009F4C2E"/>
    <w:rsid w:val="009F63F7"/>
    <w:rsid w:val="009F6482"/>
    <w:rsid w:val="009F66CD"/>
    <w:rsid w:val="00A0032F"/>
    <w:rsid w:val="00A00B1F"/>
    <w:rsid w:val="00A02800"/>
    <w:rsid w:val="00A032B5"/>
    <w:rsid w:val="00A03783"/>
    <w:rsid w:val="00A05584"/>
    <w:rsid w:val="00A066A8"/>
    <w:rsid w:val="00A06CFA"/>
    <w:rsid w:val="00A06FE9"/>
    <w:rsid w:val="00A0706B"/>
    <w:rsid w:val="00A070D9"/>
    <w:rsid w:val="00A0741B"/>
    <w:rsid w:val="00A07873"/>
    <w:rsid w:val="00A10067"/>
    <w:rsid w:val="00A10CE7"/>
    <w:rsid w:val="00A12265"/>
    <w:rsid w:val="00A13108"/>
    <w:rsid w:val="00A13F3F"/>
    <w:rsid w:val="00A14EC4"/>
    <w:rsid w:val="00A15F1A"/>
    <w:rsid w:val="00A160C1"/>
    <w:rsid w:val="00A16330"/>
    <w:rsid w:val="00A1743D"/>
    <w:rsid w:val="00A17761"/>
    <w:rsid w:val="00A17E87"/>
    <w:rsid w:val="00A2063F"/>
    <w:rsid w:val="00A2079A"/>
    <w:rsid w:val="00A20BFF"/>
    <w:rsid w:val="00A2110F"/>
    <w:rsid w:val="00A21284"/>
    <w:rsid w:val="00A217CD"/>
    <w:rsid w:val="00A2185D"/>
    <w:rsid w:val="00A21EB0"/>
    <w:rsid w:val="00A2232C"/>
    <w:rsid w:val="00A23952"/>
    <w:rsid w:val="00A23A67"/>
    <w:rsid w:val="00A24CFA"/>
    <w:rsid w:val="00A2564D"/>
    <w:rsid w:val="00A25B71"/>
    <w:rsid w:val="00A26138"/>
    <w:rsid w:val="00A26C88"/>
    <w:rsid w:val="00A26D75"/>
    <w:rsid w:val="00A27118"/>
    <w:rsid w:val="00A27124"/>
    <w:rsid w:val="00A2717C"/>
    <w:rsid w:val="00A27406"/>
    <w:rsid w:val="00A27736"/>
    <w:rsid w:val="00A305BA"/>
    <w:rsid w:val="00A30BA3"/>
    <w:rsid w:val="00A30D19"/>
    <w:rsid w:val="00A31477"/>
    <w:rsid w:val="00A324B8"/>
    <w:rsid w:val="00A33A77"/>
    <w:rsid w:val="00A33D40"/>
    <w:rsid w:val="00A3525E"/>
    <w:rsid w:val="00A35817"/>
    <w:rsid w:val="00A35ED6"/>
    <w:rsid w:val="00A37955"/>
    <w:rsid w:val="00A37F85"/>
    <w:rsid w:val="00A4159F"/>
    <w:rsid w:val="00A43907"/>
    <w:rsid w:val="00A43BDC"/>
    <w:rsid w:val="00A447A2"/>
    <w:rsid w:val="00A44C9A"/>
    <w:rsid w:val="00A45AA4"/>
    <w:rsid w:val="00A469A9"/>
    <w:rsid w:val="00A46B5E"/>
    <w:rsid w:val="00A46E0B"/>
    <w:rsid w:val="00A47632"/>
    <w:rsid w:val="00A50569"/>
    <w:rsid w:val="00A50CD6"/>
    <w:rsid w:val="00A5149E"/>
    <w:rsid w:val="00A5365D"/>
    <w:rsid w:val="00A5386D"/>
    <w:rsid w:val="00A53F95"/>
    <w:rsid w:val="00A54C67"/>
    <w:rsid w:val="00A55996"/>
    <w:rsid w:val="00A55EAE"/>
    <w:rsid w:val="00A5605E"/>
    <w:rsid w:val="00A564EC"/>
    <w:rsid w:val="00A573F2"/>
    <w:rsid w:val="00A57542"/>
    <w:rsid w:val="00A60808"/>
    <w:rsid w:val="00A60F25"/>
    <w:rsid w:val="00A60F7B"/>
    <w:rsid w:val="00A60F8D"/>
    <w:rsid w:val="00A615F7"/>
    <w:rsid w:val="00A622F1"/>
    <w:rsid w:val="00A62FA0"/>
    <w:rsid w:val="00A630E9"/>
    <w:rsid w:val="00A636B6"/>
    <w:rsid w:val="00A63C92"/>
    <w:rsid w:val="00A6442E"/>
    <w:rsid w:val="00A65C66"/>
    <w:rsid w:val="00A67358"/>
    <w:rsid w:val="00A67F8C"/>
    <w:rsid w:val="00A70139"/>
    <w:rsid w:val="00A7038E"/>
    <w:rsid w:val="00A706E4"/>
    <w:rsid w:val="00A711E2"/>
    <w:rsid w:val="00A71970"/>
    <w:rsid w:val="00A71F51"/>
    <w:rsid w:val="00A72035"/>
    <w:rsid w:val="00A7256B"/>
    <w:rsid w:val="00A725D3"/>
    <w:rsid w:val="00A72E9D"/>
    <w:rsid w:val="00A73865"/>
    <w:rsid w:val="00A73892"/>
    <w:rsid w:val="00A752A2"/>
    <w:rsid w:val="00A7548F"/>
    <w:rsid w:val="00A758DA"/>
    <w:rsid w:val="00A75AF0"/>
    <w:rsid w:val="00A76ABD"/>
    <w:rsid w:val="00A815FF"/>
    <w:rsid w:val="00A817A5"/>
    <w:rsid w:val="00A824C9"/>
    <w:rsid w:val="00A82583"/>
    <w:rsid w:val="00A8279E"/>
    <w:rsid w:val="00A82D8D"/>
    <w:rsid w:val="00A83383"/>
    <w:rsid w:val="00A83667"/>
    <w:rsid w:val="00A836E7"/>
    <w:rsid w:val="00A839E8"/>
    <w:rsid w:val="00A83B21"/>
    <w:rsid w:val="00A83BE4"/>
    <w:rsid w:val="00A8535A"/>
    <w:rsid w:val="00A85C57"/>
    <w:rsid w:val="00A86358"/>
    <w:rsid w:val="00A86951"/>
    <w:rsid w:val="00A86A28"/>
    <w:rsid w:val="00A86AE8"/>
    <w:rsid w:val="00A9050D"/>
    <w:rsid w:val="00A909DF"/>
    <w:rsid w:val="00A9151B"/>
    <w:rsid w:val="00A9230D"/>
    <w:rsid w:val="00A932E6"/>
    <w:rsid w:val="00A93F77"/>
    <w:rsid w:val="00A949E8"/>
    <w:rsid w:val="00A952F4"/>
    <w:rsid w:val="00A95B85"/>
    <w:rsid w:val="00A95F7F"/>
    <w:rsid w:val="00A96176"/>
    <w:rsid w:val="00A967E3"/>
    <w:rsid w:val="00A9685F"/>
    <w:rsid w:val="00A978D3"/>
    <w:rsid w:val="00A97CCC"/>
    <w:rsid w:val="00AA1394"/>
    <w:rsid w:val="00AA1FD0"/>
    <w:rsid w:val="00AA2044"/>
    <w:rsid w:val="00AA21E7"/>
    <w:rsid w:val="00AA29C9"/>
    <w:rsid w:val="00AA30FC"/>
    <w:rsid w:val="00AA3BC8"/>
    <w:rsid w:val="00AA3C72"/>
    <w:rsid w:val="00AA3F6C"/>
    <w:rsid w:val="00AA4A67"/>
    <w:rsid w:val="00AA4DC6"/>
    <w:rsid w:val="00AA54CC"/>
    <w:rsid w:val="00AA70A0"/>
    <w:rsid w:val="00AA7956"/>
    <w:rsid w:val="00AB0F60"/>
    <w:rsid w:val="00AB13AB"/>
    <w:rsid w:val="00AB1BAC"/>
    <w:rsid w:val="00AB3734"/>
    <w:rsid w:val="00AB4C24"/>
    <w:rsid w:val="00AB57CA"/>
    <w:rsid w:val="00AB639E"/>
    <w:rsid w:val="00AB645E"/>
    <w:rsid w:val="00AB6FB7"/>
    <w:rsid w:val="00AB7518"/>
    <w:rsid w:val="00AC058E"/>
    <w:rsid w:val="00AC0889"/>
    <w:rsid w:val="00AC0D1D"/>
    <w:rsid w:val="00AC11C6"/>
    <w:rsid w:val="00AC124A"/>
    <w:rsid w:val="00AC1BFE"/>
    <w:rsid w:val="00AC234F"/>
    <w:rsid w:val="00AC24DD"/>
    <w:rsid w:val="00AC2BF9"/>
    <w:rsid w:val="00AC3326"/>
    <w:rsid w:val="00AC371A"/>
    <w:rsid w:val="00AC3AB0"/>
    <w:rsid w:val="00AC421C"/>
    <w:rsid w:val="00AC4ABD"/>
    <w:rsid w:val="00AC515A"/>
    <w:rsid w:val="00AC634A"/>
    <w:rsid w:val="00AC65A4"/>
    <w:rsid w:val="00AC65C1"/>
    <w:rsid w:val="00AC739B"/>
    <w:rsid w:val="00AC7CD8"/>
    <w:rsid w:val="00AD015C"/>
    <w:rsid w:val="00AD0627"/>
    <w:rsid w:val="00AD1E67"/>
    <w:rsid w:val="00AD35DC"/>
    <w:rsid w:val="00AD3E7A"/>
    <w:rsid w:val="00AD4886"/>
    <w:rsid w:val="00AD59AC"/>
    <w:rsid w:val="00AD5FEF"/>
    <w:rsid w:val="00AD737C"/>
    <w:rsid w:val="00AD739E"/>
    <w:rsid w:val="00AD7846"/>
    <w:rsid w:val="00AE0BAA"/>
    <w:rsid w:val="00AE0C0C"/>
    <w:rsid w:val="00AE3969"/>
    <w:rsid w:val="00AE43E5"/>
    <w:rsid w:val="00AE513F"/>
    <w:rsid w:val="00AE5697"/>
    <w:rsid w:val="00AE6173"/>
    <w:rsid w:val="00AE7356"/>
    <w:rsid w:val="00AF042A"/>
    <w:rsid w:val="00AF0502"/>
    <w:rsid w:val="00AF0B81"/>
    <w:rsid w:val="00AF0FB7"/>
    <w:rsid w:val="00AF22B2"/>
    <w:rsid w:val="00AF22D1"/>
    <w:rsid w:val="00AF49D5"/>
    <w:rsid w:val="00AF4CDB"/>
    <w:rsid w:val="00AF4D2D"/>
    <w:rsid w:val="00AF50D7"/>
    <w:rsid w:val="00AF579F"/>
    <w:rsid w:val="00AF5C5C"/>
    <w:rsid w:val="00AF5C6E"/>
    <w:rsid w:val="00AF66DE"/>
    <w:rsid w:val="00AF6CDA"/>
    <w:rsid w:val="00AF6E29"/>
    <w:rsid w:val="00AF737F"/>
    <w:rsid w:val="00AF7ABF"/>
    <w:rsid w:val="00AF7E17"/>
    <w:rsid w:val="00B0166E"/>
    <w:rsid w:val="00B01CA5"/>
    <w:rsid w:val="00B021FC"/>
    <w:rsid w:val="00B02DBE"/>
    <w:rsid w:val="00B02FAB"/>
    <w:rsid w:val="00B0360C"/>
    <w:rsid w:val="00B037FA"/>
    <w:rsid w:val="00B04C39"/>
    <w:rsid w:val="00B04DDD"/>
    <w:rsid w:val="00B0510B"/>
    <w:rsid w:val="00B05DD9"/>
    <w:rsid w:val="00B07520"/>
    <w:rsid w:val="00B07A5F"/>
    <w:rsid w:val="00B07F14"/>
    <w:rsid w:val="00B10ACB"/>
    <w:rsid w:val="00B1203C"/>
    <w:rsid w:val="00B12411"/>
    <w:rsid w:val="00B124D5"/>
    <w:rsid w:val="00B13020"/>
    <w:rsid w:val="00B1368F"/>
    <w:rsid w:val="00B144F2"/>
    <w:rsid w:val="00B145B4"/>
    <w:rsid w:val="00B15022"/>
    <w:rsid w:val="00B16DEE"/>
    <w:rsid w:val="00B16FDF"/>
    <w:rsid w:val="00B17887"/>
    <w:rsid w:val="00B17AD4"/>
    <w:rsid w:val="00B17B80"/>
    <w:rsid w:val="00B21481"/>
    <w:rsid w:val="00B214C3"/>
    <w:rsid w:val="00B217E0"/>
    <w:rsid w:val="00B21909"/>
    <w:rsid w:val="00B21A58"/>
    <w:rsid w:val="00B21BAF"/>
    <w:rsid w:val="00B21D68"/>
    <w:rsid w:val="00B23825"/>
    <w:rsid w:val="00B24691"/>
    <w:rsid w:val="00B24A72"/>
    <w:rsid w:val="00B24E41"/>
    <w:rsid w:val="00B254C1"/>
    <w:rsid w:val="00B255C7"/>
    <w:rsid w:val="00B25FDC"/>
    <w:rsid w:val="00B2613E"/>
    <w:rsid w:val="00B2785F"/>
    <w:rsid w:val="00B30327"/>
    <w:rsid w:val="00B30508"/>
    <w:rsid w:val="00B320F4"/>
    <w:rsid w:val="00B32A6D"/>
    <w:rsid w:val="00B32C14"/>
    <w:rsid w:val="00B32CA7"/>
    <w:rsid w:val="00B33386"/>
    <w:rsid w:val="00B34DB6"/>
    <w:rsid w:val="00B351AB"/>
    <w:rsid w:val="00B3582C"/>
    <w:rsid w:val="00B35956"/>
    <w:rsid w:val="00B36391"/>
    <w:rsid w:val="00B36404"/>
    <w:rsid w:val="00B3668C"/>
    <w:rsid w:val="00B374DE"/>
    <w:rsid w:val="00B409F9"/>
    <w:rsid w:val="00B40AA1"/>
    <w:rsid w:val="00B416E0"/>
    <w:rsid w:val="00B4205A"/>
    <w:rsid w:val="00B42148"/>
    <w:rsid w:val="00B43BA6"/>
    <w:rsid w:val="00B44587"/>
    <w:rsid w:val="00B44684"/>
    <w:rsid w:val="00B44D8E"/>
    <w:rsid w:val="00B44E41"/>
    <w:rsid w:val="00B44E95"/>
    <w:rsid w:val="00B45053"/>
    <w:rsid w:val="00B459BC"/>
    <w:rsid w:val="00B4677F"/>
    <w:rsid w:val="00B474EC"/>
    <w:rsid w:val="00B47625"/>
    <w:rsid w:val="00B50202"/>
    <w:rsid w:val="00B5034D"/>
    <w:rsid w:val="00B5062B"/>
    <w:rsid w:val="00B51DB1"/>
    <w:rsid w:val="00B524E5"/>
    <w:rsid w:val="00B528F5"/>
    <w:rsid w:val="00B52F7D"/>
    <w:rsid w:val="00B53263"/>
    <w:rsid w:val="00B54359"/>
    <w:rsid w:val="00B54ABE"/>
    <w:rsid w:val="00B55048"/>
    <w:rsid w:val="00B552B5"/>
    <w:rsid w:val="00B5547E"/>
    <w:rsid w:val="00B56F6C"/>
    <w:rsid w:val="00B573C1"/>
    <w:rsid w:val="00B57D83"/>
    <w:rsid w:val="00B60360"/>
    <w:rsid w:val="00B60618"/>
    <w:rsid w:val="00B61190"/>
    <w:rsid w:val="00B61660"/>
    <w:rsid w:val="00B617D3"/>
    <w:rsid w:val="00B61DF9"/>
    <w:rsid w:val="00B62B37"/>
    <w:rsid w:val="00B62D9D"/>
    <w:rsid w:val="00B6382F"/>
    <w:rsid w:val="00B642CC"/>
    <w:rsid w:val="00B6496B"/>
    <w:rsid w:val="00B65502"/>
    <w:rsid w:val="00B66BA8"/>
    <w:rsid w:val="00B66DAF"/>
    <w:rsid w:val="00B673FF"/>
    <w:rsid w:val="00B70E1C"/>
    <w:rsid w:val="00B70E7E"/>
    <w:rsid w:val="00B7198E"/>
    <w:rsid w:val="00B719B4"/>
    <w:rsid w:val="00B71C34"/>
    <w:rsid w:val="00B71EA8"/>
    <w:rsid w:val="00B73B53"/>
    <w:rsid w:val="00B765BB"/>
    <w:rsid w:val="00B77692"/>
    <w:rsid w:val="00B77F09"/>
    <w:rsid w:val="00B77F27"/>
    <w:rsid w:val="00B80B5F"/>
    <w:rsid w:val="00B80C67"/>
    <w:rsid w:val="00B81E74"/>
    <w:rsid w:val="00B8233D"/>
    <w:rsid w:val="00B8240F"/>
    <w:rsid w:val="00B840E3"/>
    <w:rsid w:val="00B84380"/>
    <w:rsid w:val="00B84D0C"/>
    <w:rsid w:val="00B86039"/>
    <w:rsid w:val="00B863BF"/>
    <w:rsid w:val="00B86C9C"/>
    <w:rsid w:val="00B915AA"/>
    <w:rsid w:val="00B91C3E"/>
    <w:rsid w:val="00B92D11"/>
    <w:rsid w:val="00B931B4"/>
    <w:rsid w:val="00B936AB"/>
    <w:rsid w:val="00B93AF8"/>
    <w:rsid w:val="00B93C59"/>
    <w:rsid w:val="00B9410B"/>
    <w:rsid w:val="00B94A58"/>
    <w:rsid w:val="00B95575"/>
    <w:rsid w:val="00B972E3"/>
    <w:rsid w:val="00B975C5"/>
    <w:rsid w:val="00B97D39"/>
    <w:rsid w:val="00BA0A59"/>
    <w:rsid w:val="00BA101E"/>
    <w:rsid w:val="00BA10B4"/>
    <w:rsid w:val="00BA1DD7"/>
    <w:rsid w:val="00BA1E33"/>
    <w:rsid w:val="00BA2282"/>
    <w:rsid w:val="00BA27FF"/>
    <w:rsid w:val="00BA2EC1"/>
    <w:rsid w:val="00BA3E06"/>
    <w:rsid w:val="00BA3F5B"/>
    <w:rsid w:val="00BA3FD1"/>
    <w:rsid w:val="00BA43ED"/>
    <w:rsid w:val="00BA45BF"/>
    <w:rsid w:val="00BA57D4"/>
    <w:rsid w:val="00BA5E10"/>
    <w:rsid w:val="00BA655E"/>
    <w:rsid w:val="00BA6A8C"/>
    <w:rsid w:val="00BA74C3"/>
    <w:rsid w:val="00BA7C97"/>
    <w:rsid w:val="00BA7EC2"/>
    <w:rsid w:val="00BB0F92"/>
    <w:rsid w:val="00BB107E"/>
    <w:rsid w:val="00BB133B"/>
    <w:rsid w:val="00BB138E"/>
    <w:rsid w:val="00BB1AC4"/>
    <w:rsid w:val="00BB26F8"/>
    <w:rsid w:val="00BB2CBC"/>
    <w:rsid w:val="00BB2EDE"/>
    <w:rsid w:val="00BB2FC3"/>
    <w:rsid w:val="00BB3E2C"/>
    <w:rsid w:val="00BB40EE"/>
    <w:rsid w:val="00BB471A"/>
    <w:rsid w:val="00BB4861"/>
    <w:rsid w:val="00BB53AF"/>
    <w:rsid w:val="00BB585C"/>
    <w:rsid w:val="00BB69FE"/>
    <w:rsid w:val="00BB76AC"/>
    <w:rsid w:val="00BB79F4"/>
    <w:rsid w:val="00BC10BC"/>
    <w:rsid w:val="00BC15A2"/>
    <w:rsid w:val="00BC18D1"/>
    <w:rsid w:val="00BC19FE"/>
    <w:rsid w:val="00BC1E27"/>
    <w:rsid w:val="00BC1E8B"/>
    <w:rsid w:val="00BC2888"/>
    <w:rsid w:val="00BC2953"/>
    <w:rsid w:val="00BC2972"/>
    <w:rsid w:val="00BC314E"/>
    <w:rsid w:val="00BC3201"/>
    <w:rsid w:val="00BC3388"/>
    <w:rsid w:val="00BC3A92"/>
    <w:rsid w:val="00BC3AC0"/>
    <w:rsid w:val="00BC42E7"/>
    <w:rsid w:val="00BC44F3"/>
    <w:rsid w:val="00BC50A9"/>
    <w:rsid w:val="00BC5570"/>
    <w:rsid w:val="00BC5805"/>
    <w:rsid w:val="00BC73C5"/>
    <w:rsid w:val="00BC7434"/>
    <w:rsid w:val="00BC7738"/>
    <w:rsid w:val="00BC7B0D"/>
    <w:rsid w:val="00BD0184"/>
    <w:rsid w:val="00BD0C17"/>
    <w:rsid w:val="00BD0D66"/>
    <w:rsid w:val="00BD1C98"/>
    <w:rsid w:val="00BD1F49"/>
    <w:rsid w:val="00BD20E9"/>
    <w:rsid w:val="00BD3AC5"/>
    <w:rsid w:val="00BD3C9F"/>
    <w:rsid w:val="00BD3DC2"/>
    <w:rsid w:val="00BD5CBB"/>
    <w:rsid w:val="00BD5D8E"/>
    <w:rsid w:val="00BD79D6"/>
    <w:rsid w:val="00BD7CED"/>
    <w:rsid w:val="00BE0201"/>
    <w:rsid w:val="00BE0243"/>
    <w:rsid w:val="00BE0842"/>
    <w:rsid w:val="00BE0FD7"/>
    <w:rsid w:val="00BE1315"/>
    <w:rsid w:val="00BE1D30"/>
    <w:rsid w:val="00BE1DCC"/>
    <w:rsid w:val="00BE3170"/>
    <w:rsid w:val="00BE3490"/>
    <w:rsid w:val="00BE34E9"/>
    <w:rsid w:val="00BE3C7A"/>
    <w:rsid w:val="00BE4313"/>
    <w:rsid w:val="00BE4C25"/>
    <w:rsid w:val="00BE7972"/>
    <w:rsid w:val="00BF0299"/>
    <w:rsid w:val="00BF0490"/>
    <w:rsid w:val="00BF0874"/>
    <w:rsid w:val="00BF0E89"/>
    <w:rsid w:val="00BF2A05"/>
    <w:rsid w:val="00BF3D68"/>
    <w:rsid w:val="00BF42F3"/>
    <w:rsid w:val="00BF585E"/>
    <w:rsid w:val="00BF5A65"/>
    <w:rsid w:val="00BF6F62"/>
    <w:rsid w:val="00BF76E8"/>
    <w:rsid w:val="00C00C0B"/>
    <w:rsid w:val="00C017CE"/>
    <w:rsid w:val="00C029EB"/>
    <w:rsid w:val="00C0301E"/>
    <w:rsid w:val="00C031A1"/>
    <w:rsid w:val="00C032F9"/>
    <w:rsid w:val="00C03E8F"/>
    <w:rsid w:val="00C03F05"/>
    <w:rsid w:val="00C0402C"/>
    <w:rsid w:val="00C045E0"/>
    <w:rsid w:val="00C054C1"/>
    <w:rsid w:val="00C06BD8"/>
    <w:rsid w:val="00C078C9"/>
    <w:rsid w:val="00C07960"/>
    <w:rsid w:val="00C10AE9"/>
    <w:rsid w:val="00C1164A"/>
    <w:rsid w:val="00C11C1A"/>
    <w:rsid w:val="00C11C1C"/>
    <w:rsid w:val="00C11D24"/>
    <w:rsid w:val="00C1292A"/>
    <w:rsid w:val="00C13AE9"/>
    <w:rsid w:val="00C14AF4"/>
    <w:rsid w:val="00C15250"/>
    <w:rsid w:val="00C15549"/>
    <w:rsid w:val="00C15F6E"/>
    <w:rsid w:val="00C17F62"/>
    <w:rsid w:val="00C17F71"/>
    <w:rsid w:val="00C17F84"/>
    <w:rsid w:val="00C219C0"/>
    <w:rsid w:val="00C21A99"/>
    <w:rsid w:val="00C21B94"/>
    <w:rsid w:val="00C227FA"/>
    <w:rsid w:val="00C22F6F"/>
    <w:rsid w:val="00C2325B"/>
    <w:rsid w:val="00C23C76"/>
    <w:rsid w:val="00C24195"/>
    <w:rsid w:val="00C267F3"/>
    <w:rsid w:val="00C26E5B"/>
    <w:rsid w:val="00C27075"/>
    <w:rsid w:val="00C27430"/>
    <w:rsid w:val="00C27564"/>
    <w:rsid w:val="00C27FB7"/>
    <w:rsid w:val="00C30044"/>
    <w:rsid w:val="00C30911"/>
    <w:rsid w:val="00C30948"/>
    <w:rsid w:val="00C30C93"/>
    <w:rsid w:val="00C316B5"/>
    <w:rsid w:val="00C32220"/>
    <w:rsid w:val="00C32282"/>
    <w:rsid w:val="00C32815"/>
    <w:rsid w:val="00C33084"/>
    <w:rsid w:val="00C3317F"/>
    <w:rsid w:val="00C3357B"/>
    <w:rsid w:val="00C33792"/>
    <w:rsid w:val="00C340D4"/>
    <w:rsid w:val="00C34FCC"/>
    <w:rsid w:val="00C35181"/>
    <w:rsid w:val="00C35C76"/>
    <w:rsid w:val="00C36259"/>
    <w:rsid w:val="00C36C91"/>
    <w:rsid w:val="00C37221"/>
    <w:rsid w:val="00C37420"/>
    <w:rsid w:val="00C40362"/>
    <w:rsid w:val="00C40624"/>
    <w:rsid w:val="00C40BFD"/>
    <w:rsid w:val="00C40DE2"/>
    <w:rsid w:val="00C40E88"/>
    <w:rsid w:val="00C427A3"/>
    <w:rsid w:val="00C428DA"/>
    <w:rsid w:val="00C43E39"/>
    <w:rsid w:val="00C440A2"/>
    <w:rsid w:val="00C44B40"/>
    <w:rsid w:val="00C44D61"/>
    <w:rsid w:val="00C452BB"/>
    <w:rsid w:val="00C45F1A"/>
    <w:rsid w:val="00C460E7"/>
    <w:rsid w:val="00C461D8"/>
    <w:rsid w:val="00C466C7"/>
    <w:rsid w:val="00C46782"/>
    <w:rsid w:val="00C46DCB"/>
    <w:rsid w:val="00C46F48"/>
    <w:rsid w:val="00C50857"/>
    <w:rsid w:val="00C50975"/>
    <w:rsid w:val="00C50C6B"/>
    <w:rsid w:val="00C51192"/>
    <w:rsid w:val="00C512F9"/>
    <w:rsid w:val="00C5135D"/>
    <w:rsid w:val="00C51499"/>
    <w:rsid w:val="00C515D3"/>
    <w:rsid w:val="00C52601"/>
    <w:rsid w:val="00C537AD"/>
    <w:rsid w:val="00C53B22"/>
    <w:rsid w:val="00C56882"/>
    <w:rsid w:val="00C5688B"/>
    <w:rsid w:val="00C5698C"/>
    <w:rsid w:val="00C56BC7"/>
    <w:rsid w:val="00C56E1B"/>
    <w:rsid w:val="00C571D9"/>
    <w:rsid w:val="00C57432"/>
    <w:rsid w:val="00C579E5"/>
    <w:rsid w:val="00C613CE"/>
    <w:rsid w:val="00C622CC"/>
    <w:rsid w:val="00C6268B"/>
    <w:rsid w:val="00C628A1"/>
    <w:rsid w:val="00C62C6A"/>
    <w:rsid w:val="00C63A34"/>
    <w:rsid w:val="00C63BE8"/>
    <w:rsid w:val="00C63F7A"/>
    <w:rsid w:val="00C6411D"/>
    <w:rsid w:val="00C644F1"/>
    <w:rsid w:val="00C64851"/>
    <w:rsid w:val="00C64AD7"/>
    <w:rsid w:val="00C64FF4"/>
    <w:rsid w:val="00C65318"/>
    <w:rsid w:val="00C65605"/>
    <w:rsid w:val="00C65688"/>
    <w:rsid w:val="00C65FD4"/>
    <w:rsid w:val="00C66B55"/>
    <w:rsid w:val="00C66F5F"/>
    <w:rsid w:val="00C6753C"/>
    <w:rsid w:val="00C67F3B"/>
    <w:rsid w:val="00C70265"/>
    <w:rsid w:val="00C718BC"/>
    <w:rsid w:val="00C71EFB"/>
    <w:rsid w:val="00C72805"/>
    <w:rsid w:val="00C72D1A"/>
    <w:rsid w:val="00C73189"/>
    <w:rsid w:val="00C73749"/>
    <w:rsid w:val="00C74264"/>
    <w:rsid w:val="00C7504C"/>
    <w:rsid w:val="00C758AD"/>
    <w:rsid w:val="00C75CC0"/>
    <w:rsid w:val="00C7603C"/>
    <w:rsid w:val="00C7624E"/>
    <w:rsid w:val="00C768FE"/>
    <w:rsid w:val="00C769B6"/>
    <w:rsid w:val="00C76CCA"/>
    <w:rsid w:val="00C76ED9"/>
    <w:rsid w:val="00C77B23"/>
    <w:rsid w:val="00C77B62"/>
    <w:rsid w:val="00C8004E"/>
    <w:rsid w:val="00C80FC6"/>
    <w:rsid w:val="00C8138A"/>
    <w:rsid w:val="00C814DC"/>
    <w:rsid w:val="00C83309"/>
    <w:rsid w:val="00C83F28"/>
    <w:rsid w:val="00C84989"/>
    <w:rsid w:val="00C84BEA"/>
    <w:rsid w:val="00C85596"/>
    <w:rsid w:val="00C855B1"/>
    <w:rsid w:val="00C85AC2"/>
    <w:rsid w:val="00C87215"/>
    <w:rsid w:val="00C87F58"/>
    <w:rsid w:val="00C87F5C"/>
    <w:rsid w:val="00C903F4"/>
    <w:rsid w:val="00C9072C"/>
    <w:rsid w:val="00C908CE"/>
    <w:rsid w:val="00C90D65"/>
    <w:rsid w:val="00C91803"/>
    <w:rsid w:val="00C92976"/>
    <w:rsid w:val="00C92D46"/>
    <w:rsid w:val="00C92F37"/>
    <w:rsid w:val="00C9302C"/>
    <w:rsid w:val="00C9366B"/>
    <w:rsid w:val="00C937CE"/>
    <w:rsid w:val="00C95239"/>
    <w:rsid w:val="00C953E9"/>
    <w:rsid w:val="00C959FF"/>
    <w:rsid w:val="00C96597"/>
    <w:rsid w:val="00C966FF"/>
    <w:rsid w:val="00C96854"/>
    <w:rsid w:val="00C975BA"/>
    <w:rsid w:val="00CA0BFC"/>
    <w:rsid w:val="00CA0C23"/>
    <w:rsid w:val="00CA2517"/>
    <w:rsid w:val="00CA33FF"/>
    <w:rsid w:val="00CA3CAF"/>
    <w:rsid w:val="00CA3FC8"/>
    <w:rsid w:val="00CA471A"/>
    <w:rsid w:val="00CA55F8"/>
    <w:rsid w:val="00CA5B9B"/>
    <w:rsid w:val="00CA7062"/>
    <w:rsid w:val="00CA77B3"/>
    <w:rsid w:val="00CA7FCA"/>
    <w:rsid w:val="00CB06F0"/>
    <w:rsid w:val="00CB095F"/>
    <w:rsid w:val="00CB165C"/>
    <w:rsid w:val="00CB1BA9"/>
    <w:rsid w:val="00CB1BE6"/>
    <w:rsid w:val="00CB282B"/>
    <w:rsid w:val="00CB36B2"/>
    <w:rsid w:val="00CB42E9"/>
    <w:rsid w:val="00CB4A32"/>
    <w:rsid w:val="00CB5794"/>
    <w:rsid w:val="00CB7E4B"/>
    <w:rsid w:val="00CC0080"/>
    <w:rsid w:val="00CC0BE1"/>
    <w:rsid w:val="00CC1182"/>
    <w:rsid w:val="00CC1A56"/>
    <w:rsid w:val="00CC2454"/>
    <w:rsid w:val="00CC251F"/>
    <w:rsid w:val="00CC2A91"/>
    <w:rsid w:val="00CC2EB1"/>
    <w:rsid w:val="00CC3906"/>
    <w:rsid w:val="00CC46C8"/>
    <w:rsid w:val="00CC4E7E"/>
    <w:rsid w:val="00CC4FC9"/>
    <w:rsid w:val="00CC50AB"/>
    <w:rsid w:val="00CC5E88"/>
    <w:rsid w:val="00CC6255"/>
    <w:rsid w:val="00CC65F9"/>
    <w:rsid w:val="00CC6F9B"/>
    <w:rsid w:val="00CC7242"/>
    <w:rsid w:val="00CC77F7"/>
    <w:rsid w:val="00CC7A1D"/>
    <w:rsid w:val="00CD03F0"/>
    <w:rsid w:val="00CD0B59"/>
    <w:rsid w:val="00CD0D6F"/>
    <w:rsid w:val="00CD0E9F"/>
    <w:rsid w:val="00CD1065"/>
    <w:rsid w:val="00CD28C8"/>
    <w:rsid w:val="00CD3285"/>
    <w:rsid w:val="00CD51A0"/>
    <w:rsid w:val="00CD559D"/>
    <w:rsid w:val="00CD6CA7"/>
    <w:rsid w:val="00CE00CF"/>
    <w:rsid w:val="00CE0235"/>
    <w:rsid w:val="00CE094D"/>
    <w:rsid w:val="00CE185D"/>
    <w:rsid w:val="00CE21F9"/>
    <w:rsid w:val="00CE2791"/>
    <w:rsid w:val="00CE3329"/>
    <w:rsid w:val="00CE381C"/>
    <w:rsid w:val="00CE569C"/>
    <w:rsid w:val="00CE58BB"/>
    <w:rsid w:val="00CE6354"/>
    <w:rsid w:val="00CE7B71"/>
    <w:rsid w:val="00CF03C2"/>
    <w:rsid w:val="00CF1098"/>
    <w:rsid w:val="00CF1A6E"/>
    <w:rsid w:val="00CF1C58"/>
    <w:rsid w:val="00CF2490"/>
    <w:rsid w:val="00CF3F76"/>
    <w:rsid w:val="00CF4108"/>
    <w:rsid w:val="00CF593E"/>
    <w:rsid w:val="00CF597C"/>
    <w:rsid w:val="00CF5F8F"/>
    <w:rsid w:val="00CF764F"/>
    <w:rsid w:val="00D000A5"/>
    <w:rsid w:val="00D0032C"/>
    <w:rsid w:val="00D00878"/>
    <w:rsid w:val="00D01A21"/>
    <w:rsid w:val="00D0284A"/>
    <w:rsid w:val="00D03700"/>
    <w:rsid w:val="00D0398D"/>
    <w:rsid w:val="00D03EA9"/>
    <w:rsid w:val="00D04F8C"/>
    <w:rsid w:val="00D05442"/>
    <w:rsid w:val="00D05725"/>
    <w:rsid w:val="00D05DFE"/>
    <w:rsid w:val="00D06072"/>
    <w:rsid w:val="00D06C51"/>
    <w:rsid w:val="00D06D0B"/>
    <w:rsid w:val="00D07163"/>
    <w:rsid w:val="00D07373"/>
    <w:rsid w:val="00D100F5"/>
    <w:rsid w:val="00D1039B"/>
    <w:rsid w:val="00D107FC"/>
    <w:rsid w:val="00D1081A"/>
    <w:rsid w:val="00D1105C"/>
    <w:rsid w:val="00D114F7"/>
    <w:rsid w:val="00D1193A"/>
    <w:rsid w:val="00D11CE1"/>
    <w:rsid w:val="00D12993"/>
    <w:rsid w:val="00D12A7D"/>
    <w:rsid w:val="00D12AF8"/>
    <w:rsid w:val="00D131F3"/>
    <w:rsid w:val="00D139EB"/>
    <w:rsid w:val="00D13BAD"/>
    <w:rsid w:val="00D15B31"/>
    <w:rsid w:val="00D161C4"/>
    <w:rsid w:val="00D16501"/>
    <w:rsid w:val="00D16899"/>
    <w:rsid w:val="00D176D7"/>
    <w:rsid w:val="00D176FB"/>
    <w:rsid w:val="00D179E2"/>
    <w:rsid w:val="00D20406"/>
    <w:rsid w:val="00D2075E"/>
    <w:rsid w:val="00D20E83"/>
    <w:rsid w:val="00D21530"/>
    <w:rsid w:val="00D21CF2"/>
    <w:rsid w:val="00D2211E"/>
    <w:rsid w:val="00D2215B"/>
    <w:rsid w:val="00D2311C"/>
    <w:rsid w:val="00D25713"/>
    <w:rsid w:val="00D257F4"/>
    <w:rsid w:val="00D26776"/>
    <w:rsid w:val="00D26F6B"/>
    <w:rsid w:val="00D27B7C"/>
    <w:rsid w:val="00D27CB6"/>
    <w:rsid w:val="00D307C7"/>
    <w:rsid w:val="00D30AEC"/>
    <w:rsid w:val="00D31CCA"/>
    <w:rsid w:val="00D326F8"/>
    <w:rsid w:val="00D32891"/>
    <w:rsid w:val="00D3344E"/>
    <w:rsid w:val="00D338C8"/>
    <w:rsid w:val="00D33A1C"/>
    <w:rsid w:val="00D34691"/>
    <w:rsid w:val="00D35749"/>
    <w:rsid w:val="00D35E39"/>
    <w:rsid w:val="00D3748A"/>
    <w:rsid w:val="00D41717"/>
    <w:rsid w:val="00D421D8"/>
    <w:rsid w:val="00D444E1"/>
    <w:rsid w:val="00D444FC"/>
    <w:rsid w:val="00D44705"/>
    <w:rsid w:val="00D449A0"/>
    <w:rsid w:val="00D44C52"/>
    <w:rsid w:val="00D459C3"/>
    <w:rsid w:val="00D45C6F"/>
    <w:rsid w:val="00D460A1"/>
    <w:rsid w:val="00D46DB4"/>
    <w:rsid w:val="00D46EA7"/>
    <w:rsid w:val="00D46F2B"/>
    <w:rsid w:val="00D473D2"/>
    <w:rsid w:val="00D473D3"/>
    <w:rsid w:val="00D47613"/>
    <w:rsid w:val="00D47C9B"/>
    <w:rsid w:val="00D504D7"/>
    <w:rsid w:val="00D50EBC"/>
    <w:rsid w:val="00D5164B"/>
    <w:rsid w:val="00D523BD"/>
    <w:rsid w:val="00D52478"/>
    <w:rsid w:val="00D528AA"/>
    <w:rsid w:val="00D54BB9"/>
    <w:rsid w:val="00D554D5"/>
    <w:rsid w:val="00D56D9E"/>
    <w:rsid w:val="00D56FB4"/>
    <w:rsid w:val="00D57147"/>
    <w:rsid w:val="00D60B35"/>
    <w:rsid w:val="00D628CF"/>
    <w:rsid w:val="00D6306E"/>
    <w:rsid w:val="00D63136"/>
    <w:rsid w:val="00D63D95"/>
    <w:rsid w:val="00D65A87"/>
    <w:rsid w:val="00D65D5F"/>
    <w:rsid w:val="00D66242"/>
    <w:rsid w:val="00D6663D"/>
    <w:rsid w:val="00D668A7"/>
    <w:rsid w:val="00D67894"/>
    <w:rsid w:val="00D70471"/>
    <w:rsid w:val="00D71107"/>
    <w:rsid w:val="00D7162E"/>
    <w:rsid w:val="00D71A28"/>
    <w:rsid w:val="00D71EE5"/>
    <w:rsid w:val="00D7211E"/>
    <w:rsid w:val="00D7247E"/>
    <w:rsid w:val="00D72777"/>
    <w:rsid w:val="00D72D0A"/>
    <w:rsid w:val="00D74AE7"/>
    <w:rsid w:val="00D75050"/>
    <w:rsid w:val="00D75938"/>
    <w:rsid w:val="00D7602E"/>
    <w:rsid w:val="00D76431"/>
    <w:rsid w:val="00D76477"/>
    <w:rsid w:val="00D76891"/>
    <w:rsid w:val="00D77174"/>
    <w:rsid w:val="00D77226"/>
    <w:rsid w:val="00D776D2"/>
    <w:rsid w:val="00D777AF"/>
    <w:rsid w:val="00D77C7B"/>
    <w:rsid w:val="00D77F21"/>
    <w:rsid w:val="00D8008E"/>
    <w:rsid w:val="00D801A9"/>
    <w:rsid w:val="00D80FAD"/>
    <w:rsid w:val="00D81407"/>
    <w:rsid w:val="00D8150B"/>
    <w:rsid w:val="00D837D0"/>
    <w:rsid w:val="00D83B29"/>
    <w:rsid w:val="00D83ED5"/>
    <w:rsid w:val="00D84B8D"/>
    <w:rsid w:val="00D84FD9"/>
    <w:rsid w:val="00D85D7A"/>
    <w:rsid w:val="00D85DF4"/>
    <w:rsid w:val="00D86499"/>
    <w:rsid w:val="00D8688D"/>
    <w:rsid w:val="00D87352"/>
    <w:rsid w:val="00D87FFC"/>
    <w:rsid w:val="00D901A8"/>
    <w:rsid w:val="00D90C25"/>
    <w:rsid w:val="00D9103A"/>
    <w:rsid w:val="00D919AA"/>
    <w:rsid w:val="00D9257B"/>
    <w:rsid w:val="00D93446"/>
    <w:rsid w:val="00D93F22"/>
    <w:rsid w:val="00D9477F"/>
    <w:rsid w:val="00D949BD"/>
    <w:rsid w:val="00D96462"/>
    <w:rsid w:val="00D9665D"/>
    <w:rsid w:val="00D96A7C"/>
    <w:rsid w:val="00D96A8F"/>
    <w:rsid w:val="00D97A3A"/>
    <w:rsid w:val="00DA015E"/>
    <w:rsid w:val="00DA05BC"/>
    <w:rsid w:val="00DA135D"/>
    <w:rsid w:val="00DA247E"/>
    <w:rsid w:val="00DA3137"/>
    <w:rsid w:val="00DA3624"/>
    <w:rsid w:val="00DA4D58"/>
    <w:rsid w:val="00DA5BD9"/>
    <w:rsid w:val="00DA60A9"/>
    <w:rsid w:val="00DA7600"/>
    <w:rsid w:val="00DB0E2B"/>
    <w:rsid w:val="00DB12AD"/>
    <w:rsid w:val="00DB15A2"/>
    <w:rsid w:val="00DB1FCD"/>
    <w:rsid w:val="00DB2186"/>
    <w:rsid w:val="00DB2187"/>
    <w:rsid w:val="00DB242D"/>
    <w:rsid w:val="00DB372E"/>
    <w:rsid w:val="00DB4525"/>
    <w:rsid w:val="00DB4AE3"/>
    <w:rsid w:val="00DB4B6F"/>
    <w:rsid w:val="00DB543B"/>
    <w:rsid w:val="00DB5E75"/>
    <w:rsid w:val="00DB6234"/>
    <w:rsid w:val="00DB62E8"/>
    <w:rsid w:val="00DB6A50"/>
    <w:rsid w:val="00DB6E5A"/>
    <w:rsid w:val="00DB6F01"/>
    <w:rsid w:val="00DB6FB2"/>
    <w:rsid w:val="00DB7ADC"/>
    <w:rsid w:val="00DB7EC9"/>
    <w:rsid w:val="00DC05D1"/>
    <w:rsid w:val="00DC0DC8"/>
    <w:rsid w:val="00DC10EA"/>
    <w:rsid w:val="00DC2446"/>
    <w:rsid w:val="00DC2D6D"/>
    <w:rsid w:val="00DC38E1"/>
    <w:rsid w:val="00DC4C09"/>
    <w:rsid w:val="00DC538F"/>
    <w:rsid w:val="00DC5732"/>
    <w:rsid w:val="00DC59A0"/>
    <w:rsid w:val="00DC5C20"/>
    <w:rsid w:val="00DC5E0B"/>
    <w:rsid w:val="00DC5F23"/>
    <w:rsid w:val="00DC6912"/>
    <w:rsid w:val="00DC7F29"/>
    <w:rsid w:val="00DD0174"/>
    <w:rsid w:val="00DD2101"/>
    <w:rsid w:val="00DD354B"/>
    <w:rsid w:val="00DD3CFF"/>
    <w:rsid w:val="00DD4A1B"/>
    <w:rsid w:val="00DD4C0B"/>
    <w:rsid w:val="00DD4E17"/>
    <w:rsid w:val="00DD58DA"/>
    <w:rsid w:val="00DD5E2A"/>
    <w:rsid w:val="00DD6209"/>
    <w:rsid w:val="00DD6484"/>
    <w:rsid w:val="00DD6BC3"/>
    <w:rsid w:val="00DD77E6"/>
    <w:rsid w:val="00DE0305"/>
    <w:rsid w:val="00DE08BE"/>
    <w:rsid w:val="00DE09A5"/>
    <w:rsid w:val="00DE1212"/>
    <w:rsid w:val="00DE16B6"/>
    <w:rsid w:val="00DE1C22"/>
    <w:rsid w:val="00DE1CA8"/>
    <w:rsid w:val="00DE2CB3"/>
    <w:rsid w:val="00DE3233"/>
    <w:rsid w:val="00DE3535"/>
    <w:rsid w:val="00DE3B5A"/>
    <w:rsid w:val="00DE472B"/>
    <w:rsid w:val="00DE57D7"/>
    <w:rsid w:val="00DE5B82"/>
    <w:rsid w:val="00DE71A4"/>
    <w:rsid w:val="00DE7DD3"/>
    <w:rsid w:val="00DF0396"/>
    <w:rsid w:val="00DF2D6B"/>
    <w:rsid w:val="00DF4CCF"/>
    <w:rsid w:val="00DF527A"/>
    <w:rsid w:val="00DF601E"/>
    <w:rsid w:val="00DF63A9"/>
    <w:rsid w:val="00DF75C9"/>
    <w:rsid w:val="00E00949"/>
    <w:rsid w:val="00E00C3F"/>
    <w:rsid w:val="00E01955"/>
    <w:rsid w:val="00E0196A"/>
    <w:rsid w:val="00E01EDB"/>
    <w:rsid w:val="00E026C9"/>
    <w:rsid w:val="00E02957"/>
    <w:rsid w:val="00E03363"/>
    <w:rsid w:val="00E03E87"/>
    <w:rsid w:val="00E046EF"/>
    <w:rsid w:val="00E04954"/>
    <w:rsid w:val="00E05186"/>
    <w:rsid w:val="00E066BF"/>
    <w:rsid w:val="00E0672A"/>
    <w:rsid w:val="00E06818"/>
    <w:rsid w:val="00E07FC4"/>
    <w:rsid w:val="00E1066E"/>
    <w:rsid w:val="00E10A84"/>
    <w:rsid w:val="00E11BCC"/>
    <w:rsid w:val="00E13EE4"/>
    <w:rsid w:val="00E14453"/>
    <w:rsid w:val="00E14564"/>
    <w:rsid w:val="00E14839"/>
    <w:rsid w:val="00E14986"/>
    <w:rsid w:val="00E151F9"/>
    <w:rsid w:val="00E153CA"/>
    <w:rsid w:val="00E16872"/>
    <w:rsid w:val="00E168AF"/>
    <w:rsid w:val="00E16D6F"/>
    <w:rsid w:val="00E17506"/>
    <w:rsid w:val="00E1777C"/>
    <w:rsid w:val="00E17A4E"/>
    <w:rsid w:val="00E200BE"/>
    <w:rsid w:val="00E20478"/>
    <w:rsid w:val="00E215D9"/>
    <w:rsid w:val="00E2192D"/>
    <w:rsid w:val="00E225AE"/>
    <w:rsid w:val="00E2262E"/>
    <w:rsid w:val="00E22783"/>
    <w:rsid w:val="00E227D6"/>
    <w:rsid w:val="00E22C5C"/>
    <w:rsid w:val="00E23755"/>
    <w:rsid w:val="00E23AF2"/>
    <w:rsid w:val="00E241BD"/>
    <w:rsid w:val="00E24AC2"/>
    <w:rsid w:val="00E24C59"/>
    <w:rsid w:val="00E24E73"/>
    <w:rsid w:val="00E266D7"/>
    <w:rsid w:val="00E27D2E"/>
    <w:rsid w:val="00E3136A"/>
    <w:rsid w:val="00E318B9"/>
    <w:rsid w:val="00E318CC"/>
    <w:rsid w:val="00E319FB"/>
    <w:rsid w:val="00E31AC9"/>
    <w:rsid w:val="00E32189"/>
    <w:rsid w:val="00E33957"/>
    <w:rsid w:val="00E340AC"/>
    <w:rsid w:val="00E344D1"/>
    <w:rsid w:val="00E347D9"/>
    <w:rsid w:val="00E35539"/>
    <w:rsid w:val="00E355AB"/>
    <w:rsid w:val="00E35976"/>
    <w:rsid w:val="00E35E9E"/>
    <w:rsid w:val="00E36560"/>
    <w:rsid w:val="00E37F02"/>
    <w:rsid w:val="00E409DA"/>
    <w:rsid w:val="00E417ED"/>
    <w:rsid w:val="00E4408A"/>
    <w:rsid w:val="00E44DD4"/>
    <w:rsid w:val="00E45A4E"/>
    <w:rsid w:val="00E45D66"/>
    <w:rsid w:val="00E462CD"/>
    <w:rsid w:val="00E4637A"/>
    <w:rsid w:val="00E4654A"/>
    <w:rsid w:val="00E46E27"/>
    <w:rsid w:val="00E475EF"/>
    <w:rsid w:val="00E47635"/>
    <w:rsid w:val="00E51020"/>
    <w:rsid w:val="00E51063"/>
    <w:rsid w:val="00E52EC8"/>
    <w:rsid w:val="00E5320E"/>
    <w:rsid w:val="00E5321A"/>
    <w:rsid w:val="00E53915"/>
    <w:rsid w:val="00E54288"/>
    <w:rsid w:val="00E54932"/>
    <w:rsid w:val="00E549E0"/>
    <w:rsid w:val="00E56348"/>
    <w:rsid w:val="00E56B4E"/>
    <w:rsid w:val="00E56F38"/>
    <w:rsid w:val="00E57205"/>
    <w:rsid w:val="00E574DD"/>
    <w:rsid w:val="00E57CB0"/>
    <w:rsid w:val="00E6228A"/>
    <w:rsid w:val="00E623CA"/>
    <w:rsid w:val="00E62BA3"/>
    <w:rsid w:val="00E63757"/>
    <w:rsid w:val="00E6409C"/>
    <w:rsid w:val="00E64123"/>
    <w:rsid w:val="00E642E1"/>
    <w:rsid w:val="00E64BCA"/>
    <w:rsid w:val="00E64CF1"/>
    <w:rsid w:val="00E65159"/>
    <w:rsid w:val="00E658E5"/>
    <w:rsid w:val="00E65C82"/>
    <w:rsid w:val="00E660A4"/>
    <w:rsid w:val="00E66102"/>
    <w:rsid w:val="00E6709E"/>
    <w:rsid w:val="00E706CD"/>
    <w:rsid w:val="00E7076B"/>
    <w:rsid w:val="00E70D41"/>
    <w:rsid w:val="00E7219B"/>
    <w:rsid w:val="00E7225E"/>
    <w:rsid w:val="00E72890"/>
    <w:rsid w:val="00E734B5"/>
    <w:rsid w:val="00E73E5F"/>
    <w:rsid w:val="00E74875"/>
    <w:rsid w:val="00E765CF"/>
    <w:rsid w:val="00E7667C"/>
    <w:rsid w:val="00E77B2B"/>
    <w:rsid w:val="00E8009A"/>
    <w:rsid w:val="00E812DC"/>
    <w:rsid w:val="00E81B11"/>
    <w:rsid w:val="00E81CB2"/>
    <w:rsid w:val="00E81EE3"/>
    <w:rsid w:val="00E82903"/>
    <w:rsid w:val="00E82BC0"/>
    <w:rsid w:val="00E84EBD"/>
    <w:rsid w:val="00E85C9E"/>
    <w:rsid w:val="00E85CB1"/>
    <w:rsid w:val="00E86369"/>
    <w:rsid w:val="00E865C0"/>
    <w:rsid w:val="00E8690A"/>
    <w:rsid w:val="00E87609"/>
    <w:rsid w:val="00E87CAD"/>
    <w:rsid w:val="00E87DAC"/>
    <w:rsid w:val="00E90CA4"/>
    <w:rsid w:val="00E90E8A"/>
    <w:rsid w:val="00E91610"/>
    <w:rsid w:val="00E91F65"/>
    <w:rsid w:val="00E9381A"/>
    <w:rsid w:val="00E94082"/>
    <w:rsid w:val="00E946FA"/>
    <w:rsid w:val="00E952F0"/>
    <w:rsid w:val="00E95C38"/>
    <w:rsid w:val="00E97806"/>
    <w:rsid w:val="00E97E9E"/>
    <w:rsid w:val="00E97F36"/>
    <w:rsid w:val="00EA232E"/>
    <w:rsid w:val="00EA249C"/>
    <w:rsid w:val="00EA3378"/>
    <w:rsid w:val="00EA42AB"/>
    <w:rsid w:val="00EA4384"/>
    <w:rsid w:val="00EA57F8"/>
    <w:rsid w:val="00EA5AD1"/>
    <w:rsid w:val="00EA6244"/>
    <w:rsid w:val="00EA6411"/>
    <w:rsid w:val="00EA65C6"/>
    <w:rsid w:val="00EA669E"/>
    <w:rsid w:val="00EA770E"/>
    <w:rsid w:val="00EA78E7"/>
    <w:rsid w:val="00EA7E11"/>
    <w:rsid w:val="00EB1338"/>
    <w:rsid w:val="00EB1635"/>
    <w:rsid w:val="00EB16B6"/>
    <w:rsid w:val="00EB1C9A"/>
    <w:rsid w:val="00EB2494"/>
    <w:rsid w:val="00EB3028"/>
    <w:rsid w:val="00EB4344"/>
    <w:rsid w:val="00EB443B"/>
    <w:rsid w:val="00EB4B07"/>
    <w:rsid w:val="00EB4D2B"/>
    <w:rsid w:val="00EB4E9D"/>
    <w:rsid w:val="00EB57A3"/>
    <w:rsid w:val="00EB7126"/>
    <w:rsid w:val="00EB72B5"/>
    <w:rsid w:val="00EC0173"/>
    <w:rsid w:val="00EC2F34"/>
    <w:rsid w:val="00EC4686"/>
    <w:rsid w:val="00EC4DE6"/>
    <w:rsid w:val="00EC51C4"/>
    <w:rsid w:val="00EC5350"/>
    <w:rsid w:val="00EC735B"/>
    <w:rsid w:val="00EC74F1"/>
    <w:rsid w:val="00EC7643"/>
    <w:rsid w:val="00EC76A6"/>
    <w:rsid w:val="00EC76BA"/>
    <w:rsid w:val="00EC79CE"/>
    <w:rsid w:val="00EC7CEF"/>
    <w:rsid w:val="00ED04A7"/>
    <w:rsid w:val="00ED075F"/>
    <w:rsid w:val="00ED0E14"/>
    <w:rsid w:val="00ED108B"/>
    <w:rsid w:val="00ED16B5"/>
    <w:rsid w:val="00ED1711"/>
    <w:rsid w:val="00ED1C40"/>
    <w:rsid w:val="00ED1DA3"/>
    <w:rsid w:val="00ED3CF5"/>
    <w:rsid w:val="00ED5097"/>
    <w:rsid w:val="00ED5B1E"/>
    <w:rsid w:val="00ED5CFD"/>
    <w:rsid w:val="00ED7218"/>
    <w:rsid w:val="00ED7497"/>
    <w:rsid w:val="00ED773E"/>
    <w:rsid w:val="00EE06DE"/>
    <w:rsid w:val="00EE0A17"/>
    <w:rsid w:val="00EE0DBB"/>
    <w:rsid w:val="00EE1824"/>
    <w:rsid w:val="00EE19AC"/>
    <w:rsid w:val="00EE1AC5"/>
    <w:rsid w:val="00EE2148"/>
    <w:rsid w:val="00EE28CB"/>
    <w:rsid w:val="00EE35C8"/>
    <w:rsid w:val="00EE35D2"/>
    <w:rsid w:val="00EE4F62"/>
    <w:rsid w:val="00EE5CE6"/>
    <w:rsid w:val="00EE6857"/>
    <w:rsid w:val="00EE74BC"/>
    <w:rsid w:val="00EF0435"/>
    <w:rsid w:val="00EF0C41"/>
    <w:rsid w:val="00EF3121"/>
    <w:rsid w:val="00EF3A2E"/>
    <w:rsid w:val="00EF3A41"/>
    <w:rsid w:val="00EF3AE5"/>
    <w:rsid w:val="00EF3D15"/>
    <w:rsid w:val="00EF3E0E"/>
    <w:rsid w:val="00EF4995"/>
    <w:rsid w:val="00EF5058"/>
    <w:rsid w:val="00EF57C3"/>
    <w:rsid w:val="00EF6A23"/>
    <w:rsid w:val="00EF6D98"/>
    <w:rsid w:val="00F00856"/>
    <w:rsid w:val="00F00C38"/>
    <w:rsid w:val="00F012D2"/>
    <w:rsid w:val="00F01EEC"/>
    <w:rsid w:val="00F022CE"/>
    <w:rsid w:val="00F02471"/>
    <w:rsid w:val="00F02A88"/>
    <w:rsid w:val="00F03000"/>
    <w:rsid w:val="00F03002"/>
    <w:rsid w:val="00F0317B"/>
    <w:rsid w:val="00F03596"/>
    <w:rsid w:val="00F03879"/>
    <w:rsid w:val="00F0397F"/>
    <w:rsid w:val="00F0477C"/>
    <w:rsid w:val="00F04FE5"/>
    <w:rsid w:val="00F05C5A"/>
    <w:rsid w:val="00F0638E"/>
    <w:rsid w:val="00F06495"/>
    <w:rsid w:val="00F065F6"/>
    <w:rsid w:val="00F0694A"/>
    <w:rsid w:val="00F0742C"/>
    <w:rsid w:val="00F07A11"/>
    <w:rsid w:val="00F100AA"/>
    <w:rsid w:val="00F1135F"/>
    <w:rsid w:val="00F130B6"/>
    <w:rsid w:val="00F13185"/>
    <w:rsid w:val="00F1333A"/>
    <w:rsid w:val="00F135E3"/>
    <w:rsid w:val="00F136E4"/>
    <w:rsid w:val="00F13901"/>
    <w:rsid w:val="00F141D9"/>
    <w:rsid w:val="00F16733"/>
    <w:rsid w:val="00F170FA"/>
    <w:rsid w:val="00F202C0"/>
    <w:rsid w:val="00F2155A"/>
    <w:rsid w:val="00F21572"/>
    <w:rsid w:val="00F21A31"/>
    <w:rsid w:val="00F22BCF"/>
    <w:rsid w:val="00F2364E"/>
    <w:rsid w:val="00F23750"/>
    <w:rsid w:val="00F24743"/>
    <w:rsid w:val="00F24BA1"/>
    <w:rsid w:val="00F24C69"/>
    <w:rsid w:val="00F25168"/>
    <w:rsid w:val="00F256CF"/>
    <w:rsid w:val="00F25D30"/>
    <w:rsid w:val="00F264BD"/>
    <w:rsid w:val="00F26A09"/>
    <w:rsid w:val="00F26CED"/>
    <w:rsid w:val="00F27B96"/>
    <w:rsid w:val="00F27EB8"/>
    <w:rsid w:val="00F30148"/>
    <w:rsid w:val="00F30AD1"/>
    <w:rsid w:val="00F3184E"/>
    <w:rsid w:val="00F319C0"/>
    <w:rsid w:val="00F32249"/>
    <w:rsid w:val="00F326C0"/>
    <w:rsid w:val="00F32B76"/>
    <w:rsid w:val="00F33A6D"/>
    <w:rsid w:val="00F33E45"/>
    <w:rsid w:val="00F3433E"/>
    <w:rsid w:val="00F351E4"/>
    <w:rsid w:val="00F35B3C"/>
    <w:rsid w:val="00F35D11"/>
    <w:rsid w:val="00F3636C"/>
    <w:rsid w:val="00F368F7"/>
    <w:rsid w:val="00F379BC"/>
    <w:rsid w:val="00F37C2D"/>
    <w:rsid w:val="00F40ED2"/>
    <w:rsid w:val="00F43573"/>
    <w:rsid w:val="00F4368A"/>
    <w:rsid w:val="00F4440E"/>
    <w:rsid w:val="00F4451A"/>
    <w:rsid w:val="00F44E7D"/>
    <w:rsid w:val="00F4501B"/>
    <w:rsid w:val="00F4527C"/>
    <w:rsid w:val="00F4756F"/>
    <w:rsid w:val="00F47666"/>
    <w:rsid w:val="00F47BB8"/>
    <w:rsid w:val="00F515CB"/>
    <w:rsid w:val="00F51824"/>
    <w:rsid w:val="00F52DF8"/>
    <w:rsid w:val="00F53A2B"/>
    <w:rsid w:val="00F5443D"/>
    <w:rsid w:val="00F54613"/>
    <w:rsid w:val="00F54F9B"/>
    <w:rsid w:val="00F5547E"/>
    <w:rsid w:val="00F5571A"/>
    <w:rsid w:val="00F55927"/>
    <w:rsid w:val="00F56D80"/>
    <w:rsid w:val="00F57689"/>
    <w:rsid w:val="00F57852"/>
    <w:rsid w:val="00F610B3"/>
    <w:rsid w:val="00F61E1A"/>
    <w:rsid w:val="00F62403"/>
    <w:rsid w:val="00F62A1B"/>
    <w:rsid w:val="00F631BD"/>
    <w:rsid w:val="00F638A2"/>
    <w:rsid w:val="00F63FEC"/>
    <w:rsid w:val="00F64CA1"/>
    <w:rsid w:val="00F65991"/>
    <w:rsid w:val="00F660EF"/>
    <w:rsid w:val="00F675BA"/>
    <w:rsid w:val="00F702AC"/>
    <w:rsid w:val="00F70A93"/>
    <w:rsid w:val="00F71399"/>
    <w:rsid w:val="00F715CC"/>
    <w:rsid w:val="00F715EE"/>
    <w:rsid w:val="00F72DD6"/>
    <w:rsid w:val="00F72F21"/>
    <w:rsid w:val="00F73997"/>
    <w:rsid w:val="00F74047"/>
    <w:rsid w:val="00F7485B"/>
    <w:rsid w:val="00F74889"/>
    <w:rsid w:val="00F74F32"/>
    <w:rsid w:val="00F756B4"/>
    <w:rsid w:val="00F75728"/>
    <w:rsid w:val="00F759A8"/>
    <w:rsid w:val="00F762C0"/>
    <w:rsid w:val="00F767AF"/>
    <w:rsid w:val="00F800D3"/>
    <w:rsid w:val="00F80176"/>
    <w:rsid w:val="00F824DA"/>
    <w:rsid w:val="00F824DE"/>
    <w:rsid w:val="00F832C0"/>
    <w:rsid w:val="00F83759"/>
    <w:rsid w:val="00F83BA8"/>
    <w:rsid w:val="00F842AA"/>
    <w:rsid w:val="00F84DB6"/>
    <w:rsid w:val="00F85300"/>
    <w:rsid w:val="00F860F7"/>
    <w:rsid w:val="00F862A9"/>
    <w:rsid w:val="00F86399"/>
    <w:rsid w:val="00F8678F"/>
    <w:rsid w:val="00F86B4D"/>
    <w:rsid w:val="00F8754D"/>
    <w:rsid w:val="00F87E09"/>
    <w:rsid w:val="00F90128"/>
    <w:rsid w:val="00F9067B"/>
    <w:rsid w:val="00F9092D"/>
    <w:rsid w:val="00F90F36"/>
    <w:rsid w:val="00F91B79"/>
    <w:rsid w:val="00F92391"/>
    <w:rsid w:val="00F92A5C"/>
    <w:rsid w:val="00F93278"/>
    <w:rsid w:val="00F9399D"/>
    <w:rsid w:val="00F93A5A"/>
    <w:rsid w:val="00F94443"/>
    <w:rsid w:val="00F945A3"/>
    <w:rsid w:val="00F946FF"/>
    <w:rsid w:val="00F94C2E"/>
    <w:rsid w:val="00F95703"/>
    <w:rsid w:val="00F95D0A"/>
    <w:rsid w:val="00F9628C"/>
    <w:rsid w:val="00F962A3"/>
    <w:rsid w:val="00F962E0"/>
    <w:rsid w:val="00F964BA"/>
    <w:rsid w:val="00F9702A"/>
    <w:rsid w:val="00F973D8"/>
    <w:rsid w:val="00F9740D"/>
    <w:rsid w:val="00F97BE8"/>
    <w:rsid w:val="00FA0344"/>
    <w:rsid w:val="00FA0DF0"/>
    <w:rsid w:val="00FA1B5F"/>
    <w:rsid w:val="00FA1E6B"/>
    <w:rsid w:val="00FA2787"/>
    <w:rsid w:val="00FA2952"/>
    <w:rsid w:val="00FA2D62"/>
    <w:rsid w:val="00FA2EA1"/>
    <w:rsid w:val="00FA591B"/>
    <w:rsid w:val="00FA5922"/>
    <w:rsid w:val="00FA64A1"/>
    <w:rsid w:val="00FA65FB"/>
    <w:rsid w:val="00FA6A23"/>
    <w:rsid w:val="00FA6FD3"/>
    <w:rsid w:val="00FA7A7E"/>
    <w:rsid w:val="00FA7E86"/>
    <w:rsid w:val="00FB1C39"/>
    <w:rsid w:val="00FB24CE"/>
    <w:rsid w:val="00FB3682"/>
    <w:rsid w:val="00FB4AA7"/>
    <w:rsid w:val="00FB64E2"/>
    <w:rsid w:val="00FB6A28"/>
    <w:rsid w:val="00FB6CB3"/>
    <w:rsid w:val="00FB700B"/>
    <w:rsid w:val="00FB7303"/>
    <w:rsid w:val="00FB7848"/>
    <w:rsid w:val="00FB7CDF"/>
    <w:rsid w:val="00FC1B5B"/>
    <w:rsid w:val="00FC1D70"/>
    <w:rsid w:val="00FC2334"/>
    <w:rsid w:val="00FC2677"/>
    <w:rsid w:val="00FC2858"/>
    <w:rsid w:val="00FC2C02"/>
    <w:rsid w:val="00FC2CF0"/>
    <w:rsid w:val="00FC3FB7"/>
    <w:rsid w:val="00FC486D"/>
    <w:rsid w:val="00FC532E"/>
    <w:rsid w:val="00FC6679"/>
    <w:rsid w:val="00FC7B44"/>
    <w:rsid w:val="00FC7DDB"/>
    <w:rsid w:val="00FD0CB0"/>
    <w:rsid w:val="00FD0D45"/>
    <w:rsid w:val="00FD16AE"/>
    <w:rsid w:val="00FD2B75"/>
    <w:rsid w:val="00FD3191"/>
    <w:rsid w:val="00FD34AD"/>
    <w:rsid w:val="00FD3B66"/>
    <w:rsid w:val="00FD41CA"/>
    <w:rsid w:val="00FD5334"/>
    <w:rsid w:val="00FD550F"/>
    <w:rsid w:val="00FD5C6C"/>
    <w:rsid w:val="00FD6FA2"/>
    <w:rsid w:val="00FD729D"/>
    <w:rsid w:val="00FD7310"/>
    <w:rsid w:val="00FD7354"/>
    <w:rsid w:val="00FE1174"/>
    <w:rsid w:val="00FE12BC"/>
    <w:rsid w:val="00FE149A"/>
    <w:rsid w:val="00FE209B"/>
    <w:rsid w:val="00FE2201"/>
    <w:rsid w:val="00FE348C"/>
    <w:rsid w:val="00FE4814"/>
    <w:rsid w:val="00FE4D73"/>
    <w:rsid w:val="00FE4E90"/>
    <w:rsid w:val="00FE5260"/>
    <w:rsid w:val="00FE53E4"/>
    <w:rsid w:val="00FE544F"/>
    <w:rsid w:val="00FE776A"/>
    <w:rsid w:val="00FF047F"/>
    <w:rsid w:val="00FF0FAC"/>
    <w:rsid w:val="00FF12A1"/>
    <w:rsid w:val="00FF283F"/>
    <w:rsid w:val="00FF3AE8"/>
    <w:rsid w:val="00FF3CB1"/>
    <w:rsid w:val="00FF48A8"/>
    <w:rsid w:val="00FF503B"/>
    <w:rsid w:val="00FF5398"/>
    <w:rsid w:val="00FF56F2"/>
    <w:rsid w:val="00FF5A74"/>
    <w:rsid w:val="00FF5C0D"/>
    <w:rsid w:val="00FF6258"/>
    <w:rsid w:val="00FF7928"/>
    <w:rsid w:val="01367F48"/>
    <w:rsid w:val="01606C23"/>
    <w:rsid w:val="016823F4"/>
    <w:rsid w:val="01C16FC0"/>
    <w:rsid w:val="03DF1B56"/>
    <w:rsid w:val="05533838"/>
    <w:rsid w:val="05D66836"/>
    <w:rsid w:val="0974ECD4"/>
    <w:rsid w:val="0982F15A"/>
    <w:rsid w:val="09E694B5"/>
    <w:rsid w:val="0AE2DE06"/>
    <w:rsid w:val="0B7D4A95"/>
    <w:rsid w:val="0E279ABE"/>
    <w:rsid w:val="0E639581"/>
    <w:rsid w:val="0E6D46E2"/>
    <w:rsid w:val="0FACB39A"/>
    <w:rsid w:val="10E6F8C0"/>
    <w:rsid w:val="12BBC8E6"/>
    <w:rsid w:val="14B33AA6"/>
    <w:rsid w:val="15E5D04B"/>
    <w:rsid w:val="183F2A09"/>
    <w:rsid w:val="190EA529"/>
    <w:rsid w:val="1A014261"/>
    <w:rsid w:val="1B22F3E8"/>
    <w:rsid w:val="1CA2087C"/>
    <w:rsid w:val="1E727B00"/>
    <w:rsid w:val="22C55970"/>
    <w:rsid w:val="23B9E544"/>
    <w:rsid w:val="25D7FD64"/>
    <w:rsid w:val="2682355B"/>
    <w:rsid w:val="2B9427BD"/>
    <w:rsid w:val="2C855734"/>
    <w:rsid w:val="2C8684C8"/>
    <w:rsid w:val="2E9F8954"/>
    <w:rsid w:val="2F16E62D"/>
    <w:rsid w:val="30D1A781"/>
    <w:rsid w:val="3168D8CD"/>
    <w:rsid w:val="32B802B9"/>
    <w:rsid w:val="343F9114"/>
    <w:rsid w:val="34BD9642"/>
    <w:rsid w:val="34EC03F4"/>
    <w:rsid w:val="38C435EA"/>
    <w:rsid w:val="3A26BE93"/>
    <w:rsid w:val="3FEB9D35"/>
    <w:rsid w:val="43ACCCCA"/>
    <w:rsid w:val="43CBBB46"/>
    <w:rsid w:val="4430D49D"/>
    <w:rsid w:val="4708BC5D"/>
    <w:rsid w:val="471BA48D"/>
    <w:rsid w:val="490C1EB0"/>
    <w:rsid w:val="4ACBD952"/>
    <w:rsid w:val="4BB664ED"/>
    <w:rsid w:val="4DD49EC6"/>
    <w:rsid w:val="5031BD82"/>
    <w:rsid w:val="5259DCD5"/>
    <w:rsid w:val="5332588C"/>
    <w:rsid w:val="54982F34"/>
    <w:rsid w:val="54CFC9BA"/>
    <w:rsid w:val="581D9A46"/>
    <w:rsid w:val="5B06936B"/>
    <w:rsid w:val="5CA43E47"/>
    <w:rsid w:val="67B3856A"/>
    <w:rsid w:val="68EE382C"/>
    <w:rsid w:val="690635B3"/>
    <w:rsid w:val="69B3A055"/>
    <w:rsid w:val="6D1844D1"/>
    <w:rsid w:val="6D4B92C7"/>
    <w:rsid w:val="6EB4F28D"/>
    <w:rsid w:val="6ECBCFCE"/>
    <w:rsid w:val="7088E7E8"/>
    <w:rsid w:val="70E21499"/>
    <w:rsid w:val="717AE58A"/>
    <w:rsid w:val="72A7A06A"/>
    <w:rsid w:val="73D2C390"/>
    <w:rsid w:val="74B910FA"/>
    <w:rsid w:val="74CE6E68"/>
    <w:rsid w:val="7866E862"/>
    <w:rsid w:val="78A7C23F"/>
    <w:rsid w:val="79DED33E"/>
    <w:rsid w:val="7B3D5164"/>
    <w:rsid w:val="7BA239D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819FDF1"/>
  <w15:docId w15:val="{DA863495-9F7B-4D45-85B8-1C61ADFA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aliases w:val="Do not use"/>
    <w:next w:val="BodyText"/>
    <w:qFormat/>
    <w:rsid w:val="00B93C59"/>
    <w:pPr>
      <w:spacing w:before="240"/>
      <w:jc w:val="both"/>
    </w:pPr>
    <w:rPr>
      <w:sz w:val="24"/>
      <w:lang w:val="en-US" w:eastAsia="en-US"/>
    </w:rPr>
  </w:style>
  <w:style w:type="paragraph" w:styleId="Heading1">
    <w:name w:val="heading 1"/>
    <w:basedOn w:val="BodyText"/>
    <w:next w:val="BodyText"/>
    <w:qFormat/>
    <w:rsid w:val="00B93C59"/>
    <w:pPr>
      <w:keepNext/>
      <w:keepLines/>
      <w:numPr>
        <w:numId w:val="4"/>
      </w:numPr>
      <w:outlineLvl w:val="0"/>
    </w:pPr>
    <w:rPr>
      <w:b/>
      <w:sz w:val="28"/>
    </w:rPr>
  </w:style>
  <w:style w:type="paragraph" w:styleId="Heading2">
    <w:name w:val="heading 2"/>
    <w:basedOn w:val="Heading1"/>
    <w:next w:val="BodyText"/>
    <w:link w:val="Heading2Char"/>
    <w:qFormat/>
    <w:rsid w:val="00D3748A"/>
    <w:pPr>
      <w:numPr>
        <w:ilvl w:val="1"/>
      </w:numPr>
      <w:ind w:left="2019" w:hanging="2019"/>
      <w:outlineLvl w:val="1"/>
    </w:pPr>
  </w:style>
  <w:style w:type="paragraph" w:styleId="Heading3">
    <w:name w:val="heading 3"/>
    <w:basedOn w:val="Heading1"/>
    <w:next w:val="BodyText"/>
    <w:qFormat/>
    <w:rsid w:val="00B93C59"/>
    <w:pPr>
      <w:numPr>
        <w:ilvl w:val="2"/>
      </w:numPr>
      <w:outlineLvl w:val="2"/>
    </w:pPr>
  </w:style>
  <w:style w:type="paragraph" w:styleId="Heading4">
    <w:name w:val="heading 4"/>
    <w:basedOn w:val="Heading1"/>
    <w:next w:val="BodyText"/>
    <w:qFormat/>
    <w:rsid w:val="00B93C59"/>
    <w:pPr>
      <w:numPr>
        <w:ilvl w:val="3"/>
      </w:numPr>
      <w:outlineLvl w:val="3"/>
    </w:pPr>
  </w:style>
  <w:style w:type="paragraph" w:styleId="Heading5">
    <w:name w:val="heading 5"/>
    <w:basedOn w:val="Heading1"/>
    <w:next w:val="BodyText"/>
    <w:qFormat/>
    <w:rsid w:val="00B93C59"/>
    <w:pPr>
      <w:numPr>
        <w:ilvl w:val="4"/>
      </w:numPr>
      <w:outlineLvl w:val="4"/>
    </w:pPr>
  </w:style>
  <w:style w:type="paragraph" w:styleId="Heading6">
    <w:name w:val="heading 6"/>
    <w:basedOn w:val="Heading1"/>
    <w:next w:val="BodyText"/>
    <w:qFormat/>
    <w:rsid w:val="00B93C59"/>
    <w:pPr>
      <w:numPr>
        <w:ilvl w:val="5"/>
      </w:numPr>
      <w:outlineLvl w:val="5"/>
    </w:pPr>
  </w:style>
  <w:style w:type="paragraph" w:styleId="Heading7">
    <w:name w:val="heading 7"/>
    <w:aliases w:val="not allowed"/>
    <w:basedOn w:val="Normal"/>
    <w:next w:val="Normal"/>
    <w:qFormat/>
    <w:rsid w:val="00B93C59"/>
    <w:pPr>
      <w:numPr>
        <w:ilvl w:val="6"/>
        <w:numId w:val="4"/>
      </w:numPr>
      <w:spacing w:before="0"/>
      <w:outlineLvl w:val="6"/>
    </w:pPr>
    <w:rPr>
      <w:rFonts w:ascii="Symbol" w:hAnsi="Symbol"/>
      <w:color w:val="00FF00"/>
    </w:rPr>
  </w:style>
  <w:style w:type="paragraph" w:styleId="Heading8">
    <w:name w:val="heading 8"/>
    <w:aliases w:val="do not use"/>
    <w:basedOn w:val="Normal"/>
    <w:next w:val="Normal"/>
    <w:qFormat/>
    <w:rsid w:val="00B93C59"/>
    <w:pPr>
      <w:numPr>
        <w:ilvl w:val="7"/>
        <w:numId w:val="4"/>
      </w:numPr>
      <w:spacing w:before="0"/>
      <w:outlineLvl w:val="7"/>
    </w:pPr>
    <w:rPr>
      <w:rFonts w:ascii="Symbol" w:hAnsi="Symbol"/>
      <w:color w:val="00FF00"/>
    </w:rPr>
  </w:style>
  <w:style w:type="paragraph" w:styleId="Heading9">
    <w:name w:val="heading 9"/>
    <w:aliases w:val="Bibliography only"/>
    <w:basedOn w:val="BodyText"/>
    <w:qFormat/>
    <w:rsid w:val="00B93C59"/>
    <w:pPr>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Body Text II,Body text,Body text Char,Body text Char Char Char,Body text Char1 Char,Textkörper Char,Textkörper Char Char,Textkörper Char Char Char Char,Textkörper Char Char Char1,Textkörper Char1,Textkörper Char1 Char Char"/>
    <w:basedOn w:val="Normal"/>
    <w:link w:val="BodyTextChar"/>
    <w:qFormat/>
    <w:rsid w:val="00B93C59"/>
  </w:style>
  <w:style w:type="character" w:customStyle="1" w:styleId="BodyTextChar">
    <w:name w:val="Body Text Char"/>
    <w:aliases w:val="Body Text Char Char Char,Body Text II Char,Body text Char1,Body text Char Char,Body text Char Char Char Char,Body text Char1 Char Char,Textkörper Char Char1,Textkörper Char Char Char,Textkörper Char Char Char Char Char"/>
    <w:link w:val="BodyText"/>
    <w:rsid w:val="00B93C59"/>
    <w:rPr>
      <w:sz w:val="24"/>
      <w:lang w:val="en-US" w:eastAsia="en-US"/>
    </w:rPr>
  </w:style>
  <w:style w:type="paragraph" w:styleId="Header">
    <w:name w:val="header"/>
    <w:basedOn w:val="BodyText"/>
    <w:rsid w:val="00B93C59"/>
    <w:pPr>
      <w:tabs>
        <w:tab w:val="left" w:pos="2304"/>
      </w:tabs>
      <w:spacing w:before="0"/>
    </w:pPr>
    <w:rPr>
      <w:b/>
      <w:sz w:val="22"/>
    </w:rPr>
  </w:style>
  <w:style w:type="paragraph" w:customStyle="1" w:styleId="Heading1unnumbered">
    <w:name w:val="Heading 1 unnumbered"/>
    <w:basedOn w:val="Heading1"/>
    <w:next w:val="BodyText"/>
    <w:rsid w:val="00B93C59"/>
    <w:pPr>
      <w:numPr>
        <w:numId w:val="0"/>
      </w:numPr>
    </w:pPr>
  </w:style>
  <w:style w:type="paragraph" w:customStyle="1" w:styleId="List1withbullet">
    <w:name w:val="List 1 with bullet"/>
    <w:basedOn w:val="BodyText"/>
    <w:next w:val="List1withoutbullet"/>
    <w:link w:val="List1withbulletChar"/>
    <w:qFormat/>
    <w:rsid w:val="00F74889"/>
    <w:pPr>
      <w:numPr>
        <w:numId w:val="11"/>
      </w:numPr>
      <w:spacing w:before="120"/>
    </w:pPr>
  </w:style>
  <w:style w:type="paragraph" w:customStyle="1" w:styleId="List1withoutbullet">
    <w:name w:val="List 1 without bullet"/>
    <w:basedOn w:val="BodyText"/>
    <w:next w:val="BodyText"/>
    <w:rsid w:val="00B93C59"/>
    <w:pPr>
      <w:tabs>
        <w:tab w:val="left" w:pos="284"/>
      </w:tabs>
      <w:spacing w:before="120"/>
      <w:ind w:left="284"/>
    </w:pPr>
  </w:style>
  <w:style w:type="paragraph" w:customStyle="1" w:styleId="Bodytext-keepwithnext">
    <w:name w:val="Body text - keep with next"/>
    <w:basedOn w:val="BodyText"/>
    <w:next w:val="BodyText"/>
    <w:rsid w:val="00B93C59"/>
    <w:pPr>
      <w:keepNext/>
    </w:pPr>
  </w:style>
  <w:style w:type="paragraph" w:styleId="Caption">
    <w:name w:val="caption"/>
    <w:basedOn w:val="BodyText"/>
    <w:next w:val="BodyText"/>
    <w:uiPriority w:val="35"/>
    <w:qFormat/>
    <w:rsid w:val="00B93C59"/>
    <w:pPr>
      <w:keepNext/>
      <w:keepLines/>
      <w:tabs>
        <w:tab w:val="left" w:pos="2016"/>
      </w:tabs>
      <w:spacing w:after="240"/>
      <w:ind w:left="2016" w:hanging="2016"/>
    </w:pPr>
    <w:rPr>
      <w:b/>
    </w:rPr>
  </w:style>
  <w:style w:type="paragraph" w:styleId="Footer">
    <w:name w:val="footer"/>
    <w:basedOn w:val="BodyText"/>
    <w:rsid w:val="00B93C59"/>
    <w:pPr>
      <w:keepLines/>
      <w:spacing w:before="0"/>
    </w:pPr>
    <w:rPr>
      <w:sz w:val="18"/>
    </w:rPr>
  </w:style>
  <w:style w:type="paragraph" w:customStyle="1" w:styleId="Tabletext">
    <w:name w:val="Table text"/>
    <w:basedOn w:val="BodyText"/>
    <w:link w:val="TabletextZchn"/>
    <w:qFormat/>
    <w:rsid w:val="00B93C59"/>
    <w:pPr>
      <w:keepLines/>
      <w:spacing w:before="40" w:after="40"/>
      <w:jc w:val="left"/>
    </w:pPr>
    <w:rPr>
      <w:rFonts w:ascii="Arial" w:hAnsi="Arial"/>
      <w:sz w:val="18"/>
    </w:rPr>
  </w:style>
  <w:style w:type="character" w:customStyle="1" w:styleId="TabletextZchn">
    <w:name w:val="Table text Zchn"/>
    <w:link w:val="Tabletext"/>
    <w:locked/>
    <w:rsid w:val="00D26776"/>
    <w:rPr>
      <w:rFonts w:ascii="Arial" w:hAnsi="Arial"/>
      <w:sz w:val="18"/>
      <w:lang w:val="en-US" w:eastAsia="en-US"/>
    </w:rPr>
  </w:style>
  <w:style w:type="paragraph" w:customStyle="1" w:styleId="Tablefootnote">
    <w:name w:val="Table footnote"/>
    <w:basedOn w:val="Tabletext"/>
    <w:next w:val="BodyText"/>
    <w:rsid w:val="00B93C59"/>
  </w:style>
  <w:style w:type="character" w:customStyle="1" w:styleId="aComments">
    <w:name w:val="a_Comments"/>
    <w:rsid w:val="00755CB1"/>
    <w:rPr>
      <w:rFonts w:ascii="Arial" w:hAnsi="Arial"/>
      <w:i/>
      <w:color w:val="FF0000"/>
      <w:sz w:val="24"/>
    </w:rPr>
  </w:style>
  <w:style w:type="paragraph" w:customStyle="1" w:styleId="Tableheading">
    <w:name w:val="Table heading"/>
    <w:basedOn w:val="Tabletext"/>
    <w:rsid w:val="00B93C59"/>
    <w:pPr>
      <w:keepNext/>
      <w:spacing w:before="80" w:after="80"/>
      <w:jc w:val="center"/>
    </w:pPr>
    <w:rPr>
      <w:b/>
    </w:rPr>
  </w:style>
  <w:style w:type="paragraph" w:customStyle="1" w:styleId="Tablelist">
    <w:name w:val="Table list"/>
    <w:basedOn w:val="Tabletext"/>
    <w:rsid w:val="00B93C59"/>
    <w:pPr>
      <w:numPr>
        <w:numId w:val="6"/>
      </w:numPr>
    </w:pPr>
  </w:style>
  <w:style w:type="paragraph" w:styleId="TOC1">
    <w:name w:val="toc 1"/>
    <w:basedOn w:val="BodyText"/>
    <w:next w:val="BodyText"/>
    <w:uiPriority w:val="39"/>
    <w:rsid w:val="00B93C59"/>
    <w:pPr>
      <w:tabs>
        <w:tab w:val="left" w:pos="1872"/>
        <w:tab w:val="right" w:leader="dot" w:pos="8640"/>
      </w:tabs>
      <w:spacing w:before="120"/>
      <w:ind w:left="1872" w:right="1080" w:hanging="1872"/>
      <w:jc w:val="left"/>
    </w:pPr>
    <w:rPr>
      <w:noProof/>
    </w:rPr>
  </w:style>
  <w:style w:type="paragraph" w:styleId="Title">
    <w:name w:val="Title"/>
    <w:basedOn w:val="BodyText"/>
    <w:next w:val="BodyText"/>
    <w:qFormat/>
    <w:rsid w:val="00B93C59"/>
    <w:pPr>
      <w:keepLines/>
      <w:spacing w:before="0" w:after="480"/>
      <w:jc w:val="center"/>
    </w:pPr>
    <w:rPr>
      <w:b/>
      <w:sz w:val="36"/>
    </w:rPr>
  </w:style>
  <w:style w:type="paragraph" w:customStyle="1" w:styleId="List2withoutbullet">
    <w:name w:val="List 2 without bullet"/>
    <w:basedOn w:val="List1withoutbullet"/>
    <w:next w:val="BodyText"/>
    <w:rsid w:val="00B93C59"/>
    <w:pPr>
      <w:tabs>
        <w:tab w:val="clear" w:pos="284"/>
        <w:tab w:val="left" w:pos="576"/>
      </w:tabs>
      <w:ind w:left="576"/>
    </w:pPr>
  </w:style>
  <w:style w:type="paragraph" w:styleId="TOC2">
    <w:name w:val="toc 2"/>
    <w:basedOn w:val="TOC1"/>
    <w:next w:val="BodyText"/>
    <w:uiPriority w:val="39"/>
    <w:rsid w:val="00B93C59"/>
  </w:style>
  <w:style w:type="paragraph" w:styleId="TOC3">
    <w:name w:val="toc 3"/>
    <w:basedOn w:val="TOC1"/>
    <w:next w:val="BodyText"/>
    <w:uiPriority w:val="39"/>
    <w:rsid w:val="00B93C59"/>
  </w:style>
  <w:style w:type="paragraph" w:styleId="TOC4">
    <w:name w:val="toc 4"/>
    <w:basedOn w:val="TOC1"/>
    <w:next w:val="BodyText"/>
    <w:uiPriority w:val="39"/>
    <w:rsid w:val="00B93C59"/>
  </w:style>
  <w:style w:type="paragraph" w:styleId="TOC5">
    <w:name w:val="toc 5"/>
    <w:basedOn w:val="TOC1"/>
    <w:next w:val="BodyText"/>
    <w:uiPriority w:val="39"/>
    <w:rsid w:val="00B93C59"/>
  </w:style>
  <w:style w:type="paragraph" w:styleId="TOC6">
    <w:name w:val="toc 6"/>
    <w:basedOn w:val="TOC1"/>
    <w:next w:val="BodyText"/>
    <w:uiPriority w:val="39"/>
    <w:rsid w:val="00B93C59"/>
  </w:style>
  <w:style w:type="paragraph" w:styleId="TOC7">
    <w:name w:val="toc 7"/>
    <w:basedOn w:val="Normal"/>
    <w:next w:val="Normal"/>
    <w:uiPriority w:val="39"/>
    <w:rsid w:val="00B93C59"/>
    <w:pPr>
      <w:ind w:left="1440"/>
    </w:pPr>
    <w:rPr>
      <w:rFonts w:ascii="Symbol" w:hAnsi="Symbol"/>
      <w:color w:val="00FF00"/>
    </w:rPr>
  </w:style>
  <w:style w:type="paragraph" w:styleId="TOC8">
    <w:name w:val="toc 8"/>
    <w:basedOn w:val="Normal"/>
    <w:next w:val="Normal"/>
    <w:uiPriority w:val="39"/>
    <w:rsid w:val="00B93C59"/>
    <w:pPr>
      <w:ind w:left="1680"/>
    </w:pPr>
    <w:rPr>
      <w:rFonts w:ascii="Symbol" w:hAnsi="Symbol"/>
      <w:color w:val="00FF00"/>
    </w:rPr>
  </w:style>
  <w:style w:type="paragraph" w:styleId="TOC9">
    <w:name w:val="toc 9"/>
    <w:basedOn w:val="Normal"/>
    <w:next w:val="Normal"/>
    <w:uiPriority w:val="39"/>
    <w:rsid w:val="00B93C59"/>
    <w:pPr>
      <w:ind w:left="1920"/>
    </w:pPr>
    <w:rPr>
      <w:rFonts w:ascii="Symbol" w:hAnsi="Symbol"/>
      <w:color w:val="00FF00"/>
    </w:rPr>
  </w:style>
  <w:style w:type="paragraph" w:customStyle="1" w:styleId="List2withbullet">
    <w:name w:val="List 2 with bullet"/>
    <w:basedOn w:val="List1withbullet"/>
    <w:next w:val="List2withoutbullet"/>
    <w:rsid w:val="00B93C59"/>
    <w:pPr>
      <w:numPr>
        <w:numId w:val="5"/>
      </w:numPr>
    </w:pPr>
  </w:style>
  <w:style w:type="character" w:styleId="Hyperlink">
    <w:name w:val="Hyperlink"/>
    <w:uiPriority w:val="99"/>
    <w:rsid w:val="00B93C59"/>
    <w:rPr>
      <w:color w:val="0000FF"/>
      <w:u w:val="none"/>
    </w:rPr>
  </w:style>
  <w:style w:type="paragraph" w:styleId="TableofFigures">
    <w:name w:val="table of figures"/>
    <w:basedOn w:val="TOC1"/>
    <w:next w:val="BodyText"/>
    <w:uiPriority w:val="99"/>
    <w:rsid w:val="00B93C59"/>
  </w:style>
  <w:style w:type="character" w:customStyle="1" w:styleId="UnresolvedMention1">
    <w:name w:val="Unresolved Mention1"/>
    <w:basedOn w:val="DefaultParagraphFont"/>
    <w:uiPriority w:val="99"/>
    <w:unhideWhenUsed/>
    <w:rsid w:val="004F72C0"/>
    <w:rPr>
      <w:color w:val="605E5C"/>
      <w:shd w:val="clear" w:color="auto" w:fill="E1DFDD"/>
    </w:rPr>
  </w:style>
  <w:style w:type="character" w:styleId="FollowedHyperlink">
    <w:name w:val="FollowedHyperlink"/>
    <w:semiHidden/>
    <w:rsid w:val="00B93C59"/>
    <w:rPr>
      <w:color w:val="0000FF"/>
      <w:u w:val="none"/>
    </w:rPr>
  </w:style>
  <w:style w:type="table" w:styleId="TableGrid">
    <w:name w:val="Table Grid"/>
    <w:basedOn w:val="TableNormal"/>
    <w:uiPriority w:val="59"/>
    <w:rsid w:val="00EE7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43BDC"/>
    <w:rPr>
      <w:sz w:val="24"/>
      <w:lang w:val="en-US" w:eastAsia="en-US"/>
    </w:rPr>
  </w:style>
  <w:style w:type="paragraph" w:customStyle="1" w:styleId="Default">
    <w:name w:val="Default"/>
    <w:rsid w:val="002D4A58"/>
    <w:pPr>
      <w:autoSpaceDE w:val="0"/>
      <w:autoSpaceDN w:val="0"/>
      <w:adjustRightInd w:val="0"/>
    </w:pPr>
    <w:rPr>
      <w:rFonts w:ascii="Calibri" w:hAnsi="Calibri" w:cs="Calibri"/>
      <w:color w:val="000000"/>
      <w:sz w:val="24"/>
      <w:szCs w:val="24"/>
      <w:lang w:val="en-US"/>
    </w:rPr>
  </w:style>
  <w:style w:type="paragraph" w:styleId="BalloonText">
    <w:name w:val="Balloon Text"/>
    <w:basedOn w:val="Normal"/>
    <w:link w:val="BalloonTextChar"/>
    <w:semiHidden/>
    <w:unhideWhenUsed/>
    <w:rsid w:val="00650E56"/>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650E56"/>
    <w:rPr>
      <w:rFonts w:ascii="Segoe UI" w:hAnsi="Segoe UI" w:cs="Segoe UI"/>
      <w:sz w:val="18"/>
      <w:szCs w:val="18"/>
      <w:lang w:val="en-US" w:eastAsia="en-US"/>
    </w:rPr>
  </w:style>
  <w:style w:type="paragraph" w:customStyle="1" w:styleId="CPTInstructional">
    <w:name w:val="CPT_Instructional"/>
    <w:basedOn w:val="Normal"/>
    <w:qFormat/>
    <w:rsid w:val="00650E56"/>
    <w:pPr>
      <w:widowControl w:val="0"/>
      <w:autoSpaceDE w:val="0"/>
      <w:autoSpaceDN w:val="0"/>
      <w:adjustRightInd w:val="0"/>
      <w:spacing w:before="120" w:after="120" w:line="280" w:lineRule="atLeast"/>
      <w:jc w:val="left"/>
    </w:pPr>
    <w:rPr>
      <w:rFonts w:ascii="Calibri" w:hAnsi="Calibri" w:cs="Arial"/>
      <w:vanish/>
      <w:color w:val="FF0000"/>
      <w:sz w:val="22"/>
    </w:rPr>
  </w:style>
  <w:style w:type="paragraph" w:customStyle="1" w:styleId="listindentbull">
    <w:name w:val="list:indent bull"/>
    <w:link w:val="listindentbullChar"/>
    <w:rsid w:val="00E22783"/>
    <w:pPr>
      <w:numPr>
        <w:numId w:val="2"/>
      </w:numPr>
      <w:spacing w:after="200" w:line="276" w:lineRule="auto"/>
      <w:contextualSpacing/>
    </w:pPr>
    <w:rPr>
      <w:sz w:val="24"/>
      <w:szCs w:val="24"/>
      <w:lang w:val="en-GB" w:eastAsia="en-US"/>
    </w:rPr>
  </w:style>
  <w:style w:type="character" w:customStyle="1" w:styleId="listindentbullChar">
    <w:name w:val="list:indent bull Char"/>
    <w:link w:val="listindentbull"/>
    <w:locked/>
    <w:rsid w:val="00E22783"/>
    <w:rPr>
      <w:sz w:val="24"/>
      <w:szCs w:val="24"/>
      <w:lang w:val="en-GB" w:eastAsia="en-US"/>
    </w:rPr>
  </w:style>
  <w:style w:type="paragraph" w:customStyle="1" w:styleId="HeadingNoTOC">
    <w:name w:val="Heading (No TOC)"/>
    <w:next w:val="Normal"/>
    <w:uiPriority w:val="99"/>
    <w:qFormat/>
    <w:rsid w:val="00103985"/>
    <w:pPr>
      <w:widowControl w:val="0"/>
      <w:autoSpaceDE w:val="0"/>
      <w:autoSpaceDN w:val="0"/>
      <w:adjustRightInd w:val="0"/>
      <w:spacing w:before="240"/>
    </w:pPr>
    <w:rPr>
      <w:rFonts w:ascii="Times New Roman Bold" w:eastAsiaTheme="minorEastAsia" w:hAnsi="Times New Roman Bold" w:cs="Cordia New"/>
      <w:sz w:val="24"/>
      <w:szCs w:val="24"/>
      <w:lang w:val="en-US" w:eastAsia="en-US"/>
    </w:rPr>
  </w:style>
  <w:style w:type="paragraph" w:customStyle="1" w:styleId="listbull">
    <w:name w:val="list:bull"/>
    <w:basedOn w:val="Normal"/>
    <w:link w:val="listbullChar"/>
    <w:rsid w:val="00103985"/>
    <w:pPr>
      <w:numPr>
        <w:numId w:val="3"/>
      </w:numPr>
      <w:spacing w:before="120" w:after="120"/>
      <w:jc w:val="left"/>
    </w:pPr>
    <w:rPr>
      <w:szCs w:val="24"/>
      <w:lang w:val="en-GB"/>
    </w:rPr>
  </w:style>
  <w:style w:type="character" w:customStyle="1" w:styleId="listbullChar">
    <w:name w:val="list:bull Char"/>
    <w:basedOn w:val="DefaultParagraphFont"/>
    <w:link w:val="listbull"/>
    <w:rsid w:val="00103985"/>
    <w:rPr>
      <w:sz w:val="24"/>
      <w:szCs w:val="24"/>
      <w:lang w:val="en-GB" w:eastAsia="en-US"/>
    </w:rPr>
  </w:style>
  <w:style w:type="character" w:customStyle="1" w:styleId="CPTVariable">
    <w:name w:val="CPT_Variable"/>
    <w:basedOn w:val="DefaultParagraphFont"/>
    <w:uiPriority w:val="1"/>
    <w:qFormat/>
    <w:rsid w:val="00103985"/>
    <w:rPr>
      <w:color w:val="0070C0"/>
    </w:rPr>
  </w:style>
  <w:style w:type="paragraph" w:styleId="ListParagraph">
    <w:name w:val="List Paragraph"/>
    <w:basedOn w:val="Normal"/>
    <w:link w:val="ListParagraphChar"/>
    <w:uiPriority w:val="34"/>
    <w:qFormat/>
    <w:rsid w:val="00103985"/>
    <w:pPr>
      <w:spacing w:before="14" w:after="144" w:line="300" w:lineRule="atLeast"/>
      <w:contextualSpacing/>
      <w:jc w:val="left"/>
    </w:pPr>
    <w:rPr>
      <w:szCs w:val="24"/>
    </w:rPr>
  </w:style>
  <w:style w:type="character" w:customStyle="1" w:styleId="ListParagraphChar">
    <w:name w:val="List Paragraph Char"/>
    <w:basedOn w:val="DefaultParagraphFont"/>
    <w:link w:val="ListParagraph"/>
    <w:uiPriority w:val="34"/>
    <w:locked/>
    <w:rsid w:val="00103985"/>
    <w:rPr>
      <w:sz w:val="24"/>
      <w:szCs w:val="24"/>
      <w:lang w:val="en-US" w:eastAsia="en-US"/>
    </w:rPr>
  </w:style>
  <w:style w:type="character" w:styleId="CommentReference">
    <w:name w:val="annotation reference"/>
    <w:basedOn w:val="DefaultParagraphFont"/>
    <w:unhideWhenUsed/>
    <w:rsid w:val="00B61DF9"/>
    <w:rPr>
      <w:sz w:val="16"/>
      <w:szCs w:val="16"/>
    </w:rPr>
  </w:style>
  <w:style w:type="paragraph" w:styleId="CommentText">
    <w:name w:val="annotation text"/>
    <w:aliases w:val=" Zchn Zchn1,Annotationtext,Comment Text Char Char Char Char,Comment Text Char Char Char1,Comment Text Char Char1 Char,Comment Text Char Char2,Comment Text Char1 Char Char,Comment Text Char1 Char1,Comment Text Char2,Comments,Zchn Zchn1"/>
    <w:basedOn w:val="Normal"/>
    <w:link w:val="CommentTextChar"/>
    <w:uiPriority w:val="99"/>
    <w:unhideWhenUsed/>
    <w:qFormat/>
    <w:rsid w:val="00B61DF9"/>
    <w:pPr>
      <w:spacing w:before="120" w:after="120"/>
      <w:jc w:val="left"/>
    </w:pPr>
    <w:rPr>
      <w:rFonts w:eastAsia="Calibri" w:cs="Cordia New"/>
      <w:sz w:val="20"/>
    </w:rPr>
  </w:style>
  <w:style w:type="character" w:customStyle="1" w:styleId="CommentTextChar">
    <w:name w:val="Comment Text Char"/>
    <w:aliases w:val=" Zchn Zchn1 Char,Annotationtext Char,Comment Text Char Char Char Char Char,Comment Text Char Char Char1 Char,Comment Text Char Char1 Char Char,Comment Text Char Char2 Char,Comment Text Char1 Char Char Char,Comment Text Char1 Char1 Char"/>
    <w:basedOn w:val="DefaultParagraphFont"/>
    <w:link w:val="CommentText"/>
    <w:uiPriority w:val="99"/>
    <w:rsid w:val="00B61DF9"/>
    <w:rPr>
      <w:rFonts w:eastAsia="Calibri" w:cs="Cordia New"/>
      <w:lang w:val="en-US" w:eastAsia="en-US"/>
    </w:rPr>
  </w:style>
  <w:style w:type="paragraph" w:customStyle="1" w:styleId="TableHeaderText">
    <w:name w:val="Table Header Text"/>
    <w:basedOn w:val="Normal"/>
    <w:rsid w:val="00D528AA"/>
    <w:pPr>
      <w:spacing w:before="60" w:after="60"/>
      <w:jc w:val="center"/>
    </w:pPr>
    <w:rPr>
      <w:b/>
      <w:color w:val="000000"/>
    </w:rPr>
  </w:style>
  <w:style w:type="paragraph" w:customStyle="1" w:styleId="Heading2unnumbered">
    <w:name w:val="Heading 2 unnumbered"/>
    <w:basedOn w:val="Heading2"/>
    <w:next w:val="BodyText"/>
    <w:rsid w:val="0053428B"/>
    <w:pPr>
      <w:numPr>
        <w:ilvl w:val="0"/>
        <w:numId w:val="0"/>
      </w:numPr>
    </w:pPr>
  </w:style>
  <w:style w:type="paragraph" w:styleId="CommentSubject">
    <w:name w:val="annotation subject"/>
    <w:basedOn w:val="CommentText"/>
    <w:next w:val="CommentText"/>
    <w:link w:val="CommentSubjectChar"/>
    <w:semiHidden/>
    <w:unhideWhenUsed/>
    <w:rsid w:val="0077701B"/>
    <w:pPr>
      <w:spacing w:before="240" w:after="0"/>
      <w:jc w:val="both"/>
    </w:pPr>
    <w:rPr>
      <w:rFonts w:eastAsia="Times New Roman" w:cs="Times New Roman"/>
      <w:b/>
      <w:bCs/>
    </w:rPr>
  </w:style>
  <w:style w:type="character" w:customStyle="1" w:styleId="CommentSubjectChar">
    <w:name w:val="Comment Subject Char"/>
    <w:basedOn w:val="CommentTextChar"/>
    <w:link w:val="CommentSubject"/>
    <w:semiHidden/>
    <w:rsid w:val="0077701B"/>
    <w:rPr>
      <w:rFonts w:eastAsia="Calibri" w:cs="Cordia New"/>
      <w:b/>
      <w:bCs/>
      <w:lang w:val="en-US" w:eastAsia="en-US"/>
    </w:rPr>
  </w:style>
  <w:style w:type="paragraph" w:styleId="NormalWeb">
    <w:name w:val="Normal (Web)"/>
    <w:basedOn w:val="Normal"/>
    <w:uiPriority w:val="99"/>
    <w:unhideWhenUsed/>
    <w:rsid w:val="000454FA"/>
    <w:pPr>
      <w:spacing w:before="100" w:beforeAutospacing="1" w:after="100" w:afterAutospacing="1"/>
      <w:jc w:val="left"/>
    </w:pPr>
    <w:rPr>
      <w:szCs w:val="24"/>
    </w:rPr>
  </w:style>
  <w:style w:type="character" w:styleId="PlaceholderText">
    <w:name w:val="Placeholder Text"/>
    <w:uiPriority w:val="99"/>
    <w:rsid w:val="00D93F22"/>
    <w:rPr>
      <w:color w:val="808080"/>
    </w:rPr>
  </w:style>
  <w:style w:type="paragraph" w:customStyle="1" w:styleId="CPTExample">
    <w:name w:val="CPT_Example"/>
    <w:basedOn w:val="Normal"/>
    <w:next w:val="Normal"/>
    <w:rsid w:val="002C559A"/>
    <w:pPr>
      <w:spacing w:before="120" w:after="120" w:line="280" w:lineRule="atLeast"/>
      <w:jc w:val="left"/>
    </w:pPr>
    <w:rPr>
      <w:rFonts w:ascii="Arial" w:hAnsi="Arial"/>
      <w:i/>
      <w:color w:val="00B050"/>
      <w:sz w:val="20"/>
    </w:rPr>
  </w:style>
  <w:style w:type="paragraph" w:customStyle="1" w:styleId="SubheadingBold12">
    <w:name w:val="Subheading Bold 12"/>
    <w:basedOn w:val="Normal"/>
    <w:qFormat/>
    <w:rsid w:val="00383716"/>
    <w:pPr>
      <w:keepNext/>
      <w:spacing w:after="120"/>
      <w:jc w:val="left"/>
    </w:pPr>
    <w:rPr>
      <w:rFonts w:eastAsiaTheme="minorHAnsi"/>
      <w:b/>
      <w:bCs/>
      <w:szCs w:val="24"/>
      <w:lang w:val="en-GB" w:eastAsia="en-GB"/>
    </w:rPr>
  </w:style>
  <w:style w:type="paragraph" w:customStyle="1" w:styleId="paragraph">
    <w:name w:val="paragraph"/>
    <w:basedOn w:val="Normal"/>
    <w:rsid w:val="00B21D68"/>
    <w:pPr>
      <w:spacing w:before="100" w:beforeAutospacing="1" w:after="100" w:afterAutospacing="1"/>
      <w:jc w:val="left"/>
    </w:pPr>
    <w:rPr>
      <w:szCs w:val="24"/>
    </w:rPr>
  </w:style>
  <w:style w:type="character" w:customStyle="1" w:styleId="normaltextrun">
    <w:name w:val="normaltextrun"/>
    <w:basedOn w:val="DefaultParagraphFont"/>
    <w:rsid w:val="00B21D68"/>
  </w:style>
  <w:style w:type="character" w:customStyle="1" w:styleId="eop">
    <w:name w:val="eop"/>
    <w:basedOn w:val="DefaultParagraphFont"/>
    <w:rsid w:val="00B21D68"/>
  </w:style>
  <w:style w:type="character" w:customStyle="1" w:styleId="spellingerror">
    <w:name w:val="spellingerror"/>
    <w:basedOn w:val="DefaultParagraphFont"/>
    <w:rsid w:val="00B21D68"/>
  </w:style>
  <w:style w:type="character" w:customStyle="1" w:styleId="contextualspellingandgrammarerror">
    <w:name w:val="contextualspellingandgrammarerror"/>
    <w:basedOn w:val="DefaultParagraphFont"/>
    <w:rsid w:val="00B21D68"/>
  </w:style>
  <w:style w:type="paragraph" w:styleId="DocumentMap">
    <w:name w:val="Document Map"/>
    <w:basedOn w:val="Normal"/>
    <w:link w:val="DocumentMapChar"/>
    <w:semiHidden/>
    <w:rsid w:val="00B93C59"/>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755CB1"/>
    <w:rPr>
      <w:rFonts w:ascii="Tahoma" w:hAnsi="Tahoma" w:cs="Tahoma"/>
      <w:shd w:val="clear" w:color="auto" w:fill="000080"/>
      <w:lang w:val="en-US" w:eastAsia="en-US"/>
    </w:rPr>
  </w:style>
  <w:style w:type="character" w:styleId="EndnoteReference">
    <w:name w:val="endnote reference"/>
    <w:semiHidden/>
    <w:rsid w:val="00B93C59"/>
    <w:rPr>
      <w:color w:val="auto"/>
      <w:vertAlign w:val="superscript"/>
    </w:rPr>
  </w:style>
  <w:style w:type="paragraph" w:styleId="EndnoteText">
    <w:name w:val="endnote text"/>
    <w:basedOn w:val="BodyText"/>
    <w:link w:val="EndnoteTextChar"/>
    <w:semiHidden/>
    <w:rsid w:val="00B93C59"/>
  </w:style>
  <w:style w:type="character" w:customStyle="1" w:styleId="EndnoteTextChar">
    <w:name w:val="Endnote Text Char"/>
    <w:basedOn w:val="DefaultParagraphFont"/>
    <w:link w:val="EndnoteText"/>
    <w:semiHidden/>
    <w:rsid w:val="00755CB1"/>
    <w:rPr>
      <w:sz w:val="24"/>
      <w:lang w:val="en-US" w:eastAsia="en-US"/>
    </w:rPr>
  </w:style>
  <w:style w:type="character" w:customStyle="1" w:styleId="UnresolvedMention2">
    <w:name w:val="Unresolved Mention2"/>
    <w:basedOn w:val="DefaultParagraphFont"/>
    <w:uiPriority w:val="99"/>
    <w:unhideWhenUsed/>
    <w:rsid w:val="00FC7DDB"/>
    <w:rPr>
      <w:color w:val="605E5C"/>
      <w:shd w:val="clear" w:color="auto" w:fill="E1DFDD"/>
    </w:rPr>
  </w:style>
  <w:style w:type="character" w:customStyle="1" w:styleId="UnresolvedMention3">
    <w:name w:val="Unresolved Mention3"/>
    <w:basedOn w:val="DefaultParagraphFont"/>
    <w:uiPriority w:val="99"/>
    <w:unhideWhenUsed/>
    <w:rsid w:val="00272845"/>
    <w:rPr>
      <w:color w:val="605E5C"/>
      <w:shd w:val="clear" w:color="auto" w:fill="E1DFDD"/>
    </w:rPr>
  </w:style>
  <w:style w:type="character" w:customStyle="1" w:styleId="UnresolvedMention4">
    <w:name w:val="Unresolved Mention4"/>
    <w:basedOn w:val="DefaultParagraphFont"/>
    <w:uiPriority w:val="99"/>
    <w:unhideWhenUsed/>
    <w:rsid w:val="00AF737F"/>
    <w:rPr>
      <w:color w:val="605E5C"/>
      <w:shd w:val="clear" w:color="auto" w:fill="E1DFDD"/>
    </w:rPr>
  </w:style>
  <w:style w:type="character" w:customStyle="1" w:styleId="UnresolvedMention5">
    <w:name w:val="Unresolved Mention5"/>
    <w:basedOn w:val="DefaultParagraphFont"/>
    <w:uiPriority w:val="99"/>
    <w:rsid w:val="004514AD"/>
    <w:rPr>
      <w:color w:val="605E5C"/>
      <w:shd w:val="clear" w:color="auto" w:fill="E1DFDD"/>
    </w:rPr>
  </w:style>
  <w:style w:type="character" w:customStyle="1" w:styleId="Mention1">
    <w:name w:val="Mention1"/>
    <w:basedOn w:val="DefaultParagraphFont"/>
    <w:rsid w:val="004514AD"/>
    <w:rPr>
      <w:color w:val="2B579A"/>
      <w:shd w:val="clear" w:color="auto" w:fill="E1DFDD"/>
    </w:rPr>
  </w:style>
  <w:style w:type="paragraph" w:styleId="ListBullet2">
    <w:name w:val="List Bullet 2"/>
    <w:basedOn w:val="Normal"/>
    <w:semiHidden/>
    <w:unhideWhenUsed/>
    <w:rsid w:val="008200D1"/>
    <w:pPr>
      <w:numPr>
        <w:numId w:val="13"/>
      </w:numPr>
      <w:spacing w:before="120" w:after="120" w:line="280" w:lineRule="atLeast"/>
      <w:contextualSpacing/>
      <w:jc w:val="left"/>
    </w:pPr>
    <w:rPr>
      <w:rFonts w:eastAsia="Calibri" w:cs="Cordia New"/>
      <w:szCs w:val="22"/>
    </w:rPr>
  </w:style>
  <w:style w:type="character" w:customStyle="1" w:styleId="Tabletext0">
    <w:name w:val="Table text (文字)"/>
    <w:rsid w:val="00753883"/>
    <w:rPr>
      <w:rFonts w:ascii="Arial" w:hAnsi="Arial"/>
      <w:sz w:val="18"/>
      <w:lang w:val="en-US" w:eastAsia="en-US"/>
    </w:rPr>
  </w:style>
  <w:style w:type="table" w:customStyle="1" w:styleId="TableGrid1">
    <w:name w:val="Table Grid1"/>
    <w:basedOn w:val="TableNormal"/>
    <w:uiPriority w:val="59"/>
    <w:rsid w:val="00753883"/>
    <w:pPr>
      <w:spacing w:before="240"/>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PTB">
    <w:name w:val="CPT_B"/>
    <w:uiPriority w:val="99"/>
    <w:rsid w:val="000E7A92"/>
    <w:pPr>
      <w:numPr>
        <w:numId w:val="14"/>
      </w:numPr>
    </w:pPr>
  </w:style>
  <w:style w:type="paragraph" w:customStyle="1" w:styleId="CPTListBullet">
    <w:name w:val="CPT_List Bullet"/>
    <w:basedOn w:val="Normal"/>
    <w:qFormat/>
    <w:rsid w:val="000E7A92"/>
    <w:pPr>
      <w:spacing w:before="0" w:after="120"/>
      <w:ind w:left="720" w:hanging="360"/>
      <w:jc w:val="left"/>
    </w:pPr>
    <w:rPr>
      <w:rFonts w:eastAsia="Calibri"/>
      <w:szCs w:val="22"/>
    </w:rPr>
  </w:style>
  <w:style w:type="paragraph" w:customStyle="1" w:styleId="TableText1">
    <w:name w:val="Table Text"/>
    <w:link w:val="TableTextChar1"/>
    <w:qFormat/>
    <w:rsid w:val="00C26E5B"/>
    <w:pPr>
      <w:tabs>
        <w:tab w:val="left" w:pos="288"/>
        <w:tab w:val="left" w:pos="576"/>
        <w:tab w:val="left" w:pos="864"/>
      </w:tabs>
      <w:spacing w:before="60" w:after="60"/>
    </w:pPr>
    <w:rPr>
      <w:sz w:val="24"/>
      <w:lang w:val="en-US" w:eastAsia="en-US"/>
    </w:rPr>
  </w:style>
  <w:style w:type="character" w:customStyle="1" w:styleId="TableTextChar1">
    <w:name w:val="Table Text Char1"/>
    <w:link w:val="TableText1"/>
    <w:rsid w:val="00C26E5B"/>
    <w:rPr>
      <w:sz w:val="24"/>
      <w:lang w:val="en-US" w:eastAsia="en-US"/>
    </w:rPr>
  </w:style>
  <w:style w:type="paragraph" w:customStyle="1" w:styleId="listalpha">
    <w:name w:val="list:alpha"/>
    <w:basedOn w:val="Normal"/>
    <w:rsid w:val="000C1313"/>
    <w:pPr>
      <w:numPr>
        <w:numId w:val="16"/>
      </w:numPr>
      <w:spacing w:before="120" w:after="120"/>
      <w:jc w:val="left"/>
    </w:pPr>
    <w:rPr>
      <w:szCs w:val="24"/>
      <w:lang w:val="en-GB"/>
    </w:rPr>
  </w:style>
  <w:style w:type="character" w:customStyle="1" w:styleId="Heading2Char">
    <w:name w:val="Heading 2 Char"/>
    <w:basedOn w:val="DefaultParagraphFont"/>
    <w:link w:val="Heading2"/>
    <w:rsid w:val="00D3748A"/>
    <w:rPr>
      <w:b/>
      <w:sz w:val="28"/>
      <w:lang w:val="en-US" w:eastAsia="en-US"/>
    </w:rPr>
  </w:style>
  <w:style w:type="character" w:styleId="Strong">
    <w:name w:val="Strong"/>
    <w:basedOn w:val="DefaultParagraphFont"/>
    <w:uiPriority w:val="22"/>
    <w:qFormat/>
    <w:rsid w:val="002F6842"/>
    <w:rPr>
      <w:b/>
      <w:bCs/>
    </w:rPr>
  </w:style>
  <w:style w:type="character" w:customStyle="1" w:styleId="List1withbulletChar">
    <w:name w:val="List 1 with bullet Char"/>
    <w:basedOn w:val="DefaultParagraphFont"/>
    <w:link w:val="List1withbullet"/>
    <w:locked/>
    <w:rsid w:val="00F74889"/>
    <w:rPr>
      <w:sz w:val="24"/>
      <w:lang w:val="en-US" w:eastAsia="en-US"/>
    </w:rPr>
  </w:style>
  <w:style w:type="character" w:customStyle="1" w:styleId="UnresolvedMention6">
    <w:name w:val="Unresolved Mention6"/>
    <w:basedOn w:val="DefaultParagraphFont"/>
    <w:uiPriority w:val="99"/>
    <w:rsid w:val="00A564EC"/>
    <w:rPr>
      <w:color w:val="605E5C"/>
      <w:shd w:val="clear" w:color="auto" w:fill="E1DFDD"/>
    </w:rPr>
  </w:style>
  <w:style w:type="character" w:customStyle="1" w:styleId="UnresolvedMention7">
    <w:name w:val="Unresolved Mention7"/>
    <w:basedOn w:val="DefaultParagraphFont"/>
    <w:rsid w:val="00D06D0B"/>
    <w:rPr>
      <w:color w:val="605E5C"/>
      <w:shd w:val="clear" w:color="auto" w:fill="E1DFDD"/>
    </w:rPr>
  </w:style>
  <w:style w:type="character" w:customStyle="1" w:styleId="UnresolvedMention8">
    <w:name w:val="Unresolved Mention8"/>
    <w:basedOn w:val="DefaultParagraphFont"/>
    <w:uiPriority w:val="99"/>
    <w:unhideWhenUsed/>
    <w:rsid w:val="00F25168"/>
    <w:rPr>
      <w:color w:val="605E5C"/>
      <w:shd w:val="clear" w:color="auto" w:fill="E1DFDD"/>
    </w:rPr>
  </w:style>
  <w:style w:type="character" w:customStyle="1" w:styleId="UnresolvedMention9">
    <w:name w:val="Unresolved Mention9"/>
    <w:basedOn w:val="DefaultParagraphFont"/>
    <w:uiPriority w:val="99"/>
    <w:unhideWhenUsed/>
    <w:rsid w:val="00343EEB"/>
    <w:rPr>
      <w:color w:val="605E5C"/>
      <w:shd w:val="clear" w:color="auto" w:fill="E1DFDD"/>
    </w:rPr>
  </w:style>
  <w:style w:type="character" w:customStyle="1" w:styleId="UnresolvedMention10">
    <w:name w:val="Unresolved Mention10"/>
    <w:basedOn w:val="DefaultParagraphFont"/>
    <w:uiPriority w:val="99"/>
    <w:rsid w:val="00015815"/>
    <w:rPr>
      <w:color w:val="605E5C"/>
      <w:shd w:val="clear" w:color="auto" w:fill="E1DFDD"/>
    </w:rPr>
  </w:style>
  <w:style w:type="character" w:styleId="UnresolvedMention">
    <w:name w:val="Unresolved Mention"/>
    <w:basedOn w:val="DefaultParagraphFont"/>
    <w:uiPriority w:val="99"/>
    <w:rsid w:val="006E7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file:///C:\Users\m232437\AppData\Local\Temp\cara\Carbamazepine%20USP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2340\Desktop\Master%20ELDORADO%20Template%20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90C62D6EE39942BD2979DD447DF487" ma:contentTypeVersion="0" ma:contentTypeDescription="Create a new document." ma:contentTypeScope="" ma:versionID="22adc43d121c1e825f257efa677649c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3A7B4B-1FBF-4651-BBD1-4060FEC63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DAEE25-5506-4E9A-B5EE-BCB67DAA61FB}">
  <ds:schemaRefs>
    <ds:schemaRef ds:uri="http://schemas.microsoft.com/sharepoint/v3/contenttype/forms"/>
  </ds:schemaRefs>
</ds:datastoreItem>
</file>

<file path=customXml/itemProps3.xml><?xml version="1.0" encoding="utf-8"?>
<ds:datastoreItem xmlns:ds="http://schemas.openxmlformats.org/officeDocument/2006/customXml" ds:itemID="{FA1D0832-BE56-4533-9FC0-353C532FFE8A}">
  <ds:schemaRefs>
    <ds:schemaRef ds:uri="http://schemas.openxmlformats.org/officeDocument/2006/bibliography"/>
  </ds:schemaRefs>
</ds:datastoreItem>
</file>

<file path=customXml/itemProps4.xml><?xml version="1.0" encoding="utf-8"?>
<ds:datastoreItem xmlns:ds="http://schemas.openxmlformats.org/officeDocument/2006/customXml" ds:itemID="{2186CC06-1DC1-4DED-9071-5E162F360B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Master ELDORADO Template v0.2.dot</Template>
  <TotalTime>0</TotalTime>
  <Pages>68</Pages>
  <Words>19451</Words>
  <Characters>126050</Characters>
  <Application>Microsoft Office Word</Application>
  <DocSecurity>0</DocSecurity>
  <Lines>1050</Lines>
  <Paragraphs>290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Clinical Study Protocol Template</vt:lpstr>
      <vt:lpstr>Clinical Study Protocol Template</vt:lpstr>
    </vt:vector>
  </TitlesOfParts>
  <Company>Merck KGaA</Company>
  <LinksUpToDate>false</LinksUpToDate>
  <CharactersWithSpaces>145211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Study Protocol Template</dc:title>
  <dc:creator>Antonia Valakas</dc:creator>
  <dc:description>version 15</dc:description>
  <cp:lastModifiedBy>Rainer Strotmann</cp:lastModifiedBy>
  <cp:revision>2</cp:revision>
  <cp:lastPrinted>2021-07-21T13:08:00Z</cp:lastPrinted>
  <dcterms:created xsi:type="dcterms:W3CDTF">2021-09-14T16:39:00Z</dcterms:created>
  <dcterms:modified xsi:type="dcterms:W3CDTF">2021-09-14T16:39:00Z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0x0101003B90C62D6EE39942BD2979DD447DF487</vt:lpwstr>
  </property>
</Properties>
</file>