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 рецензент</w:t>
            </w:r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ООО «Рецензент рецензент»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ПРОТОТИПА ЦИФРОВОГО ДВОЙНИКА НА ОСНОВЕ РЕСУРСОВ ОБЛАЧНОЙ  ВЫЧИСЛИТЕЛЬНОЙ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(нормоконтролер)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Borodulin, G. Radchenko, A. Shestakov, L. Sokolinsky, A. Tchernykh, R. Prodan, "Towards Digital Twins Cloud Platform: Microservices and Computational Workflows to Rule a Smart Factory", Proc. the10th Int. </w:t>
      </w:r>
      <w:r>
        <w:t>Conf. Util. Cloud Comput. - UCC '17, pp. 209-210, December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Alaasam, A. Tchernykh,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r>
        <w:t>Conf. Util. Cloud Comput. – UCC '18, pp. 83-88, December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EndPr/>
      <w:sdtContent>
        <w:p w14:paraId="1B7EA6D7" w14:textId="77777777" w:rsidR="00785A9B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Cs w:val="28"/>
              </w:rPr>
              <w:t>ГЛОССАРИЙ</w:t>
            </w:r>
            <w:r>
              <w:rPr>
                <w:color w:val="000000"/>
                <w:szCs w:val="28"/>
              </w:rPr>
              <w:tab/>
              <w:t>5</w:t>
            </w:r>
          </w:hyperlink>
        </w:p>
        <w:p w14:paraId="64D357C6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F3B59">
              <w:rPr>
                <w:color w:val="000000"/>
                <w:szCs w:val="28"/>
              </w:rPr>
              <w:t>ВВЕДЕНИЕ</w:t>
            </w:r>
            <w:r w:rsidR="00BF3B59">
              <w:rPr>
                <w:color w:val="000000"/>
                <w:szCs w:val="28"/>
              </w:rPr>
              <w:tab/>
              <w:t>6</w:t>
            </w:r>
          </w:hyperlink>
        </w:p>
        <w:p w14:paraId="1ADB46AF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F3B59">
              <w:rPr>
                <w:color w:val="000000"/>
                <w:szCs w:val="28"/>
              </w:rPr>
              <w:t>1. КОНЦЕПЦИЯ ИНТЕРНЕТА ВЕЩЕЙ, ОБЛАЧНЫХ ВЫЧИСЛЕНИЙ И ЦИФРОВЫХ ДВОЙНИКОВ</w:t>
            </w:r>
            <w:r w:rsidR="00BF3B59">
              <w:rPr>
                <w:color w:val="000000"/>
                <w:szCs w:val="28"/>
              </w:rPr>
              <w:tab/>
              <w:t>9</w:t>
            </w:r>
          </w:hyperlink>
        </w:p>
        <w:p w14:paraId="693375CC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BF3B59">
              <w:rPr>
                <w:color w:val="000000"/>
                <w:szCs w:val="28"/>
              </w:rPr>
              <w:t>2. АНАЛИЗ ПРЕДМЕТНОЙ ОБЛАСТИ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763B0539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345"/>
            </w:tabs>
            <w:spacing w:after="100"/>
            <w:ind w:left="284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BF3B59">
              <w:rPr>
                <w:color w:val="000000"/>
                <w:szCs w:val="28"/>
              </w:rPr>
              <w:t>2.1. Обзор технологий для обработки данных, генерируемых устройствами Интернета вещей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51444E0C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BF3B59">
              <w:rPr>
                <w:color w:val="000000"/>
                <w:szCs w:val="28"/>
              </w:rPr>
              <w:t>3. МОДЕЛЬ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44730364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BF3B59">
              <w:rPr>
                <w:smallCaps/>
                <w:color w:val="000000"/>
                <w:szCs w:val="28"/>
              </w:rPr>
              <w:t>4.</w:t>
            </w:r>
          </w:hyperlink>
          <w:hyperlink w:anchor="_3dy6vkm">
            <w:r w:rsidR="00BF3B59">
              <w:rPr>
                <w:color w:val="000000"/>
                <w:szCs w:val="28"/>
              </w:rPr>
              <w:t xml:space="preserve"> АРХИТЕКТУРА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B55F5CA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BF3B59">
              <w:rPr>
                <w:color w:val="000000"/>
                <w:szCs w:val="28"/>
              </w:rPr>
              <w:t>5. РЕАЛИЗАЦИЯ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7BC2ED6B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BF3B59">
              <w:rPr>
                <w:color w:val="000000"/>
                <w:szCs w:val="28"/>
              </w:rPr>
              <w:t>6. ТЕСТИРОВАНИЕ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01B1411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BF3B59">
              <w:rPr>
                <w:color w:val="000000"/>
                <w:szCs w:val="28"/>
              </w:rPr>
              <w:t>ЗАКЛЮЧЕНИЕ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29DD7CC3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BF3B59">
              <w:rPr>
                <w:color w:val="000000"/>
                <w:szCs w:val="28"/>
              </w:rPr>
              <w:t>ЛИТЕРАТУРА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3107FB3E" w14:textId="77777777" w:rsidR="00785A9B" w:rsidRDefault="00886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BF3B59">
              <w:rPr>
                <w:color w:val="000000"/>
                <w:szCs w:val="28"/>
              </w:rPr>
              <w:t>ПРИЛОЖЕНИЯ</w:t>
            </w:r>
            <w:r w:rsidR="00BF3B59">
              <w:rPr>
                <w:color w:val="000000"/>
                <w:szCs w:val="28"/>
              </w:rPr>
              <w:tab/>
              <w:t>18</w:t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>
      <w:pPr>
        <w:pStyle w:val="1"/>
        <w:widowControl w:val="0"/>
      </w:pPr>
      <w:bookmarkStart w:id="0" w:name="_gjdgxs" w:colFirst="0" w:colLast="0"/>
      <w:bookmarkEnd w:id="0"/>
      <w:r>
        <w:lastRenderedPageBreak/>
        <w:t>ГЛОССАРИЙ</w:t>
      </w:r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>
      <w:pPr>
        <w:pStyle w:val="1"/>
        <w:widowControl w:val="0"/>
        <w:ind w:left="357" w:hanging="357"/>
      </w:pPr>
      <w:bookmarkStart w:id="1" w:name="_30j0zll" w:colFirst="0" w:colLast="0"/>
      <w:bookmarkEnd w:id="1"/>
      <w:r>
        <w:lastRenderedPageBreak/>
        <w:t>ВВЕДЕНИЕ</w:t>
      </w:r>
    </w:p>
    <w:p w14:paraId="0A4C8C38" w14:textId="102488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[1].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ins w:id="2" w:author="Rostislav Bobin" w:date="2019-03-15T13:33:00Z">
        <w:r w:rsidR="00FE5915" w:rsidRPr="00FE5915">
          <w:rPr>
            <w:color w:val="000000"/>
            <w:szCs w:val="28"/>
            <w:rPrChange w:id="3" w:author="Rostislav Bobin" w:date="2019-03-15T13:33:00Z">
              <w:rPr>
                <w:color w:val="000000"/>
                <w:szCs w:val="28"/>
                <w:lang w:val="en-US"/>
              </w:rPr>
            </w:rPrChange>
          </w:rPr>
          <w:t xml:space="preserve"> [2]</w:t>
        </w:r>
      </w:ins>
      <w:commentRangeStart w:id="4"/>
      <w:r>
        <w:rPr>
          <w:color w:val="000000"/>
          <w:szCs w:val="28"/>
        </w:rPr>
        <w:t>.</w:t>
      </w:r>
      <w:del w:id="5" w:author="Rostislav Bobin" w:date="2019-03-15T13:33:00Z">
        <w:r w:rsidDel="00FE5915">
          <w:rPr>
            <w:color w:val="000000"/>
            <w:szCs w:val="28"/>
          </w:rPr>
          <w:delText xml:space="preserve"> [2]</w:delText>
        </w:r>
      </w:del>
      <w:r>
        <w:rPr>
          <w:color w:val="000000"/>
          <w:szCs w:val="28"/>
        </w:rPr>
        <w:t xml:space="preserve"> </w:t>
      </w:r>
      <w:commentRangeEnd w:id="4"/>
      <w:r w:rsidR="00553241">
        <w:rPr>
          <w:rStyle w:val="afc"/>
        </w:rPr>
        <w:commentReference w:id="4"/>
      </w:r>
    </w:p>
    <w:p w14:paraId="35AC00B5" w14:textId="0FDEB17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ins w:id="6" w:author="Rostislav Bobin" w:date="2019-03-15T13:33:00Z">
        <w:r w:rsidR="00FE5915">
          <w:rPr>
            <w:color w:val="000000"/>
            <w:szCs w:val="28"/>
            <w:lang w:val="en-US"/>
          </w:rPr>
          <w:t>Industrial</w:t>
        </w:r>
        <w:r w:rsidR="00FE5915" w:rsidRPr="00FE5915">
          <w:rPr>
            <w:color w:val="000000"/>
            <w:szCs w:val="28"/>
            <w:rPrChange w:id="7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Internet</w:t>
        </w:r>
        <w:r w:rsidR="00FE5915" w:rsidRPr="00FE5915">
          <w:rPr>
            <w:color w:val="000000"/>
            <w:szCs w:val="28"/>
            <w:rPrChange w:id="8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of</w:t>
        </w:r>
        <w:r w:rsidR="00FE5915" w:rsidRPr="00FE5915">
          <w:rPr>
            <w:color w:val="000000"/>
            <w:szCs w:val="28"/>
            <w:rPrChange w:id="9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Things</w:t>
        </w:r>
        <w:r w:rsidR="00FE5915" w:rsidRPr="00FE5915">
          <w:rPr>
            <w:color w:val="000000"/>
            <w:szCs w:val="28"/>
            <w:rPrChange w:id="10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, </w:t>
        </w:r>
      </w:ins>
      <w:commentRangeStart w:id="11"/>
      <w:r>
        <w:rPr>
          <w:color w:val="000000"/>
          <w:szCs w:val="28"/>
        </w:rPr>
        <w:t>IIoT</w:t>
      </w:r>
      <w:commentRangeEnd w:id="11"/>
      <w:r w:rsidR="00553241">
        <w:rPr>
          <w:rStyle w:val="afc"/>
        </w:rPr>
        <w:commentReference w:id="11"/>
      </w:r>
      <w:r>
        <w:rPr>
          <w:color w:val="000000"/>
          <w:szCs w:val="28"/>
        </w:rPr>
        <w:t>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[3]. Одним из преимуществ внедрения этого подхода является возможность создания цифрового двойника</w:t>
      </w:r>
      <w:ins w:id="12" w:author="Gleb Radchenko" w:date="2019-03-15T13:03:00Z">
        <w:r w:rsidR="00553241">
          <w:rPr>
            <w:color w:val="000000"/>
            <w:szCs w:val="28"/>
          </w:rPr>
          <w:t xml:space="preserve"> (Digital Twin)</w:t>
        </w:r>
      </w:ins>
      <w:ins w:id="13" w:author="Rostislav Bobin" w:date="2019-03-15T13:35:00Z">
        <w:r w:rsidR="00FE5915" w:rsidRPr="00FE5915">
          <w:rPr>
            <w:color w:val="000000"/>
            <w:szCs w:val="28"/>
            <w:rPrChange w:id="14" w:author="Rostislav Bobin" w:date="2019-03-15T13:35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</w:ins>
      <w:del w:id="15" w:author="Rostislav Bobin" w:date="2019-03-15T13:35:00Z">
        <w:r w:rsidDel="00FE5915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>разрабатываемой системы</w:t>
      </w:r>
      <w:del w:id="16" w:author="Rostislav Bobin" w:date="2019-03-15T13:35:00Z">
        <w:r w:rsidDel="00FE5915">
          <w:rPr>
            <w:color w:val="000000"/>
            <w:szCs w:val="28"/>
          </w:rPr>
          <w:delText xml:space="preserve"> </w:delText>
        </w:r>
      </w:del>
      <w:del w:id="17" w:author="Gleb Radchenko" w:date="2019-03-15T13:03:00Z">
        <w:r w:rsidDel="00553241">
          <w:rPr>
            <w:color w:val="000000"/>
            <w:szCs w:val="28"/>
          </w:rPr>
          <w:delText>(Digital Twin)</w:delText>
        </w:r>
      </w:del>
      <w:r>
        <w:rPr>
          <w:color w:val="000000"/>
          <w:szCs w:val="28"/>
        </w:rPr>
        <w:t>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</w:t>
      </w:r>
      <w:del w:id="18" w:author="Gleb Radchenko" w:date="2019-03-15T13:03:00Z">
        <w:r w:rsidDel="00553241">
          <w:rPr>
            <w:color w:val="000000"/>
            <w:szCs w:val="28"/>
          </w:rPr>
          <w:delText>. Эта концепция рассмотрена в статьях</w:delText>
        </w:r>
      </w:del>
      <w:r>
        <w:rPr>
          <w:color w:val="000000"/>
          <w:szCs w:val="28"/>
        </w:rPr>
        <w:t xml:space="preserve"> [4, 7].</w:t>
      </w:r>
    </w:p>
    <w:p w14:paraId="22A3FAB8" w14:textId="3F53D453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автоматизированность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ins w:id="19" w:author="Rostislav Bobin" w:date="2019-03-15T13:37:00Z">
        <w:r w:rsidR="00FE5915" w:rsidRPr="00FE5915">
          <w:rPr>
            <w:color w:val="000000"/>
            <w:szCs w:val="28"/>
            <w:rPrChange w:id="20" w:author="Rostislav Bobin" w:date="2019-03-15T13:37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</w:ins>
      <w:del w:id="21" w:author="Rostislav Bobin" w:date="2019-03-15T13:37:00Z">
        <w:r w:rsidDel="00FE5915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 xml:space="preserve">Это позволяет различным устройствам и системам взаимодействовать между собой, даже если они работают на основе разных стандартов и </w:t>
      </w:r>
      <w:commentRangeStart w:id="22"/>
      <w:r>
        <w:rPr>
          <w:color w:val="000000"/>
          <w:szCs w:val="28"/>
        </w:rPr>
        <w:t>протоколов</w:t>
      </w:r>
      <w:ins w:id="23" w:author="Rostislav Bobin" w:date="2019-03-15T13:55:00Z">
        <w:r w:rsidR="00725A86">
          <w:rPr>
            <w:color w:val="000000"/>
            <w:szCs w:val="28"/>
            <w:lang w:val="en-US"/>
          </w:rPr>
          <w:t> </w:t>
        </w:r>
      </w:ins>
      <w:ins w:id="24" w:author="Rostislav Bobin" w:date="2019-03-15T13:36:00Z">
        <w:r w:rsidR="00FE5915" w:rsidRPr="00FE5915">
          <w:rPr>
            <w:color w:val="000000"/>
            <w:szCs w:val="28"/>
            <w:rPrChange w:id="25" w:author="Rostislav Bobin" w:date="2019-03-15T13:36:00Z">
              <w:rPr>
                <w:color w:val="000000"/>
                <w:szCs w:val="28"/>
                <w:lang w:val="en-US"/>
              </w:rPr>
            </w:rPrChange>
          </w:rPr>
          <w:t xml:space="preserve">[5]. </w:t>
        </w:r>
      </w:ins>
      <w:del w:id="26" w:author="Rostislav Bobin" w:date="2019-03-15T13:36:00Z">
        <w:r w:rsidDel="00FE5915">
          <w:rPr>
            <w:color w:val="000000"/>
            <w:szCs w:val="28"/>
          </w:rPr>
          <w:delText xml:space="preserve"> [5]</w:delText>
        </w:r>
        <w:commentRangeEnd w:id="22"/>
        <w:r w:rsidR="00553241" w:rsidDel="00FE5915">
          <w:rPr>
            <w:rStyle w:val="afc"/>
          </w:rPr>
          <w:commentReference w:id="22"/>
        </w:r>
        <w:r w:rsidDel="00FE5915">
          <w:rPr>
            <w:color w:val="000000"/>
            <w:szCs w:val="28"/>
          </w:rPr>
          <w:delText xml:space="preserve">. </w:delText>
        </w:r>
      </w:del>
      <w:r>
        <w:rPr>
          <w:color w:val="000000"/>
          <w:szCs w:val="28"/>
        </w:rPr>
        <w:t xml:space="preserve"> </w:t>
      </w:r>
    </w:p>
    <w:p w14:paraId="28208E9D" w14:textId="700744BE" w:rsidR="00553241" w:rsidDel="00553241" w:rsidRDefault="00BF3B59" w:rsidP="009A15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del w:id="27" w:author="Gleb Radchenko" w:date="2019-03-15T13:06:00Z"/>
        </w:rPr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</w:t>
      </w:r>
      <w:commentRangeStart w:id="28"/>
      <w:r>
        <w:t>Microsoft Azure</w:t>
      </w:r>
      <w:commentRangeEnd w:id="28"/>
      <w:r w:rsidR="00553241">
        <w:rPr>
          <w:rStyle w:val="afc"/>
        </w:rPr>
        <w:commentReference w:id="28"/>
      </w:r>
      <w:ins w:id="29" w:author="Rostislav Bobin" w:date="2019-03-15T13:56:00Z">
        <w:r w:rsidR="00725A86" w:rsidRPr="00725A86">
          <w:rPr>
            <w:rPrChange w:id="30" w:author="Rostislav Bobin" w:date="2019-03-15T13:56:00Z">
              <w:rPr>
                <w:lang w:val="en-US"/>
              </w:rPr>
            </w:rPrChange>
          </w:rPr>
          <w:t xml:space="preserve"> [18]</w:t>
        </w:r>
      </w:ins>
      <w:r>
        <w:t xml:space="preserve"> и </w:t>
      </w:r>
      <w:commentRangeStart w:id="31"/>
      <w:r>
        <w:t>Amazon Web Services</w:t>
      </w:r>
      <w:commentRangeEnd w:id="31"/>
      <w:ins w:id="32" w:author="Rostislav Bobin" w:date="2019-03-15T13:56:00Z">
        <w:r w:rsidR="00725A86" w:rsidRPr="00725A86">
          <w:rPr>
            <w:rPrChange w:id="33" w:author="Rostislav Bobin" w:date="2019-03-15T13:56:00Z">
              <w:rPr>
                <w:lang w:val="en-US"/>
              </w:rPr>
            </w:rPrChange>
          </w:rPr>
          <w:t xml:space="preserve"> [19]</w:t>
        </w:r>
      </w:ins>
      <w:r w:rsidR="00553241">
        <w:rPr>
          <w:rStyle w:val="afc"/>
        </w:rPr>
        <w:commentReference w:id="31"/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</w:t>
      </w:r>
      <w:commentRangeStart w:id="34"/>
      <w:r>
        <w:t xml:space="preserve">двойников. </w:t>
      </w:r>
      <w:commentRangeEnd w:id="34"/>
      <w:r w:rsidR="00553241">
        <w:rPr>
          <w:rStyle w:val="afc"/>
        </w:rPr>
        <w:commentReference w:id="34"/>
      </w:r>
    </w:p>
    <w:p w14:paraId="040BDA55" w14:textId="77777777" w:rsidR="00553241" w:rsidRDefault="00553241" w:rsidP="009A15E8">
      <w:pPr>
        <w:widowControl w:val="0"/>
        <w:ind w:firstLine="0"/>
        <w:rPr>
          <w:ins w:id="35" w:author="Gleb Radchenko" w:date="2019-03-15T13:06:00Z"/>
        </w:rPr>
      </w:pPr>
    </w:p>
    <w:p w14:paraId="55C39252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  <w:pPrChange w:id="36" w:author="Gleb Radchenko" w:date="2019-03-15T13:06:00Z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0"/>
          </w:pPr>
        </w:pPrChange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9A15E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 …..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 …..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06D4B210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37" w:name="_1fob9te" w:colFirst="0" w:colLast="0"/>
      <w:bookmarkEnd w:id="37"/>
      <w:r>
        <w:lastRenderedPageBreak/>
        <w:t>КОНЦЕПЦИЯ ИНТЕРНЕТА ВЕЩЕЙ, ОБЛАЧНЫХ ВЫЧИСЛЕНИЙ И ЦИФРОВЫХ ДВОЙНИКОВ</w:t>
      </w:r>
    </w:p>
    <w:p w14:paraId="28BFBA86" w14:textId="77777777" w:rsidR="00553241" w:rsidRDefault="00BF3B59">
      <w:pPr>
        <w:widowControl w:val="0"/>
        <w:rPr>
          <w:ins w:id="38" w:author="Gleb Radchenko" w:date="2019-03-15T13:07:00Z"/>
        </w:rPr>
      </w:pPr>
      <w:r>
        <w:t xml:space="preserve"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 [1]. Появление этой концепции представляет новую эру в области вычислительной техники и технологий [10]. Лидерами по объему инвестиций в Интернет вещей в России к 2020 году, по прогнозу IDC, будут производственный сектор и транспортные компании [8]. </w:t>
      </w:r>
    </w:p>
    <w:p w14:paraId="5E636EAF" w14:textId="77777777" w:rsidR="00553241" w:rsidRDefault="00BF3B59">
      <w:pPr>
        <w:widowControl w:val="0"/>
        <w:rPr>
          <w:ins w:id="39" w:author="Gleb Radchenko" w:date="2019-03-15T13:08:00Z"/>
        </w:rPr>
      </w:pPr>
      <w:del w:id="40" w:author="Gleb Radchenko" w:date="2019-03-15T13:07:00Z">
        <w:r w:rsidDel="00553241">
          <w:delText xml:space="preserve"> Поэтому, именно б</w:delText>
        </w:r>
      </w:del>
      <w:ins w:id="41" w:author="Gleb Radchenko" w:date="2019-03-15T13:07:00Z">
        <w:r w:rsidR="00553241">
          <w:t>Б</w:t>
        </w:r>
      </w:ins>
      <w:r>
        <w:t xml:space="preserve">лагодаря применимости </w:t>
      </w:r>
      <w:del w:id="42" w:author="Gleb Radchenko" w:date="2019-03-15T13:08:00Z">
        <w:r w:rsidDel="00553241">
          <w:delText xml:space="preserve">этого </w:delText>
        </w:r>
      </w:del>
      <w:r>
        <w:t xml:space="preserve">подхода </w:t>
      </w:r>
      <w:ins w:id="43" w:author="Gleb Radchenko" w:date="2019-03-15T13:08:00Z">
        <w:r w:rsidR="00553241">
          <w:t xml:space="preserve">интернета вещей </w:t>
        </w:r>
      </w:ins>
      <w:r>
        <w:t>к различным производственным процессам</w:t>
      </w:r>
      <w:ins w:id="44" w:author="Gleb Radchenko" w:date="2019-03-15T13:08:00Z">
        <w:r w:rsidR="00553241">
          <w:t>,</w:t>
        </w:r>
      </w:ins>
      <w:r>
        <w:t xml:space="preserve"> появилось множество наполненных новым содержанием и возможностями терминов, описывающих существовавшие ранее подходы [9]. Так, на замену автоматизированным системам управления технологическими процессами (АСУ ТП) приходит концепция промышленного Интернета вещей (IIoT). </w:t>
      </w:r>
      <w:del w:id="45" w:author="Gleb Radchenko" w:date="2019-03-15T13:08:00Z">
        <w:r w:rsidDel="00553241">
          <w:delText xml:space="preserve"> </w:delText>
        </w:r>
      </w:del>
      <w:r>
        <w:t xml:space="preserve">Данный подход 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Такое соединение позволяет собирать, обмениваться и анализировать данные, что потенциально способствует повышению производительности и эффективности, а также другим экономическим преимуществам [11]. </w:t>
      </w:r>
    </w:p>
    <w:p w14:paraId="279A1EC5" w14:textId="5F57AADB" w:rsidR="00553241" w:rsidRDefault="00BF3B59">
      <w:pPr>
        <w:widowControl w:val="0"/>
        <w:rPr>
          <w:ins w:id="46" w:author="Gleb Radchenko" w:date="2019-03-15T13:09:00Z"/>
        </w:rPr>
      </w:pPr>
      <w:r>
        <w:t xml:space="preserve">Одним из подходов к применению IIoT является концепции «Индустрия 4.0» (Industry 4.0) [12]. Согласно </w:t>
      </w:r>
      <w:ins w:id="47" w:author="Gleb Radchenko" w:date="2019-03-15T13:08:00Z">
        <w:r w:rsidR="00553241">
          <w:t xml:space="preserve">концепции </w:t>
        </w:r>
      </w:ins>
      <w:del w:id="48" w:author="Gleb Radchenko" w:date="2019-03-15T13:08:00Z">
        <w:r w:rsidDel="00553241">
          <w:delText xml:space="preserve">Industry </w:delText>
        </w:r>
      </w:del>
      <w:ins w:id="49" w:author="Gleb Radchenko" w:date="2019-03-15T13:08:00Z">
        <w:r w:rsidR="00553241">
          <w:t xml:space="preserve">Индустрии </w:t>
        </w:r>
      </w:ins>
      <w:r>
        <w:t xml:space="preserve">4.0, экономика находится на пороге четвертой промышленной революции — </w:t>
      </w:r>
      <w:r w:rsidR="00430599">
        <w:t xml:space="preserve">создания </w:t>
      </w:r>
      <w:commentRangeStart w:id="50"/>
      <w:r>
        <w:t>«умных» предприятиях</w:t>
      </w:r>
      <w:commentRangeEnd w:id="50"/>
      <w:r w:rsidR="00553241">
        <w:rPr>
          <w:rStyle w:val="afc"/>
        </w:rPr>
        <w:commentReference w:id="50"/>
      </w:r>
      <w:r>
        <w:t xml:space="preserve">. Ее знаковые моменты — внедрение киберфизических систем и переход к персонализированному </w:t>
      </w:r>
      <w:commentRangeStart w:id="51"/>
      <w:r>
        <w:t>производств</w:t>
      </w:r>
      <w:r w:rsidR="009A15E8">
        <w:t>у </w:t>
      </w:r>
      <w:r>
        <w:t xml:space="preserve">[12]. </w:t>
      </w:r>
      <w:commentRangeEnd w:id="51"/>
      <w:r w:rsidR="00553241">
        <w:rPr>
          <w:rStyle w:val="afc"/>
        </w:rPr>
        <w:commentReference w:id="51"/>
      </w:r>
      <w:r w:rsidR="00430599">
        <w:t>Киберфизические</w:t>
      </w:r>
      <w:commentRangeStart w:id="52"/>
      <w:r>
        <w:t xml:space="preserve"> </w:t>
      </w:r>
      <w:commentRangeEnd w:id="52"/>
      <w:r w:rsidR="00553241">
        <w:rPr>
          <w:rStyle w:val="afc"/>
        </w:rPr>
        <w:commentReference w:id="52"/>
      </w:r>
      <w:r>
        <w:t xml:space="preserve">системы характеризуются наличием двусторонней связи между физическими процессами и управляющими программами [9]. Элементы такой системы могут находиться как рядом, </w:t>
      </w:r>
      <w:r>
        <w:lastRenderedPageBreak/>
        <w:t xml:space="preserve"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 </w:t>
      </w:r>
    </w:p>
    <w:p w14:paraId="5E9B3452" w14:textId="77777777" w:rsidR="00785A9B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метода конечных элементов и т. д. [13]. 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 [14].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расширит возможности систем. Облачные вычисления способны </w:t>
      </w:r>
      <w:r>
        <w:lastRenderedPageBreak/>
        <w:t>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</w:p>
    <w:p w14:paraId="033315F2" w14:textId="77777777" w:rsidR="00785A9B" w:rsidRDefault="00BF3B59">
      <w:pPr>
        <w:widowControl w:val="0"/>
      </w:pPr>
      <w:r>
        <w:t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ЦОДе, для многих задач является нежелательной.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59DD8475" w14:textId="77777777" w:rsidR="00785A9B" w:rsidRDefault="00BF3B59">
      <w:pPr>
        <w:widowControl w:val="0"/>
      </w:pPr>
      <w:r>
        <w:t>Как следствие, наряду с переносом интеллекта в мегаЦОДы нарастает обратный процесс, получивший название «периферийные вычисления» (fog computing), когда анализ собираемых данных и выработка управляющих воздействий происходят в узлах, максимально приближенных к конечным устройствам [15].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концепции гибридных облачных сред могут решить поставленные перед концепцией цифровых двойников задачи.</w:t>
      </w:r>
    </w:p>
    <w:p w14:paraId="222F6868" w14:textId="77777777" w:rsidR="00785A9B" w:rsidRDefault="00BF3B59">
      <w:pPr>
        <w:widowControl w:val="0"/>
      </w:pPr>
      <w:r>
        <w:br w:type="page"/>
      </w:r>
    </w:p>
    <w:p w14:paraId="0FC5177B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53" w:name="_3znysh7" w:colFirst="0" w:colLast="0"/>
      <w:bookmarkEnd w:id="53"/>
      <w:r>
        <w:lastRenderedPageBreak/>
        <w:t>АНАЛИЗ ПРЕДМЕТНОЙ ОБЛАСТИ</w:t>
      </w:r>
    </w:p>
    <w:p w14:paraId="172277EB" w14:textId="77777777" w:rsidR="00785A9B" w:rsidRDefault="00BF3B59" w:rsidP="009A15E8">
      <w:pPr>
        <w:pStyle w:val="2"/>
        <w:widowControl w:val="0"/>
        <w:numPr>
          <w:ilvl w:val="1"/>
          <w:numId w:val="2"/>
        </w:numPr>
        <w:ind w:left="0" w:firstLine="0"/>
      </w:pPr>
      <w:bookmarkStart w:id="54" w:name="_2et92p0" w:colFirst="0" w:colLast="0"/>
      <w:bookmarkEnd w:id="54"/>
      <w:r>
        <w:t>Обзор технологий для обработки данных, генерируемых устройствами Интернета вещей</w:t>
      </w:r>
    </w:p>
    <w:p w14:paraId="77D90EEF" w14:textId="43AA16B3" w:rsidR="00725A86" w:rsidRPr="009A15E8" w:rsidRDefault="00BF3B59" w:rsidP="009A15E8">
      <w:pPr>
        <w:widowControl w:val="0"/>
        <w:spacing w:after="160"/>
        <w:rPr>
          <w:szCs w:val="28"/>
        </w:rPr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</w:t>
      </w:r>
      <w:r w:rsidRPr="009A15E8">
        <w:rPr>
          <w:szCs w:val="28"/>
        </w:rPr>
        <w:t>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двойни-ков.</w:t>
      </w:r>
      <w:r w:rsidR="00725A86" w:rsidRPr="009A15E8">
        <w:rPr>
          <w:szCs w:val="28"/>
        </w:rPr>
        <w:t xml:space="preserve"> </w:t>
      </w:r>
    </w:p>
    <w:p w14:paraId="0A914726" w14:textId="11838F42" w:rsidR="00725A86" w:rsidRDefault="00725A86" w:rsidP="009A15E8">
      <w:pPr>
        <w:widowControl w:val="0"/>
        <w:spacing w:after="160"/>
        <w:ind w:firstLine="708"/>
        <w:rPr>
          <w:ins w:id="55" w:author="Gleb Radchenko" w:date="2019-03-15T13:05:00Z"/>
        </w:rPr>
      </w:pPr>
      <w:commentRangeStart w:id="56"/>
      <w:r w:rsidRPr="009A15E8">
        <w:rPr>
          <w:szCs w:val="28"/>
        </w:rPr>
        <w:t>Azure Digital Twins</w:t>
      </w:r>
      <w:commentRangeEnd w:id="56"/>
      <w:r w:rsidRPr="009A15E8">
        <w:rPr>
          <w:rStyle w:val="afc"/>
          <w:sz w:val="28"/>
          <w:szCs w:val="28"/>
        </w:rPr>
        <w:commentReference w:id="56"/>
      </w:r>
      <w:r w:rsidRPr="009A15E8">
        <w:rPr>
          <w:szCs w:val="28"/>
        </w:rPr>
        <w:t xml:space="preserve">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9A15E8" w:rsidRPr="009A15E8">
        <w:t xml:space="preserve"> [20]</w:t>
      </w:r>
      <w:r>
        <w:t xml:space="preserve">. </w:t>
      </w:r>
      <w:r w:rsidR="00D90A6E">
        <w:t>Azure Digital Twins имеет следующие ключевые возможности:</w:t>
      </w:r>
    </w:p>
    <w:p w14:paraId="698EC734" w14:textId="65D18A4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>. Это</w:t>
      </w:r>
      <w:r w:rsidR="00D90A6E">
        <w:t xml:space="preserve"> позволяет запрашивать данные </w:t>
      </w:r>
      <w:commentRangeStart w:id="57"/>
      <w:commentRangeStart w:id="58"/>
      <w:r w:rsidR="00D90A6E">
        <w:t>из физического пространства, а не из многих разрозненных датчиков</w:t>
      </w:r>
      <w:commentRangeEnd w:id="57"/>
      <w:r w:rsidR="00D90A6E">
        <w:rPr>
          <w:rStyle w:val="afc"/>
        </w:rPr>
        <w:commentReference w:id="57"/>
      </w:r>
      <w:commentRangeEnd w:id="58"/>
      <w:r w:rsidR="00D90A6E">
        <w:rPr>
          <w:rStyle w:val="afc"/>
        </w:rPr>
        <w:commentReference w:id="58"/>
      </w:r>
      <w:r w:rsidR="00D90A6E">
        <w:t xml:space="preserve"> [</w:t>
      </w:r>
      <w:r w:rsidR="00D90A6E" w:rsidRPr="00A14282">
        <w:t>1</w:t>
      </w:r>
      <w:r w:rsidR="00D90A6E">
        <w:t>6]</w:t>
      </w:r>
      <w:r>
        <w:rPr>
          <w:color w:val="000000"/>
          <w:szCs w:val="28"/>
        </w:rPr>
        <w:t>;</w:t>
      </w:r>
    </w:p>
    <w:p w14:paraId="257D187E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</w:t>
      </w:r>
      <w:r>
        <w:rPr>
          <w:color w:val="000000"/>
          <w:szCs w:val="28"/>
        </w:rPr>
        <w:lastRenderedPageBreak/>
        <w:t xml:space="preserve">входящих данных устройства для отправки сигналов в заранее определенные конечные точки; </w:t>
      </w:r>
    </w:p>
    <w:p w14:paraId="5B0FDA38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Встроенное управление доступом </w:t>
      </w:r>
      <w:r>
        <w:rPr>
          <w:color w:val="000000"/>
          <w:szCs w:val="28"/>
        </w:rPr>
        <w:t>с помощью функций управления доступом и идентификацией, такие как управление доступом на основе ролей и Azure Active Directory.</w:t>
      </w:r>
    </w:p>
    <w:p w14:paraId="0A337090" w14:textId="77777777" w:rsidR="00785A9B" w:rsidRDefault="00BF3B59">
      <w:pPr>
        <w:widowControl w:val="0"/>
        <w:spacing w:after="160"/>
        <w:ind w:firstLine="708"/>
        <w:jc w:val="left"/>
      </w:pPr>
      <w:r>
        <w:t xml:space="preserve">Технология Azure Digital Twins использует Azure IoT Hub для связи устройств и сенсоров IoT с физической средой. На рис.1 изображена схема взаимодействия Azure Digital Twins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>Рис.1. Схема взаимодействия сервисов Azure IoT между собой</w:t>
            </w:r>
          </w:p>
        </w:tc>
      </w:tr>
    </w:tbl>
    <w:p w14:paraId="0ADB76FC" w14:textId="63D531FA" w:rsidR="00785A9B" w:rsidRDefault="00D90A6E" w:rsidP="00430599">
      <w:pPr>
        <w:widowControl w:val="0"/>
        <w:spacing w:after="160"/>
        <w:ind w:firstLine="708"/>
        <w:jc w:val="left"/>
      </w:pPr>
      <w:commentRangeStart w:id="59"/>
      <w:r w:rsidRPr="00553241">
        <w:rPr>
          <w:lang w:val="en-US"/>
        </w:rPr>
        <w:t>AWS IoT Things Graph</w:t>
      </w:r>
      <w:commentRangeEnd w:id="59"/>
      <w:r>
        <w:rPr>
          <w:rStyle w:val="afc"/>
        </w:rPr>
        <w:commentReference w:id="59"/>
      </w:r>
      <w:r w:rsidRPr="00553241">
        <w:rPr>
          <w:lang w:val="en-US"/>
        </w:rPr>
        <w:t xml:space="preserve"> — c</w:t>
      </w:r>
      <w:r>
        <w:t>хожий</w:t>
      </w:r>
      <w:r w:rsidRPr="00553241">
        <w:rPr>
          <w:lang w:val="en-US"/>
        </w:rPr>
        <w:t xml:space="preserve"> </w:t>
      </w:r>
      <w:r>
        <w:t>продукт</w:t>
      </w:r>
      <w:r w:rsidRPr="00553241">
        <w:rPr>
          <w:lang w:val="en-US"/>
        </w:rPr>
        <w:t xml:space="preserve"> </w:t>
      </w:r>
      <w:r>
        <w:t>от</w:t>
      </w:r>
      <w:r w:rsidRPr="00553241">
        <w:rPr>
          <w:lang w:val="en-US"/>
        </w:rPr>
        <w:t xml:space="preserve"> Amazon</w:t>
      </w:r>
      <w:r>
        <w:rPr>
          <w:lang w:val="en-US"/>
        </w:rPr>
        <w:t xml:space="preserve"> [21]</w:t>
      </w:r>
      <w:r w:rsidRPr="00553241">
        <w:rPr>
          <w:lang w:val="en-US"/>
        </w:rPr>
        <w:t xml:space="preserve">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60" w:author="Gleb Radchenko" w:date="2019-03-15T13:05:00Z">
        <w:r w:rsidDel="00553241">
          <w:delText>web</w:delText>
        </w:r>
      </w:del>
      <w:ins w:id="61" w:author="Gleb Radchenko" w:date="2019-03-15T13:05:00Z">
        <w:r>
          <w:t>веб</w:t>
        </w:r>
      </w:ins>
      <w:r>
        <w:t>-сервисами и физическими устройствами, использующими различные протоколы, форматы данных и синтаксис сообщений</w:t>
      </w:r>
      <w:r>
        <w:t xml:space="preserve"> </w:t>
      </w:r>
      <w:r w:rsidR="00430599" w:rsidRPr="00430599">
        <w:t>[17]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</w:t>
      </w:r>
      <w:r>
        <w:lastRenderedPageBreak/>
        <w:t xml:space="preserve">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>. Отображение представляет информацию, которая позволяет AWS IoT Things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>. Поток состоит из последовательности взаимодействий между 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2" w:name="_tyjcwt" w:colFirst="0" w:colLast="0"/>
      <w:bookmarkEnd w:id="62"/>
      <w:r>
        <w:lastRenderedPageBreak/>
        <w:t>МОДЕЛЬ СИСТЕМЫ</w:t>
      </w:r>
    </w:p>
    <w:p w14:paraId="6ED93336" w14:textId="77777777" w:rsidR="00785A9B" w:rsidRDefault="00BF3B59">
      <w:pPr>
        <w:pStyle w:val="1"/>
        <w:widowControl w:val="0"/>
        <w:numPr>
          <w:ilvl w:val="0"/>
          <w:numId w:val="2"/>
        </w:numPr>
        <w:tabs>
          <w:tab w:val="left" w:pos="5103"/>
        </w:tabs>
        <w:spacing w:after="160" w:line="259" w:lineRule="auto"/>
        <w:jc w:val="left"/>
        <w:rPr>
          <w:smallCaps/>
        </w:rPr>
      </w:pPr>
      <w:bookmarkStart w:id="63" w:name="_3dy6vkm" w:colFirst="0" w:colLast="0"/>
      <w:bookmarkEnd w:id="63"/>
      <w:r>
        <w:t xml:space="preserve">АРХИТЕКТУРА СИСТЕМЫ </w:t>
      </w:r>
    </w:p>
    <w:p w14:paraId="1D8E845F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4" w:name="_1t3h5sf" w:colFirst="0" w:colLast="0"/>
      <w:bookmarkEnd w:id="64"/>
      <w:r>
        <w:t xml:space="preserve">РЕАЛИЗАЦИЯ СИСТЕМЫ </w:t>
      </w:r>
    </w:p>
    <w:p w14:paraId="7F78FDC2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5" w:name="_4d34og8" w:colFirst="0" w:colLast="0"/>
      <w:bookmarkEnd w:id="65"/>
      <w:r>
        <w:t xml:space="preserve">ТЕСТИРОВАНИЕ </w:t>
      </w:r>
    </w:p>
    <w:p w14:paraId="5FAC0618" w14:textId="77777777" w:rsidR="00785A9B" w:rsidRDefault="00BF3B59">
      <w:pPr>
        <w:pStyle w:val="1"/>
        <w:widowControl w:val="0"/>
        <w:rPr>
          <w:szCs w:val="28"/>
        </w:rPr>
      </w:pPr>
      <w:bookmarkStart w:id="66" w:name="_2s8eyo1" w:colFirst="0" w:colLast="0"/>
      <w:bookmarkEnd w:id="66"/>
      <w:r>
        <w:t>ЗАКЛЮЧЕНИЕ</w:t>
      </w:r>
    </w:p>
    <w:p w14:paraId="6572A20E" w14:textId="77777777" w:rsidR="00785A9B" w:rsidRDefault="00BF3B59">
      <w:pPr>
        <w:pStyle w:val="1"/>
        <w:widowControl w:val="0"/>
      </w:pPr>
      <w:bookmarkStart w:id="67" w:name="_17dp8vu" w:colFirst="0" w:colLast="0"/>
      <w:bookmarkEnd w:id="67"/>
      <w:r>
        <w:rPr>
          <w:szCs w:val="28"/>
        </w:rPr>
        <w:t>ЛИТЕРАТУРА</w:t>
      </w:r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 w:rsidRPr="00553241">
        <w:rPr>
          <w:color w:val="000000"/>
          <w:szCs w:val="28"/>
          <w:lang w:val="en-US"/>
        </w:rPr>
        <w:t xml:space="preserve">Internet Of Things. Gartner IT glossary. </w:t>
      </w:r>
      <w:r>
        <w:rPr>
          <w:color w:val="000000"/>
          <w:szCs w:val="28"/>
        </w:rPr>
        <w:t>Gartner (5 May 2012). [Электронный ресурс] URL: https://www.gartner.com/it-glossary/internet-of-things/ (дата обращения: 04.02.2019).</w:t>
      </w:r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0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Boyes, Hugh; Hallaq, Bil; Cunningham, Joe; Watson, Tim. The industrial internet of things (IIoT): An analysis framework. </w:t>
      </w:r>
      <w:r>
        <w:rPr>
          <w:color w:val="000000"/>
          <w:szCs w:val="28"/>
        </w:rPr>
        <w:t>Computers in Industry, October, 2018. Vol. 101. – P. 1–12.</w:t>
      </w:r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K. Borodulin, G. Radchenko, A. Shestakov, L. Sokolinsky, A. Tchernykh,  R. Prodan, "Towards Digital Twins Cloud Platform: Microservices and Computational Workflows to Rule a Smart Factory", Proc. the10th Int. </w:t>
      </w:r>
      <w:r>
        <w:rPr>
          <w:color w:val="000000"/>
          <w:szCs w:val="28"/>
        </w:rPr>
        <w:t>Conf. Util. Cloud Comput. - UCC '17, pp. 209–210, December 2017.</w:t>
      </w:r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>Интернет вещей: Будущее уже здесь. С. Грингард. М.: Альпина Паблишер, 2016. – 188 с.</w:t>
      </w:r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Micrisift Docs. [Электронный ресурс] URL: </w:t>
      </w:r>
      <w:hyperlink r:id="rId11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553241">
        <w:rPr>
          <w:color w:val="000000"/>
          <w:szCs w:val="28"/>
          <w:lang w:val="en-US"/>
        </w:rPr>
        <w:t xml:space="preserve">G. Radchenko, A. Alaasam, A. Tchernykh, “Micro-Workflows: Kafka and Kepler fusion to support Digital Twins of Industrial Processes”, IEEE/ACM Int. </w:t>
      </w:r>
      <w:r>
        <w:rPr>
          <w:color w:val="000000"/>
          <w:szCs w:val="28"/>
        </w:rPr>
        <w:t>Conf. Util. Cloud Comput. – UCC '18, pp. 83-88, December 2018.</w:t>
      </w:r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szCs w:val="28"/>
        </w:rPr>
        <w:lastRenderedPageBreak/>
        <w:t xml:space="preserve">Е. Семеновская. Индустриальный интернет вещей. Перспективы российского рынка. [Электронный ресурс] URL: </w:t>
      </w:r>
      <w:hyperlink r:id="rId12">
        <w:r>
          <w:rPr>
            <w:color w:val="0563C1"/>
            <w:szCs w:val="28"/>
            <w:u w:val="single"/>
          </w:rPr>
          <w:t>https://www.company.rt.ru/projects/IIoT/study_IDC.pdf/</w:t>
        </w:r>
      </w:hyperlink>
      <w:r>
        <w:rPr>
          <w:color w:val="000000"/>
          <w:szCs w:val="28"/>
        </w:rPr>
        <w:t xml:space="preserve"> (дата обращения 27.02.2019).</w:t>
      </w:r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szCs w:val="28"/>
        </w:rPr>
        <w:t xml:space="preserve">А. Барсков. Промышленный интернет вещей. Готовы ли сети? Журнал сетевых решений/LAN. [Электронный ресурс] URL: https://www.osp.ru/lan/2016/09/13050308/ (дата обращения 26.02.2019).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szCs w:val="28"/>
        </w:rPr>
        <w:t xml:space="preserve">А. Барсков. IoT как инструмент цифровой экономики. Журнал сетевых решений/LAN. [Электронный ресурс] URL: https://www.osp.ru/lan/2017/05/13052169/ (дата обращения 26.02.2019). </w:t>
      </w:r>
    </w:p>
    <w:p w14:paraId="0549A3E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553241">
        <w:rPr>
          <w:color w:val="000000"/>
          <w:szCs w:val="28"/>
          <w:lang w:val="en-US"/>
        </w:rPr>
        <w:t xml:space="preserve">Boyes, Hugh; Hallaq, Bil; Cunningham, Joe; Watson, Tim (October 2018). "The industrial internet of things (IIoT): An analysis framework". Computers in Industry. </w:t>
      </w:r>
      <w:r>
        <w:rPr>
          <w:color w:val="000000"/>
          <w:szCs w:val="28"/>
        </w:rPr>
        <w:t xml:space="preserve">101: 1–12.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P. Korambath, J. Wang, A. Kumar, J. Davis, R. Graybill, B. Schott, and M. Baldea, “A smart manufacturing use case: Furnace temperature balancing in steam methane reforming process via kepler workflows,” Procedia Comput. </w:t>
      </w:r>
      <w:r>
        <w:rPr>
          <w:color w:val="000000"/>
          <w:szCs w:val="28"/>
        </w:rPr>
        <w:t xml:space="preserve">Sci., vol. 80, pp. 680–689, 2016.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r w:rsidRPr="00553241">
        <w:rPr>
          <w:color w:val="000000"/>
          <w:szCs w:val="28"/>
          <w:lang w:val="en-US"/>
        </w:rPr>
        <w:t>Mell, Peter and Grance, Timothy. The NIST Definition of Cloud Computing (</w:t>
      </w:r>
      <w:r>
        <w:rPr>
          <w:color w:val="000000"/>
          <w:szCs w:val="28"/>
        </w:rPr>
        <w:t>англ</w:t>
      </w:r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</w:t>
      </w:r>
      <w:r>
        <w:rPr>
          <w:color w:val="000000"/>
          <w:szCs w:val="28"/>
        </w:rPr>
        <w:t>Spain: University of Alcala. pp. 111–126.</w:t>
      </w:r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Azure Digital Twins Documentation. [Электронный ресурс] URL: https://docs.microsoft.com/en-us/azure/digital-twins/ (дата обращения 11.02.2019). </w:t>
      </w:r>
    </w:p>
    <w:p w14:paraId="35DA9DBF" w14:textId="5DB8D887" w:rsidR="00785A9B" w:rsidRDefault="00BF3B59" w:rsidP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 xml:space="preserve">[Электронный ресурс] URL: https://docs.aws.amazon.com/en_us/thingsgraph/latest/ug/iot-tg-whatis.html/ (дата обращения 13.02.2019). </w:t>
      </w:r>
      <w:bookmarkStart w:id="68" w:name="_26in1rg" w:colFirst="0" w:colLast="0"/>
      <w:bookmarkEnd w:id="68"/>
    </w:p>
    <w:p w14:paraId="53E4AA0B" w14:textId="1264FE2A" w:rsidR="00725A86" w:rsidRDefault="00725A86" w:rsidP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3" w:history="1">
        <w:r w:rsidRPr="008F034F">
          <w:rPr>
            <w:rStyle w:val="ac"/>
            <w:lang w:val="en-US"/>
          </w:rPr>
          <w:t>https</w:t>
        </w:r>
        <w:r w:rsidRPr="008F034F">
          <w:rPr>
            <w:rStyle w:val="ac"/>
          </w:rPr>
          <w:t>://</w:t>
        </w:r>
        <w:r w:rsidRPr="008F034F">
          <w:rPr>
            <w:rStyle w:val="ac"/>
            <w:lang w:val="en-US"/>
          </w:rPr>
          <w:t>portal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azure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8F034F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 w:rsidP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4" w:history="1">
        <w:r w:rsidRPr="008F034F">
          <w:rPr>
            <w:rStyle w:val="ac"/>
            <w:lang w:val="en-US"/>
          </w:rPr>
          <w:t>https</w:t>
        </w:r>
        <w:r w:rsidRPr="00725A86">
          <w:rPr>
            <w:rStyle w:val="ac"/>
          </w:rPr>
          <w:t>://</w:t>
        </w:r>
        <w:r w:rsidRPr="008F034F">
          <w:rPr>
            <w:rStyle w:val="ac"/>
            <w:lang w:val="en-US"/>
          </w:rPr>
          <w:t>aws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amazon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725A86">
          <w:rPr>
            <w:rStyle w:val="ac"/>
          </w:rPr>
          <w:t>/</w:t>
        </w:r>
        <w:r w:rsidRPr="008F034F">
          <w:rPr>
            <w:rStyle w:val="ac"/>
            <w:lang w:val="en-US"/>
          </w:rPr>
          <w:t>console</w:t>
        </w:r>
        <w:r w:rsidRPr="00725A86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r w:rsidRPr="00725A86">
        <w:t xml:space="preserve"> </w:t>
      </w:r>
    </w:p>
    <w:p w14:paraId="6EDA6D12" w14:textId="69A91F85" w:rsidR="009A15E8" w:rsidRPr="009A15E8" w:rsidRDefault="009A15E8" w:rsidP="009A15E8">
      <w:pPr>
        <w:pStyle w:val="ab"/>
        <w:numPr>
          <w:ilvl w:val="0"/>
          <w:numId w:val="3"/>
        </w:numPr>
      </w:pPr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 xml:space="preserve">.02.2019). </w:t>
      </w:r>
    </w:p>
    <w:p w14:paraId="2D2C3DC4" w14:textId="16D61CEA" w:rsidR="009A15E8" w:rsidRPr="00725A86" w:rsidRDefault="009A15E8" w:rsidP="00746470">
      <w:pPr>
        <w:pStyle w:val="ab"/>
        <w:numPr>
          <w:ilvl w:val="0"/>
          <w:numId w:val="3"/>
        </w:numPr>
      </w:pPr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 xml:space="preserve">[Электронный ресурс] URL: https://aws.amazon.com/ru/iot-things-graph/ (дата обращения 10.02.2019). </w:t>
      </w:r>
      <w:bookmarkStart w:id="69" w:name="_GoBack"/>
      <w:bookmarkEnd w:id="69"/>
    </w:p>
    <w:p w14:paraId="1EE26887" w14:textId="77777777" w:rsidR="00785A9B" w:rsidRPr="00725A86" w:rsidRDefault="00785A9B">
      <w:pPr>
        <w:widowControl w:val="0"/>
        <w:ind w:firstLine="0"/>
      </w:pPr>
    </w:p>
    <w:p w14:paraId="6ED0C919" w14:textId="77777777" w:rsidR="00785A9B" w:rsidRPr="009A15E8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9A15E8"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70" w:name="_3rdcrjn" w:colFirst="0" w:colLast="0"/>
      <w:bookmarkEnd w:id="70"/>
      <w:r>
        <w:lastRenderedPageBreak/>
        <w:t>ПРИЛОЖЕНИЯ</w:t>
      </w:r>
    </w:p>
    <w:sectPr w:rsidR="00785A9B" w:rsidRPr="00725A86">
      <w:footerReference w:type="default" r:id="rId15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leb Radchenko" w:date="2019-03-15T13:02:00Z" w:initials="GR">
    <w:p w14:paraId="60B6B68F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Ссылка должна быть до точки.</w:t>
      </w:r>
    </w:p>
  </w:comment>
  <w:comment w:id="11" w:author="Gleb Radchenko" w:date="2019-03-15T13:03:00Z" w:initials="GR">
    <w:p w14:paraId="5C86681C" w14:textId="77777777" w:rsidR="00553241" w:rsidRDefault="00553241">
      <w:pPr>
        <w:pStyle w:val="afd"/>
      </w:pPr>
      <w:r>
        <w:rPr>
          <w:rStyle w:val="afc"/>
        </w:rPr>
        <w:annotationRef/>
      </w:r>
      <w:r>
        <w:t>Расшифровать</w:t>
      </w:r>
    </w:p>
  </w:comment>
  <w:comment w:id="22" w:author="Gleb Radchenko" w:date="2019-03-15T13:04:00Z" w:initials="GR">
    <w:p w14:paraId="2B54E40C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Неразрывный пробел до ссылки</w:t>
      </w:r>
    </w:p>
  </w:comment>
  <w:comment w:id="28" w:author="Gleb Radchenko" w:date="2019-03-15T13:04:00Z" w:initials="GR">
    <w:p w14:paraId="72BD6D15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Ссылку на сайт</w:t>
      </w:r>
    </w:p>
  </w:comment>
  <w:comment w:id="31" w:author="Gleb Radchenko" w:date="2019-03-15T13:04:00Z" w:initials="GR">
    <w:p w14:paraId="680EBED4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Ссылку на сайт</w:t>
      </w:r>
    </w:p>
  </w:comment>
  <w:comment w:id="34" w:author="Gleb Radchenko" w:date="2019-03-15T13:07:00Z" w:initials="GR">
    <w:p w14:paraId="18BBC321" w14:textId="77777777" w:rsidR="00553241" w:rsidRDefault="00553241">
      <w:pPr>
        <w:pStyle w:val="afd"/>
      </w:pPr>
      <w:r>
        <w:rPr>
          <w:rStyle w:val="afc"/>
        </w:rPr>
        <w:annotationRef/>
      </w:r>
      <w:r>
        <w:t>Следующие два абзаца – перенести в обзор литературы</w:t>
      </w:r>
    </w:p>
  </w:comment>
  <w:comment w:id="50" w:author="Gleb Radchenko" w:date="2019-03-15T13:08:00Z" w:initials="GR">
    <w:p w14:paraId="5790C36F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Несогласованно</w:t>
      </w:r>
    </w:p>
  </w:comment>
  <w:comment w:id="51" w:author="Gleb Radchenko" w:date="2019-03-15T13:09:00Z" w:initials="GR">
    <w:p w14:paraId="67A667D7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Неразрывный пробел</w:t>
      </w:r>
    </w:p>
  </w:comment>
  <w:comment w:id="52" w:author="Gleb Radchenko" w:date="2019-03-15T13:09:00Z" w:initials="GR">
    <w:p w14:paraId="75EAA03C" w14:textId="77777777" w:rsidR="00553241" w:rsidRDefault="00553241">
      <w:pPr>
        <w:pStyle w:val="afd"/>
      </w:pPr>
      <w:r>
        <w:rPr>
          <w:rStyle w:val="afc"/>
        </w:rPr>
        <w:annotationRef/>
      </w:r>
      <w:r>
        <w:t>Точно?</w:t>
      </w:r>
    </w:p>
  </w:comment>
  <w:comment w:id="56" w:author="Gleb Radchenko" w:date="2019-03-15T13:05:00Z" w:initials="GR">
    <w:p w14:paraId="3279893E" w14:textId="77777777" w:rsidR="00725A86" w:rsidRDefault="00725A86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57" w:author="Gleb Radchenko" w:date="2019-03-15T13:05:00Z" w:initials="GR">
    <w:p w14:paraId="5E5C18A8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Не ясно, что это</w:t>
      </w:r>
    </w:p>
  </w:comment>
  <w:comment w:id="58" w:author="Rostislav Bobin" w:date="2019-03-15T14:15:00Z" w:initials="RB">
    <w:p w14:paraId="0E2ACC5C" w14:textId="77777777" w:rsidR="00D90A6E" w:rsidRDefault="00D90A6E" w:rsidP="00D90A6E">
      <w:pPr>
        <w:pStyle w:val="afd"/>
      </w:pPr>
      <w:r>
        <w:rPr>
          <w:rStyle w:val="afc"/>
        </w:rPr>
        <w:annotationRef/>
      </w:r>
    </w:p>
  </w:comment>
  <w:comment w:id="59" w:author="Gleb Radchenko" w:date="2019-03-15T13:05:00Z" w:initials="GR">
    <w:p w14:paraId="27878E8C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B6B68F" w15:done="0"/>
  <w15:commentEx w15:paraId="5C86681C" w15:done="0"/>
  <w15:commentEx w15:paraId="2B54E40C" w15:done="0"/>
  <w15:commentEx w15:paraId="72BD6D15" w15:done="0"/>
  <w15:commentEx w15:paraId="680EBED4" w15:done="0"/>
  <w15:commentEx w15:paraId="18BBC321" w15:done="0"/>
  <w15:commentEx w15:paraId="5790C36F" w15:done="0"/>
  <w15:commentEx w15:paraId="67A667D7" w15:done="0"/>
  <w15:commentEx w15:paraId="75EAA03C" w15:done="0"/>
  <w15:commentEx w15:paraId="3279893E" w15:done="0"/>
  <w15:commentEx w15:paraId="5E5C18A8" w15:done="0"/>
  <w15:commentEx w15:paraId="0E2ACC5C" w15:paraIdParent="5E5C18A8" w15:done="0"/>
  <w15:commentEx w15:paraId="27878E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6B68F" w16cid:durableId="203620FC"/>
  <w16cid:commentId w16cid:paraId="5C86681C" w16cid:durableId="20362110"/>
  <w16cid:commentId w16cid:paraId="2B54E40C" w16cid:durableId="2036214C"/>
  <w16cid:commentId w16cid:paraId="72BD6D15" w16cid:durableId="20362167"/>
  <w16cid:commentId w16cid:paraId="680EBED4" w16cid:durableId="2036216F"/>
  <w16cid:commentId w16cid:paraId="18BBC321" w16cid:durableId="20362207"/>
  <w16cid:commentId w16cid:paraId="763982FB" w16cid:durableId="2036217D"/>
  <w16cid:commentId w16cid:paraId="1762C7A7" w16cid:durableId="2036218B"/>
  <w16cid:commentId w16cid:paraId="43921DDF" w16cid:durableId="203621A3"/>
  <w16cid:commentId w16cid:paraId="5790C36F" w16cid:durableId="20362265"/>
  <w16cid:commentId w16cid:paraId="67A667D7" w16cid:durableId="2036226F"/>
  <w16cid:commentId w16cid:paraId="75EAA03C" w16cid:durableId="2036227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0F9C3" w14:textId="77777777" w:rsidR="00886B62" w:rsidRDefault="00886B62">
      <w:pPr>
        <w:spacing w:line="240" w:lineRule="auto"/>
      </w:pPr>
      <w:r>
        <w:separator/>
      </w:r>
    </w:p>
  </w:endnote>
  <w:endnote w:type="continuationSeparator" w:id="0">
    <w:p w14:paraId="1D29F618" w14:textId="77777777" w:rsidR="00886B62" w:rsidRDefault="00886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785A9B" w:rsidRDefault="00BF3B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746470">
      <w:rPr>
        <w:noProof/>
        <w:color w:val="000000"/>
        <w:szCs w:val="28"/>
      </w:rPr>
      <w:t>18</w:t>
    </w:r>
    <w:r>
      <w:rPr>
        <w:color w:val="000000"/>
        <w:szCs w:val="28"/>
      </w:rPr>
      <w:fldChar w:fldCharType="end"/>
    </w:r>
  </w:p>
  <w:p w14:paraId="03E52B00" w14:textId="77777777" w:rsidR="00785A9B" w:rsidRDefault="00785A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23149" w14:textId="77777777" w:rsidR="00886B62" w:rsidRDefault="00886B62">
      <w:pPr>
        <w:spacing w:line="240" w:lineRule="auto"/>
      </w:pPr>
      <w:r>
        <w:separator/>
      </w:r>
    </w:p>
  </w:footnote>
  <w:footnote w:type="continuationSeparator" w:id="0">
    <w:p w14:paraId="1F0ADBB7" w14:textId="77777777" w:rsidR="00886B62" w:rsidRDefault="00886B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4FA2"/>
    <w:multiLevelType w:val="multilevel"/>
    <w:tmpl w:val="79008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0NDA1NTY3MbQwMzVQ0lEKTi0uzszPAykwrAUAe2WKNiwAAAA="/>
  </w:docVars>
  <w:rsids>
    <w:rsidRoot w:val="00785A9B"/>
    <w:rsid w:val="00430599"/>
    <w:rsid w:val="00553241"/>
    <w:rsid w:val="00725A86"/>
    <w:rsid w:val="00746470"/>
    <w:rsid w:val="00785A9B"/>
    <w:rsid w:val="00886B62"/>
    <w:rsid w:val="009A15E8"/>
    <w:rsid w:val="00A14282"/>
    <w:rsid w:val="00BF3B59"/>
    <w:rsid w:val="00D90A6E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857AA9"/>
    <w:pPr>
      <w:keepNext/>
      <w:spacing w:before="240"/>
      <w:ind w:firstLine="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57AA9"/>
    <w:p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5B1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57AA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portal.azur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company.rt.ru/projects/IIoT/study_IDC.pdf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azur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dc.com/getdoc.jsp?containerId=prUS44596319/" TargetMode="Externa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ws.amazon.com/conso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2994</Words>
  <Characters>17068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5</cp:revision>
  <dcterms:created xsi:type="dcterms:W3CDTF">2019-03-08T07:20:00Z</dcterms:created>
  <dcterms:modified xsi:type="dcterms:W3CDTF">2019-03-15T09:38:00Z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