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3D495" w14:textId="77777777" w:rsidR="002C533B" w:rsidRPr="007108FD" w:rsidRDefault="002C533B" w:rsidP="002C533B">
      <w:pPr>
        <w:jc w:val="center"/>
      </w:pPr>
      <w:bookmarkStart w:id="0" w:name="_Toc497729147"/>
      <w:bookmarkStart w:id="1" w:name="_GoBack"/>
      <w:bookmarkEnd w:id="1"/>
      <w:r w:rsidRPr="007108FD">
        <w:t>RISK ASSESSMENT REPORT (RAR) TEMPLATE</w:t>
      </w:r>
      <w:bookmarkEnd w:id="0"/>
    </w:p>
    <w:p w14:paraId="2D43D496" w14:textId="77777777" w:rsidR="002C533B" w:rsidRPr="007108FD" w:rsidRDefault="002C533B" w:rsidP="002C533B">
      <w:pPr>
        <w:pStyle w:val="BodyText"/>
        <w:spacing w:after="240"/>
        <w:ind w:right="0"/>
        <w:jc w:val="center"/>
        <w:rPr>
          <w:spacing w:val="0"/>
        </w:rPr>
      </w:pPr>
      <w:bookmarkStart w:id="2" w:name="RAR"/>
      <w:bookmarkEnd w:id="2"/>
      <w:r w:rsidRPr="007108FD">
        <w:rPr>
          <w:spacing w:val="0"/>
        </w:rPr>
        <w:t>&lt;ORGANIZATION&gt;</w:t>
      </w:r>
      <w:r w:rsidRPr="007108FD">
        <w:rPr>
          <w:spacing w:val="0"/>
        </w:rPr>
        <w:br/>
      </w:r>
      <w:r w:rsidRPr="007108FD">
        <w:rPr>
          <w:i/>
          <w:spacing w:val="0"/>
        </w:rPr>
        <w:t>&lt;SYSTEM NAME&gt;</w:t>
      </w:r>
      <w:r w:rsidRPr="007108FD">
        <w:rPr>
          <w:i/>
          <w:spacing w:val="0"/>
        </w:rPr>
        <w:br/>
      </w:r>
      <w:r w:rsidRPr="007108FD">
        <w:rPr>
          <w:spacing w:val="0"/>
        </w:rPr>
        <w:t>&lt;DATE&gt;</w:t>
      </w:r>
    </w:p>
    <w:p w14:paraId="2D43D497" w14:textId="77777777" w:rsidR="002C533B" w:rsidRDefault="002C533B" w:rsidP="002C533B">
      <w:pPr>
        <w:pStyle w:val="BodyText"/>
        <w:spacing w:after="240"/>
        <w:ind w:right="0"/>
        <w:rPr>
          <w:b/>
          <w:spacing w:val="0"/>
        </w:rPr>
      </w:pPr>
      <w:r w:rsidRPr="007108FD">
        <w:rPr>
          <w:b/>
          <w:spacing w:val="0"/>
        </w:rPr>
        <w:t>Record of Changes:</w:t>
      </w:r>
    </w:p>
    <w:tbl>
      <w:tblPr>
        <w:tblStyle w:val="TableGrid13"/>
        <w:tblW w:w="9360" w:type="dxa"/>
        <w:jc w:val="center"/>
        <w:tblLayout w:type="fixed"/>
        <w:tblCellMar>
          <w:top w:w="43" w:type="dxa"/>
          <w:left w:w="86" w:type="dxa"/>
          <w:bottom w:w="43" w:type="dxa"/>
          <w:right w:w="86" w:type="dxa"/>
        </w:tblCellMar>
        <w:tblLook w:val="04A0" w:firstRow="1" w:lastRow="0" w:firstColumn="1" w:lastColumn="0" w:noHBand="0" w:noVBand="1"/>
      </w:tblPr>
      <w:tblGrid>
        <w:gridCol w:w="998"/>
        <w:gridCol w:w="1602"/>
        <w:gridCol w:w="2669"/>
        <w:gridCol w:w="4091"/>
      </w:tblGrid>
      <w:tr w:rsidR="002C533B" w:rsidRPr="00D87355" w14:paraId="2D43D49C" w14:textId="77777777" w:rsidTr="00B07F51">
        <w:trPr>
          <w:jc w:val="center"/>
        </w:trPr>
        <w:tc>
          <w:tcPr>
            <w:tcW w:w="998" w:type="dxa"/>
            <w:tcBorders>
              <w:top w:val="single" w:sz="4" w:space="0" w:color="auto"/>
              <w:left w:val="single" w:sz="4" w:space="0" w:color="auto"/>
              <w:bottom w:val="single" w:sz="4" w:space="0" w:color="auto"/>
              <w:right w:val="single" w:sz="4" w:space="0" w:color="auto"/>
            </w:tcBorders>
            <w:hideMark/>
          </w:tcPr>
          <w:p w14:paraId="2D43D498" w14:textId="77777777" w:rsidR="002C533B" w:rsidRPr="00D87355" w:rsidRDefault="002C533B" w:rsidP="00B07F51">
            <w:pPr>
              <w:spacing w:after="0"/>
              <w:jc w:val="center"/>
            </w:pPr>
            <w:r w:rsidRPr="00D87355">
              <w:t>Version</w:t>
            </w:r>
          </w:p>
        </w:tc>
        <w:tc>
          <w:tcPr>
            <w:tcW w:w="1602" w:type="dxa"/>
            <w:tcBorders>
              <w:top w:val="single" w:sz="4" w:space="0" w:color="auto"/>
              <w:left w:val="single" w:sz="4" w:space="0" w:color="auto"/>
              <w:bottom w:val="single" w:sz="4" w:space="0" w:color="auto"/>
              <w:right w:val="single" w:sz="4" w:space="0" w:color="auto"/>
            </w:tcBorders>
            <w:hideMark/>
          </w:tcPr>
          <w:p w14:paraId="2D43D499" w14:textId="77777777" w:rsidR="002C533B" w:rsidRPr="00D87355" w:rsidRDefault="002C533B" w:rsidP="00B07F51">
            <w:pPr>
              <w:spacing w:after="0"/>
              <w:jc w:val="center"/>
            </w:pPr>
            <w:r w:rsidRPr="00D87355">
              <w:t>Date</w:t>
            </w:r>
          </w:p>
        </w:tc>
        <w:tc>
          <w:tcPr>
            <w:tcW w:w="2669" w:type="dxa"/>
            <w:tcBorders>
              <w:top w:val="single" w:sz="4" w:space="0" w:color="auto"/>
              <w:left w:val="single" w:sz="4" w:space="0" w:color="auto"/>
              <w:bottom w:val="single" w:sz="4" w:space="0" w:color="auto"/>
              <w:right w:val="single" w:sz="4" w:space="0" w:color="auto"/>
            </w:tcBorders>
            <w:hideMark/>
          </w:tcPr>
          <w:p w14:paraId="2D43D49A" w14:textId="77777777" w:rsidR="002C533B" w:rsidRPr="00D87355" w:rsidRDefault="002C533B" w:rsidP="00B07F51">
            <w:pPr>
              <w:spacing w:after="0"/>
              <w:jc w:val="center"/>
            </w:pPr>
            <w:r w:rsidRPr="00D87355">
              <w:t>Sections Modified</w:t>
            </w:r>
          </w:p>
        </w:tc>
        <w:tc>
          <w:tcPr>
            <w:tcW w:w="4091" w:type="dxa"/>
            <w:tcBorders>
              <w:top w:val="single" w:sz="4" w:space="0" w:color="auto"/>
              <w:left w:val="single" w:sz="4" w:space="0" w:color="auto"/>
              <w:bottom w:val="single" w:sz="4" w:space="0" w:color="auto"/>
              <w:right w:val="single" w:sz="4" w:space="0" w:color="auto"/>
            </w:tcBorders>
            <w:hideMark/>
          </w:tcPr>
          <w:p w14:paraId="2D43D49B" w14:textId="77777777" w:rsidR="002C533B" w:rsidRPr="00D87355" w:rsidRDefault="002C533B" w:rsidP="00B07F51">
            <w:pPr>
              <w:spacing w:after="0"/>
              <w:jc w:val="center"/>
            </w:pPr>
            <w:r w:rsidRPr="00D87355">
              <w:t>Description of Changes</w:t>
            </w:r>
          </w:p>
        </w:tc>
      </w:tr>
      <w:tr w:rsidR="002C533B" w:rsidRPr="00D87355" w14:paraId="2D43D4A1" w14:textId="77777777" w:rsidTr="00B07F51">
        <w:trPr>
          <w:jc w:val="center"/>
        </w:trPr>
        <w:tc>
          <w:tcPr>
            <w:tcW w:w="998" w:type="dxa"/>
            <w:tcBorders>
              <w:top w:val="single" w:sz="4" w:space="0" w:color="auto"/>
              <w:left w:val="single" w:sz="4" w:space="0" w:color="auto"/>
              <w:bottom w:val="single" w:sz="4" w:space="0" w:color="auto"/>
              <w:right w:val="single" w:sz="4" w:space="0" w:color="auto"/>
            </w:tcBorders>
            <w:hideMark/>
          </w:tcPr>
          <w:p w14:paraId="2D43D49D" w14:textId="77777777" w:rsidR="002C533B" w:rsidRPr="00D87355" w:rsidRDefault="002C533B" w:rsidP="00B07F51">
            <w:pPr>
              <w:spacing w:after="0"/>
              <w:jc w:val="center"/>
            </w:pPr>
            <w:r w:rsidRPr="00D87355">
              <w:t>1.0</w:t>
            </w:r>
          </w:p>
        </w:tc>
        <w:tc>
          <w:tcPr>
            <w:tcW w:w="1602" w:type="dxa"/>
            <w:tcBorders>
              <w:top w:val="single" w:sz="4" w:space="0" w:color="auto"/>
              <w:left w:val="single" w:sz="4" w:space="0" w:color="auto"/>
              <w:bottom w:val="single" w:sz="4" w:space="0" w:color="auto"/>
              <w:right w:val="single" w:sz="4" w:space="0" w:color="auto"/>
            </w:tcBorders>
            <w:hideMark/>
          </w:tcPr>
          <w:p w14:paraId="2D43D49E" w14:textId="77777777" w:rsidR="002C533B" w:rsidRPr="00D87355" w:rsidRDefault="002C533B" w:rsidP="00B07F51">
            <w:pPr>
              <w:spacing w:after="0"/>
            </w:pPr>
            <w:r w:rsidRPr="00D87355">
              <w:t>DD Mm YY</w:t>
            </w:r>
          </w:p>
        </w:tc>
        <w:tc>
          <w:tcPr>
            <w:tcW w:w="2669" w:type="dxa"/>
            <w:tcBorders>
              <w:top w:val="single" w:sz="4" w:space="0" w:color="auto"/>
              <w:left w:val="single" w:sz="4" w:space="0" w:color="auto"/>
              <w:bottom w:val="single" w:sz="4" w:space="0" w:color="auto"/>
              <w:right w:val="single" w:sz="4" w:space="0" w:color="auto"/>
            </w:tcBorders>
            <w:hideMark/>
          </w:tcPr>
          <w:p w14:paraId="2D43D49F" w14:textId="77777777" w:rsidR="002C533B" w:rsidRPr="00D87355" w:rsidRDefault="002C533B" w:rsidP="00B07F51">
            <w:pPr>
              <w:spacing w:after="0"/>
              <w:jc w:val="center"/>
            </w:pPr>
            <w:r w:rsidRPr="00D87355">
              <w:t>Initial RAR</w:t>
            </w:r>
          </w:p>
        </w:tc>
        <w:tc>
          <w:tcPr>
            <w:tcW w:w="4091" w:type="dxa"/>
            <w:tcBorders>
              <w:top w:val="single" w:sz="4" w:space="0" w:color="auto"/>
              <w:left w:val="single" w:sz="4" w:space="0" w:color="auto"/>
              <w:bottom w:val="single" w:sz="4" w:space="0" w:color="auto"/>
              <w:right w:val="single" w:sz="4" w:space="0" w:color="auto"/>
            </w:tcBorders>
          </w:tcPr>
          <w:p w14:paraId="2D43D4A0" w14:textId="77777777" w:rsidR="002C533B" w:rsidRPr="00D87355" w:rsidRDefault="002C533B" w:rsidP="00B07F51">
            <w:pPr>
              <w:spacing w:after="0"/>
            </w:pPr>
          </w:p>
        </w:tc>
      </w:tr>
      <w:tr w:rsidR="002C533B" w:rsidRPr="00D87355" w14:paraId="2D43D4A6" w14:textId="77777777" w:rsidTr="00B07F51">
        <w:trPr>
          <w:jc w:val="center"/>
        </w:trPr>
        <w:tc>
          <w:tcPr>
            <w:tcW w:w="998" w:type="dxa"/>
            <w:tcBorders>
              <w:top w:val="single" w:sz="4" w:space="0" w:color="auto"/>
              <w:left w:val="single" w:sz="4" w:space="0" w:color="auto"/>
              <w:bottom w:val="single" w:sz="4" w:space="0" w:color="auto"/>
              <w:right w:val="single" w:sz="4" w:space="0" w:color="auto"/>
            </w:tcBorders>
          </w:tcPr>
          <w:p w14:paraId="2D43D4A2" w14:textId="77777777" w:rsidR="002C533B" w:rsidRPr="00D87355" w:rsidRDefault="002C533B" w:rsidP="00B07F51">
            <w:pPr>
              <w:spacing w:after="0"/>
              <w:jc w:val="center"/>
            </w:pPr>
          </w:p>
        </w:tc>
        <w:tc>
          <w:tcPr>
            <w:tcW w:w="1602" w:type="dxa"/>
            <w:tcBorders>
              <w:top w:val="single" w:sz="4" w:space="0" w:color="auto"/>
              <w:left w:val="single" w:sz="4" w:space="0" w:color="auto"/>
              <w:bottom w:val="single" w:sz="4" w:space="0" w:color="auto"/>
              <w:right w:val="single" w:sz="4" w:space="0" w:color="auto"/>
            </w:tcBorders>
          </w:tcPr>
          <w:p w14:paraId="2D43D4A3" w14:textId="77777777" w:rsidR="002C533B" w:rsidRPr="00D87355" w:rsidRDefault="002C533B" w:rsidP="00B07F51">
            <w:pPr>
              <w:spacing w:after="0"/>
              <w:jc w:val="center"/>
            </w:pPr>
          </w:p>
        </w:tc>
        <w:tc>
          <w:tcPr>
            <w:tcW w:w="2669" w:type="dxa"/>
            <w:tcBorders>
              <w:top w:val="single" w:sz="4" w:space="0" w:color="auto"/>
              <w:left w:val="single" w:sz="4" w:space="0" w:color="auto"/>
              <w:bottom w:val="single" w:sz="4" w:space="0" w:color="auto"/>
              <w:right w:val="single" w:sz="4" w:space="0" w:color="auto"/>
            </w:tcBorders>
          </w:tcPr>
          <w:p w14:paraId="2D43D4A4" w14:textId="77777777" w:rsidR="002C533B" w:rsidRPr="00D87355" w:rsidRDefault="002C533B" w:rsidP="00B07F51">
            <w:pPr>
              <w:spacing w:after="0"/>
              <w:jc w:val="center"/>
            </w:pPr>
          </w:p>
        </w:tc>
        <w:tc>
          <w:tcPr>
            <w:tcW w:w="4091" w:type="dxa"/>
            <w:tcBorders>
              <w:top w:val="single" w:sz="4" w:space="0" w:color="auto"/>
              <w:left w:val="single" w:sz="4" w:space="0" w:color="auto"/>
              <w:bottom w:val="single" w:sz="4" w:space="0" w:color="auto"/>
              <w:right w:val="single" w:sz="4" w:space="0" w:color="auto"/>
            </w:tcBorders>
          </w:tcPr>
          <w:p w14:paraId="2D43D4A5" w14:textId="77777777" w:rsidR="002C533B" w:rsidRPr="00D87355" w:rsidRDefault="002C533B" w:rsidP="00B07F51">
            <w:pPr>
              <w:spacing w:after="0"/>
            </w:pPr>
          </w:p>
        </w:tc>
      </w:tr>
      <w:tr w:rsidR="002C533B" w:rsidRPr="00D87355" w14:paraId="2D43D4AB" w14:textId="77777777" w:rsidTr="00B07F51">
        <w:trPr>
          <w:jc w:val="center"/>
        </w:trPr>
        <w:tc>
          <w:tcPr>
            <w:tcW w:w="998" w:type="dxa"/>
            <w:tcBorders>
              <w:top w:val="single" w:sz="4" w:space="0" w:color="auto"/>
              <w:left w:val="single" w:sz="4" w:space="0" w:color="auto"/>
              <w:bottom w:val="single" w:sz="4" w:space="0" w:color="auto"/>
              <w:right w:val="single" w:sz="4" w:space="0" w:color="auto"/>
            </w:tcBorders>
          </w:tcPr>
          <w:p w14:paraId="2D43D4A7" w14:textId="77777777" w:rsidR="002C533B" w:rsidRPr="00D87355" w:rsidRDefault="002C533B" w:rsidP="00B07F51">
            <w:pPr>
              <w:spacing w:after="0"/>
              <w:jc w:val="center"/>
            </w:pPr>
          </w:p>
        </w:tc>
        <w:tc>
          <w:tcPr>
            <w:tcW w:w="1602" w:type="dxa"/>
            <w:tcBorders>
              <w:top w:val="single" w:sz="4" w:space="0" w:color="auto"/>
              <w:left w:val="single" w:sz="4" w:space="0" w:color="auto"/>
              <w:bottom w:val="single" w:sz="4" w:space="0" w:color="auto"/>
              <w:right w:val="single" w:sz="4" w:space="0" w:color="auto"/>
            </w:tcBorders>
          </w:tcPr>
          <w:p w14:paraId="2D43D4A8" w14:textId="77777777" w:rsidR="002C533B" w:rsidRPr="00D87355" w:rsidRDefault="002C533B" w:rsidP="00B07F51">
            <w:pPr>
              <w:spacing w:after="0"/>
              <w:jc w:val="center"/>
            </w:pPr>
          </w:p>
        </w:tc>
        <w:tc>
          <w:tcPr>
            <w:tcW w:w="2669" w:type="dxa"/>
            <w:tcBorders>
              <w:top w:val="single" w:sz="4" w:space="0" w:color="auto"/>
              <w:left w:val="single" w:sz="4" w:space="0" w:color="auto"/>
              <w:bottom w:val="single" w:sz="4" w:space="0" w:color="auto"/>
              <w:right w:val="single" w:sz="4" w:space="0" w:color="auto"/>
            </w:tcBorders>
          </w:tcPr>
          <w:p w14:paraId="2D43D4A9" w14:textId="77777777" w:rsidR="002C533B" w:rsidRPr="00D87355" w:rsidRDefault="002C533B" w:rsidP="00B07F51">
            <w:pPr>
              <w:spacing w:after="0"/>
              <w:jc w:val="center"/>
            </w:pPr>
          </w:p>
        </w:tc>
        <w:tc>
          <w:tcPr>
            <w:tcW w:w="4091" w:type="dxa"/>
            <w:tcBorders>
              <w:top w:val="single" w:sz="4" w:space="0" w:color="auto"/>
              <w:left w:val="single" w:sz="4" w:space="0" w:color="auto"/>
              <w:bottom w:val="single" w:sz="4" w:space="0" w:color="auto"/>
              <w:right w:val="single" w:sz="4" w:space="0" w:color="auto"/>
            </w:tcBorders>
          </w:tcPr>
          <w:p w14:paraId="2D43D4AA" w14:textId="77777777" w:rsidR="002C533B" w:rsidRPr="00D87355" w:rsidRDefault="002C533B" w:rsidP="00B07F51">
            <w:pPr>
              <w:spacing w:after="0"/>
            </w:pPr>
          </w:p>
        </w:tc>
      </w:tr>
      <w:tr w:rsidR="002C533B" w:rsidRPr="00D87355" w14:paraId="2D43D4B0" w14:textId="77777777" w:rsidTr="00B07F51">
        <w:trPr>
          <w:jc w:val="center"/>
        </w:trPr>
        <w:tc>
          <w:tcPr>
            <w:tcW w:w="998" w:type="dxa"/>
            <w:tcBorders>
              <w:top w:val="single" w:sz="4" w:space="0" w:color="auto"/>
              <w:left w:val="single" w:sz="4" w:space="0" w:color="auto"/>
              <w:bottom w:val="single" w:sz="4" w:space="0" w:color="auto"/>
              <w:right w:val="single" w:sz="4" w:space="0" w:color="auto"/>
            </w:tcBorders>
          </w:tcPr>
          <w:p w14:paraId="2D43D4AC" w14:textId="77777777" w:rsidR="002C533B" w:rsidRPr="00D87355" w:rsidRDefault="002C533B" w:rsidP="00B07F51">
            <w:pPr>
              <w:spacing w:after="0"/>
              <w:jc w:val="center"/>
            </w:pPr>
          </w:p>
        </w:tc>
        <w:tc>
          <w:tcPr>
            <w:tcW w:w="1602" w:type="dxa"/>
            <w:tcBorders>
              <w:top w:val="single" w:sz="4" w:space="0" w:color="auto"/>
              <w:left w:val="single" w:sz="4" w:space="0" w:color="auto"/>
              <w:bottom w:val="single" w:sz="4" w:space="0" w:color="auto"/>
              <w:right w:val="single" w:sz="4" w:space="0" w:color="auto"/>
            </w:tcBorders>
          </w:tcPr>
          <w:p w14:paraId="2D43D4AD" w14:textId="77777777" w:rsidR="002C533B" w:rsidRPr="00D87355" w:rsidRDefault="002C533B" w:rsidP="00B07F51">
            <w:pPr>
              <w:spacing w:after="0"/>
              <w:jc w:val="center"/>
            </w:pPr>
          </w:p>
        </w:tc>
        <w:tc>
          <w:tcPr>
            <w:tcW w:w="2669" w:type="dxa"/>
            <w:tcBorders>
              <w:top w:val="single" w:sz="4" w:space="0" w:color="auto"/>
              <w:left w:val="single" w:sz="4" w:space="0" w:color="auto"/>
              <w:bottom w:val="single" w:sz="4" w:space="0" w:color="auto"/>
              <w:right w:val="single" w:sz="4" w:space="0" w:color="auto"/>
            </w:tcBorders>
          </w:tcPr>
          <w:p w14:paraId="2D43D4AE" w14:textId="77777777" w:rsidR="002C533B" w:rsidRPr="00D87355" w:rsidRDefault="002C533B" w:rsidP="00B07F51">
            <w:pPr>
              <w:spacing w:after="0"/>
              <w:jc w:val="center"/>
            </w:pPr>
          </w:p>
        </w:tc>
        <w:tc>
          <w:tcPr>
            <w:tcW w:w="4091" w:type="dxa"/>
            <w:tcBorders>
              <w:top w:val="single" w:sz="4" w:space="0" w:color="auto"/>
              <w:left w:val="single" w:sz="4" w:space="0" w:color="auto"/>
              <w:bottom w:val="single" w:sz="4" w:space="0" w:color="auto"/>
              <w:right w:val="single" w:sz="4" w:space="0" w:color="auto"/>
            </w:tcBorders>
          </w:tcPr>
          <w:p w14:paraId="2D43D4AF" w14:textId="77777777" w:rsidR="002C533B" w:rsidRPr="00D87355" w:rsidRDefault="002C533B" w:rsidP="00B07F51">
            <w:pPr>
              <w:spacing w:after="0"/>
            </w:pPr>
          </w:p>
        </w:tc>
      </w:tr>
      <w:tr w:rsidR="002C533B" w:rsidRPr="00D87355" w14:paraId="2D43D4B5" w14:textId="77777777" w:rsidTr="00B07F51">
        <w:trPr>
          <w:jc w:val="center"/>
        </w:trPr>
        <w:tc>
          <w:tcPr>
            <w:tcW w:w="998" w:type="dxa"/>
            <w:tcBorders>
              <w:top w:val="single" w:sz="4" w:space="0" w:color="auto"/>
              <w:left w:val="single" w:sz="4" w:space="0" w:color="auto"/>
              <w:bottom w:val="single" w:sz="4" w:space="0" w:color="auto"/>
              <w:right w:val="single" w:sz="4" w:space="0" w:color="auto"/>
            </w:tcBorders>
          </w:tcPr>
          <w:p w14:paraId="2D43D4B1" w14:textId="77777777" w:rsidR="002C533B" w:rsidRPr="00D87355" w:rsidRDefault="002C533B" w:rsidP="00B07F51">
            <w:pPr>
              <w:spacing w:after="0"/>
              <w:jc w:val="center"/>
            </w:pPr>
          </w:p>
        </w:tc>
        <w:tc>
          <w:tcPr>
            <w:tcW w:w="1602" w:type="dxa"/>
            <w:tcBorders>
              <w:top w:val="single" w:sz="4" w:space="0" w:color="auto"/>
              <w:left w:val="single" w:sz="4" w:space="0" w:color="auto"/>
              <w:bottom w:val="single" w:sz="4" w:space="0" w:color="auto"/>
              <w:right w:val="single" w:sz="4" w:space="0" w:color="auto"/>
            </w:tcBorders>
          </w:tcPr>
          <w:p w14:paraId="2D43D4B2" w14:textId="77777777" w:rsidR="002C533B" w:rsidRPr="00D87355" w:rsidRDefault="002C533B" w:rsidP="00B07F51">
            <w:pPr>
              <w:spacing w:after="0"/>
              <w:jc w:val="center"/>
            </w:pPr>
          </w:p>
        </w:tc>
        <w:tc>
          <w:tcPr>
            <w:tcW w:w="2669" w:type="dxa"/>
            <w:tcBorders>
              <w:top w:val="single" w:sz="4" w:space="0" w:color="auto"/>
              <w:left w:val="single" w:sz="4" w:space="0" w:color="auto"/>
              <w:bottom w:val="single" w:sz="4" w:space="0" w:color="auto"/>
              <w:right w:val="single" w:sz="4" w:space="0" w:color="auto"/>
            </w:tcBorders>
          </w:tcPr>
          <w:p w14:paraId="2D43D4B3" w14:textId="77777777" w:rsidR="002C533B" w:rsidRPr="00D87355" w:rsidRDefault="002C533B" w:rsidP="00B07F51">
            <w:pPr>
              <w:spacing w:after="0"/>
              <w:jc w:val="center"/>
            </w:pPr>
          </w:p>
        </w:tc>
        <w:tc>
          <w:tcPr>
            <w:tcW w:w="4091" w:type="dxa"/>
            <w:tcBorders>
              <w:top w:val="single" w:sz="4" w:space="0" w:color="auto"/>
              <w:left w:val="single" w:sz="4" w:space="0" w:color="auto"/>
              <w:bottom w:val="single" w:sz="4" w:space="0" w:color="auto"/>
              <w:right w:val="single" w:sz="4" w:space="0" w:color="auto"/>
            </w:tcBorders>
          </w:tcPr>
          <w:p w14:paraId="2D43D4B4" w14:textId="77777777" w:rsidR="002C533B" w:rsidRPr="00D87355" w:rsidRDefault="002C533B" w:rsidP="00B07F51">
            <w:pPr>
              <w:spacing w:after="0"/>
            </w:pPr>
          </w:p>
        </w:tc>
      </w:tr>
    </w:tbl>
    <w:p w14:paraId="2D43D4B6" w14:textId="77777777" w:rsidR="002C533B" w:rsidRDefault="002C533B" w:rsidP="002C533B">
      <w:pPr>
        <w:pStyle w:val="BodyText"/>
        <w:spacing w:after="0"/>
        <w:ind w:right="0"/>
        <w:rPr>
          <w:b/>
          <w:spacing w:val="0"/>
        </w:rPr>
      </w:pPr>
    </w:p>
    <w:p w14:paraId="2D43D4B7" w14:textId="77777777" w:rsidR="002C533B" w:rsidRPr="007108FD" w:rsidRDefault="002C533B" w:rsidP="002C533B">
      <w:pPr>
        <w:pStyle w:val="BodyText"/>
        <w:spacing w:after="240"/>
        <w:ind w:right="0"/>
        <w:rPr>
          <w:b/>
          <w:spacing w:val="0"/>
        </w:rPr>
      </w:pPr>
      <w:bookmarkStart w:id="3" w:name="_Toc450564759"/>
      <w:bookmarkStart w:id="4" w:name="_Toc450566561"/>
      <w:bookmarkStart w:id="5" w:name="_Toc451778214"/>
      <w:r w:rsidRPr="007108FD">
        <w:rPr>
          <w:b/>
          <w:spacing w:val="0"/>
        </w:rPr>
        <w:t>System Description</w:t>
      </w:r>
      <w:bookmarkEnd w:id="3"/>
      <w:bookmarkEnd w:id="4"/>
      <w:bookmarkEnd w:id="5"/>
    </w:p>
    <w:p w14:paraId="2D43D4B8" w14:textId="77777777" w:rsidR="002C533B" w:rsidRPr="007108FD" w:rsidRDefault="002C533B" w:rsidP="002C533B">
      <w:pPr>
        <w:pStyle w:val="BodyText"/>
        <w:spacing w:after="240"/>
        <w:ind w:right="0"/>
        <w:rPr>
          <w:spacing w:val="0"/>
        </w:rPr>
      </w:pPr>
      <w:bookmarkStart w:id="6" w:name="_Toc450564760"/>
      <w:bookmarkStart w:id="7" w:name="_Toc450566562"/>
      <w:bookmarkStart w:id="8" w:name="_Toc451778215"/>
      <w:r w:rsidRPr="007108FD">
        <w:rPr>
          <w:spacing w:val="0"/>
        </w:rPr>
        <w:t>The &lt;</w:t>
      </w:r>
      <w:r w:rsidRPr="007108FD">
        <w:rPr>
          <w:i/>
          <w:spacing w:val="0"/>
        </w:rPr>
        <w:t>System Name</w:t>
      </w:r>
      <w:r w:rsidRPr="007108FD">
        <w:rPr>
          <w:spacing w:val="0"/>
        </w:rPr>
        <w:t xml:space="preserve"> and </w:t>
      </w:r>
      <w:r w:rsidRPr="007108FD">
        <w:rPr>
          <w:i/>
          <w:spacing w:val="0"/>
        </w:rPr>
        <w:t>Unique Identifier</w:t>
      </w:r>
      <w:r w:rsidRPr="007108FD">
        <w:rPr>
          <w:spacing w:val="0"/>
        </w:rPr>
        <w:t>&gt; consists of &lt;</w:t>
      </w:r>
      <w:r w:rsidRPr="007108FD">
        <w:rPr>
          <w:i/>
          <w:spacing w:val="0"/>
        </w:rPr>
        <w:t>System Description</w:t>
      </w:r>
      <w:r w:rsidRPr="007108FD">
        <w:rPr>
          <w:spacing w:val="0"/>
        </w:rPr>
        <w:t>&gt; processing &lt;</w:t>
      </w:r>
      <w:r w:rsidRPr="007108FD">
        <w:rPr>
          <w:i/>
          <w:spacing w:val="0"/>
        </w:rPr>
        <w:t>Classification Level</w:t>
      </w:r>
      <w:r w:rsidRPr="007108FD">
        <w:rPr>
          <w:spacing w:val="0"/>
        </w:rPr>
        <w:t>&gt; data. The risk categorization for this Information System (IS) is assessed as &lt;</w:t>
      </w:r>
      <w:r w:rsidRPr="007108FD">
        <w:rPr>
          <w:i/>
          <w:spacing w:val="0"/>
        </w:rPr>
        <w:t>e.g., Moderate-Low-Low</w:t>
      </w:r>
      <w:r w:rsidRPr="007108FD">
        <w:rPr>
          <w:spacing w:val="0"/>
        </w:rPr>
        <w:t>&gt;.</w:t>
      </w:r>
    </w:p>
    <w:p w14:paraId="2D43D4B9" w14:textId="77777777" w:rsidR="002C533B" w:rsidRPr="007108FD" w:rsidRDefault="002C533B" w:rsidP="002C533B">
      <w:pPr>
        <w:pStyle w:val="BodyText"/>
        <w:spacing w:after="240"/>
        <w:ind w:right="0"/>
        <w:rPr>
          <w:spacing w:val="0"/>
        </w:rPr>
      </w:pPr>
      <w:r w:rsidRPr="007108FD">
        <w:rPr>
          <w:spacing w:val="0"/>
        </w:rPr>
        <w:t xml:space="preserve">IS# </w:t>
      </w:r>
      <w:r w:rsidRPr="007108FD">
        <w:rPr>
          <w:i/>
          <w:spacing w:val="0"/>
        </w:rPr>
        <w:t>&lt;Unique Identifier&gt;</w:t>
      </w:r>
      <w:r w:rsidRPr="007108FD">
        <w:rPr>
          <w:spacing w:val="0"/>
        </w:rPr>
        <w:t xml:space="preserve"> is located </w:t>
      </w:r>
      <w:r w:rsidRPr="007108FD">
        <w:rPr>
          <w:i/>
          <w:spacing w:val="0"/>
        </w:rPr>
        <w:t xml:space="preserve">&lt;insert physical environment details&gt;. </w:t>
      </w:r>
      <w:r w:rsidRPr="007108FD">
        <w:rPr>
          <w:spacing w:val="0"/>
        </w:rPr>
        <w:t xml:space="preserve">The IS </w:t>
      </w:r>
      <w:r w:rsidRPr="007108FD">
        <w:rPr>
          <w:i/>
          <w:spacing w:val="0"/>
        </w:rPr>
        <w:t>&lt;list all system connections and inter-connections, or state “has no connections, (wired or wireless)&gt;.</w:t>
      </w:r>
      <w:r w:rsidRPr="007108FD">
        <w:rPr>
          <w:spacing w:val="0"/>
        </w:rPr>
        <w:t xml:space="preserve"> This IS is used for </w:t>
      </w:r>
      <w:r w:rsidRPr="007108FD">
        <w:rPr>
          <w:i/>
          <w:spacing w:val="0"/>
        </w:rPr>
        <w:t>&lt;system purpose/function&gt;,</w:t>
      </w:r>
      <w:r w:rsidRPr="007108FD">
        <w:rPr>
          <w:spacing w:val="0"/>
        </w:rPr>
        <w:t xml:space="preserve"> in support of performance on the &lt;</w:t>
      </w:r>
      <w:r w:rsidRPr="007108FD">
        <w:rPr>
          <w:i/>
          <w:spacing w:val="0"/>
        </w:rPr>
        <w:t>list all program and/or contract information&gt;</w:t>
      </w:r>
      <w:r w:rsidRPr="007108FD">
        <w:rPr>
          <w:spacing w:val="0"/>
        </w:rPr>
        <w:t xml:space="preserve">. The IS </w:t>
      </w:r>
      <w:r w:rsidRPr="007108FD">
        <w:rPr>
          <w:i/>
          <w:spacing w:val="0"/>
        </w:rPr>
        <w:t>&lt;provide any system specific details, such as Mobility&gt;</w:t>
      </w:r>
      <w:r w:rsidRPr="007108FD">
        <w:rPr>
          <w:spacing w:val="0"/>
        </w:rPr>
        <w:t>.</w:t>
      </w:r>
    </w:p>
    <w:p w14:paraId="2D43D4BA" w14:textId="77777777" w:rsidR="002C533B" w:rsidRPr="007108FD" w:rsidRDefault="002C533B" w:rsidP="002C533B">
      <w:pPr>
        <w:pStyle w:val="BodyText"/>
        <w:spacing w:after="240"/>
        <w:ind w:right="0"/>
        <w:rPr>
          <w:spacing w:val="0"/>
        </w:rPr>
      </w:pPr>
      <w:r w:rsidRPr="007108FD">
        <w:rPr>
          <w:spacing w:val="0"/>
        </w:rPr>
        <w:t xml:space="preserve">The Information Owner is </w:t>
      </w:r>
      <w:r w:rsidRPr="007108FD">
        <w:rPr>
          <w:i/>
          <w:spacing w:val="0"/>
        </w:rPr>
        <w:t>&lt;insert POC information, including address and phone number&gt;.</w:t>
      </w:r>
    </w:p>
    <w:p w14:paraId="2D43D4BB" w14:textId="77777777" w:rsidR="002C533B" w:rsidRPr="007108FD" w:rsidRDefault="002C533B" w:rsidP="002C533B">
      <w:pPr>
        <w:pStyle w:val="BodyText"/>
        <w:spacing w:after="240"/>
        <w:ind w:right="0"/>
        <w:rPr>
          <w:spacing w:val="0"/>
        </w:rPr>
      </w:pPr>
      <w:r w:rsidRPr="007108FD">
        <w:rPr>
          <w:spacing w:val="0"/>
        </w:rPr>
        <w:t xml:space="preserve">The ISSM is </w:t>
      </w:r>
      <w:r w:rsidRPr="007108FD">
        <w:rPr>
          <w:i/>
          <w:spacing w:val="0"/>
        </w:rPr>
        <w:t>&lt;insert POC information, including address and phone number&gt;.</w:t>
      </w:r>
    </w:p>
    <w:p w14:paraId="2D43D4BC" w14:textId="77777777" w:rsidR="002C533B" w:rsidRPr="007108FD" w:rsidRDefault="002C533B" w:rsidP="002C533B">
      <w:pPr>
        <w:pStyle w:val="BodyText"/>
        <w:spacing w:after="240"/>
        <w:ind w:right="0"/>
        <w:rPr>
          <w:spacing w:val="0"/>
        </w:rPr>
      </w:pPr>
      <w:r w:rsidRPr="007108FD">
        <w:rPr>
          <w:spacing w:val="0"/>
        </w:rPr>
        <w:t xml:space="preserve">The ISSO is </w:t>
      </w:r>
      <w:r w:rsidRPr="007108FD">
        <w:rPr>
          <w:i/>
          <w:spacing w:val="0"/>
        </w:rPr>
        <w:t>&lt;insert POC information, including address and phone number&gt;.</w:t>
      </w:r>
    </w:p>
    <w:p w14:paraId="2D43D4BD" w14:textId="77777777" w:rsidR="002C533B" w:rsidRPr="007108FD" w:rsidRDefault="002C533B" w:rsidP="002C533B">
      <w:pPr>
        <w:pStyle w:val="BodyText"/>
        <w:spacing w:after="240"/>
        <w:ind w:right="0"/>
        <w:rPr>
          <w:b/>
          <w:spacing w:val="0"/>
        </w:rPr>
      </w:pPr>
      <w:r w:rsidRPr="007108FD">
        <w:rPr>
          <w:b/>
          <w:spacing w:val="0"/>
        </w:rPr>
        <w:t>Scope</w:t>
      </w:r>
      <w:bookmarkEnd w:id="6"/>
      <w:bookmarkEnd w:id="7"/>
      <w:bookmarkEnd w:id="8"/>
    </w:p>
    <w:p w14:paraId="2D43D4BE" w14:textId="77777777" w:rsidR="002C533B" w:rsidRPr="007108FD" w:rsidRDefault="002C533B" w:rsidP="002C533B">
      <w:pPr>
        <w:pStyle w:val="BodyText"/>
        <w:spacing w:after="240"/>
        <w:ind w:right="0"/>
        <w:rPr>
          <w:spacing w:val="0"/>
        </w:rPr>
      </w:pPr>
      <w:r w:rsidRPr="007108FD">
        <w:rPr>
          <w:spacing w:val="0"/>
        </w:rPr>
        <w:t>The scope of this risk assessment is focused on the system’s use of resources and controls to mitigate vulnerabilities exploitable by threat agents (internal and external) identified during the RMF control selection process, based on the system’s categorization.</w:t>
      </w:r>
    </w:p>
    <w:p w14:paraId="2D43D4BF" w14:textId="77777777" w:rsidR="002C533B" w:rsidRPr="007108FD" w:rsidRDefault="002C533B" w:rsidP="002C533B">
      <w:pPr>
        <w:pStyle w:val="BodyText"/>
        <w:spacing w:after="240"/>
        <w:ind w:right="0"/>
        <w:rPr>
          <w:spacing w:val="0"/>
        </w:rPr>
      </w:pPr>
      <w:r w:rsidRPr="007108FD">
        <w:rPr>
          <w:spacing w:val="0"/>
        </w:rPr>
        <w:t>This initial assessment will be a Tier 3 or “information system level” risk assessment. While not entirely comprehensive of all threats and vulnerabilities to the IS, this assessment will include any known risks related to the incomplete or inadequate implementation of the NIST SP 800-53 controls selected for this system. This document will be updated after certification testing to include any vulnerabilities or observations by the independent assessment team. Data collected during this assessment may be used to support higher level risk assessments at the mission/business or organization level.</w:t>
      </w:r>
    </w:p>
    <w:p w14:paraId="2D43D4C0" w14:textId="77777777" w:rsidR="002C533B" w:rsidRPr="007108FD" w:rsidRDefault="002C533B" w:rsidP="002C533B">
      <w:pPr>
        <w:pStyle w:val="BodyText"/>
        <w:spacing w:after="240"/>
        <w:ind w:right="0"/>
        <w:rPr>
          <w:i/>
          <w:spacing w:val="0"/>
        </w:rPr>
      </w:pPr>
      <w:r w:rsidRPr="007108FD">
        <w:rPr>
          <w:i/>
          <w:spacing w:val="0"/>
        </w:rPr>
        <w:lastRenderedPageBreak/>
        <w:t>&lt;Identify assumptions, constraints, timeframe. This section will include the following information:</w:t>
      </w:r>
    </w:p>
    <w:p w14:paraId="2D43D4C1" w14:textId="77777777" w:rsidR="002C533B" w:rsidRPr="007108FD" w:rsidRDefault="002C533B" w:rsidP="002C533B">
      <w:pPr>
        <w:pStyle w:val="ListBullet"/>
        <w:spacing w:before="0" w:after="240"/>
        <w:contextualSpacing w:val="0"/>
        <w:rPr>
          <w:i/>
        </w:rPr>
      </w:pPr>
      <w:r w:rsidRPr="007108FD">
        <w:rPr>
          <w:i/>
        </w:rPr>
        <w:t>Range or scope of threats considered in the assessment</w:t>
      </w:r>
    </w:p>
    <w:p w14:paraId="2D43D4C2" w14:textId="77777777" w:rsidR="002C533B" w:rsidRPr="007108FD" w:rsidRDefault="002C533B" w:rsidP="002C533B">
      <w:pPr>
        <w:pStyle w:val="ListBullet"/>
        <w:spacing w:before="0" w:after="240"/>
        <w:contextualSpacing w:val="0"/>
        <w:rPr>
          <w:i/>
        </w:rPr>
      </w:pPr>
      <w:r w:rsidRPr="007108FD">
        <w:rPr>
          <w:i/>
        </w:rPr>
        <w:t>Summary of tools/methods used to ensure NIST SP 800-53 compliance</w:t>
      </w:r>
    </w:p>
    <w:p w14:paraId="2D43D4C3" w14:textId="77777777" w:rsidR="002C533B" w:rsidRPr="007108FD" w:rsidRDefault="002C533B" w:rsidP="002C533B">
      <w:pPr>
        <w:pStyle w:val="ListBullet"/>
        <w:spacing w:before="0" w:after="240"/>
        <w:contextualSpacing w:val="0"/>
        <w:rPr>
          <w:i/>
        </w:rPr>
      </w:pPr>
      <w:r w:rsidRPr="007108FD">
        <w:rPr>
          <w:i/>
        </w:rPr>
        <w:t>Details regarding any instances of non-compliance</w:t>
      </w:r>
    </w:p>
    <w:p w14:paraId="2D43D4C4" w14:textId="77777777" w:rsidR="002C533B" w:rsidRPr="007108FD" w:rsidRDefault="002C533B" w:rsidP="002C533B">
      <w:pPr>
        <w:pStyle w:val="ListBullet"/>
        <w:keepNext/>
        <w:spacing w:before="0" w:after="240"/>
        <w:contextualSpacing w:val="0"/>
        <w:rPr>
          <w:i/>
        </w:rPr>
      </w:pPr>
      <w:r w:rsidRPr="007108FD">
        <w:rPr>
          <w:i/>
        </w:rPr>
        <w:t>Relevant operating conditions and physical security conditions</w:t>
      </w:r>
    </w:p>
    <w:p w14:paraId="2D43D4C5" w14:textId="77777777" w:rsidR="002C533B" w:rsidRPr="007108FD" w:rsidRDefault="002C533B" w:rsidP="002C533B">
      <w:pPr>
        <w:pStyle w:val="ListBullet"/>
        <w:spacing w:before="0" w:after="240"/>
        <w:contextualSpacing w:val="0"/>
        <w:rPr>
          <w:i/>
        </w:rPr>
      </w:pPr>
      <w:r w:rsidRPr="007108FD">
        <w:rPr>
          <w:i/>
        </w:rPr>
        <w:t>Timeframe supported by the assessment (Example: security-relevant changes that are anticipated before the authorization, expiration of the existing authorization, etc.).&gt;</w:t>
      </w:r>
    </w:p>
    <w:p w14:paraId="2D43D4C6" w14:textId="77777777" w:rsidR="002C533B" w:rsidRPr="007108FD" w:rsidRDefault="002C533B" w:rsidP="002C533B">
      <w:pPr>
        <w:pStyle w:val="BodyText"/>
        <w:spacing w:after="240"/>
        <w:ind w:right="0"/>
        <w:rPr>
          <w:b/>
          <w:spacing w:val="0"/>
        </w:rPr>
      </w:pPr>
      <w:bookmarkStart w:id="9" w:name="_Toc450564761"/>
      <w:bookmarkStart w:id="10" w:name="_Toc450566563"/>
      <w:bookmarkStart w:id="11" w:name="_Toc451778216"/>
      <w:r w:rsidRPr="007108FD">
        <w:rPr>
          <w:b/>
          <w:spacing w:val="0"/>
        </w:rPr>
        <w:t>Purpose</w:t>
      </w:r>
      <w:bookmarkEnd w:id="9"/>
      <w:bookmarkEnd w:id="10"/>
      <w:bookmarkEnd w:id="11"/>
    </w:p>
    <w:p w14:paraId="2D43D4C7" w14:textId="77777777" w:rsidR="002C533B" w:rsidRPr="007108FD" w:rsidRDefault="002C533B" w:rsidP="002C533B">
      <w:pPr>
        <w:pStyle w:val="BodyText"/>
        <w:spacing w:after="240"/>
        <w:ind w:right="0"/>
        <w:rPr>
          <w:i/>
          <w:spacing w:val="0"/>
        </w:rPr>
      </w:pPr>
      <w:r w:rsidRPr="007108FD">
        <w:rPr>
          <w:i/>
          <w:spacing w:val="0"/>
        </w:rPr>
        <w:t>&lt;Provide details on why this risk assessment is being conducted, including whether it is an initial or other subsequent assessment, and state the circumstances that prompted the assessment. Example: This initial risk assessment was conducted to document areas where the selection and implementation of RMF controls may have left residual risk. This will provide security control assessors and authorizing officials an upfront risk profile.&gt;</w:t>
      </w:r>
    </w:p>
    <w:p w14:paraId="2D43D4C8" w14:textId="77777777" w:rsidR="002C533B" w:rsidRPr="007108FD" w:rsidRDefault="002C533B" w:rsidP="002C533B">
      <w:pPr>
        <w:pStyle w:val="BodyText"/>
        <w:spacing w:after="240"/>
        <w:ind w:right="0"/>
        <w:rPr>
          <w:b/>
          <w:spacing w:val="0"/>
        </w:rPr>
      </w:pPr>
      <w:bookmarkStart w:id="12" w:name="_Toc450564762"/>
      <w:bookmarkStart w:id="13" w:name="_Toc450566564"/>
      <w:bookmarkStart w:id="14" w:name="_Toc451778217"/>
      <w:r w:rsidRPr="007108FD">
        <w:rPr>
          <w:b/>
          <w:spacing w:val="0"/>
        </w:rPr>
        <w:t>Risk Assessment Approach</w:t>
      </w:r>
      <w:bookmarkEnd w:id="12"/>
      <w:bookmarkEnd w:id="13"/>
      <w:bookmarkEnd w:id="14"/>
    </w:p>
    <w:p w14:paraId="2D43D4C9" w14:textId="77777777" w:rsidR="002C533B" w:rsidRPr="007108FD" w:rsidRDefault="002C533B" w:rsidP="002C533B">
      <w:pPr>
        <w:pStyle w:val="BodyText"/>
        <w:spacing w:after="240"/>
        <w:ind w:right="0"/>
        <w:rPr>
          <w:spacing w:val="0"/>
        </w:rPr>
      </w:pPr>
      <w:r w:rsidRPr="007108FD">
        <w:rPr>
          <w:spacing w:val="0"/>
        </w:rPr>
        <w:t xml:space="preserve">This initial risk assessment was conducted using the guidelines outlined in the </w:t>
      </w:r>
      <w:r w:rsidRPr="007108FD">
        <w:rPr>
          <w:i/>
          <w:spacing w:val="0"/>
        </w:rPr>
        <w:t>NIST SP 800-30, Guide for Conducting Risk Assessments</w:t>
      </w:r>
      <w:r w:rsidRPr="007108FD">
        <w:rPr>
          <w:spacing w:val="0"/>
        </w:rPr>
        <w:t xml:space="preserve">. A </w:t>
      </w:r>
      <w:r w:rsidRPr="007108FD">
        <w:rPr>
          <w:i/>
          <w:spacing w:val="0"/>
        </w:rPr>
        <w:t>&lt;SELECT QUALITATIVE / QUANTITATIVE / SEMI-QUANTITATIVE&gt;</w:t>
      </w:r>
      <w:r w:rsidRPr="007108FD">
        <w:rPr>
          <w:spacing w:val="0"/>
        </w:rPr>
        <w:t xml:space="preserve"> approach will be utilized for this assessment. Risk will be determined based on a threat event, the likelihood of that threat event occurring, known system vulnerabilities, mitigating factors, and consequences/impact to mission.</w:t>
      </w:r>
    </w:p>
    <w:p w14:paraId="2D43D4CA" w14:textId="77777777" w:rsidR="002C533B" w:rsidRPr="007108FD" w:rsidRDefault="002C533B" w:rsidP="002C533B">
      <w:pPr>
        <w:pStyle w:val="BodyText"/>
        <w:spacing w:after="240"/>
        <w:ind w:right="0"/>
        <w:rPr>
          <w:spacing w:val="0"/>
        </w:rPr>
      </w:pPr>
      <w:r w:rsidRPr="007108FD">
        <w:rPr>
          <w:spacing w:val="0"/>
        </w:rPr>
        <w:t>The following table is provided as a list of sample threat sources. Use this table to determine relevant threats to the system.</w:t>
      </w:r>
    </w:p>
    <w:p w14:paraId="2D43D4CB" w14:textId="77777777" w:rsidR="002C533B" w:rsidRPr="00D87355" w:rsidRDefault="002C533B" w:rsidP="002C533B">
      <w:pPr>
        <w:tabs>
          <w:tab w:val="left" w:pos="936"/>
        </w:tabs>
        <w:suppressAutoHyphens w:val="0"/>
        <w:jc w:val="center"/>
        <w:rPr>
          <w:b/>
          <w:bCs/>
          <w:lang w:eastAsia="en-US"/>
        </w:rPr>
      </w:pPr>
      <w:r w:rsidRPr="00D87355">
        <w:rPr>
          <w:b/>
          <w:bCs/>
          <w:lang w:eastAsia="en-US"/>
        </w:rPr>
        <w:t>Table 1: Sample Threat Sources (see NIST SP 800-30 for complete list)</w:t>
      </w:r>
    </w:p>
    <w:tbl>
      <w:tblPr>
        <w:tblStyle w:val="TableGrid14"/>
        <w:tblW w:w="9504" w:type="dxa"/>
        <w:jc w:val="center"/>
        <w:tblCellMar>
          <w:top w:w="58" w:type="dxa"/>
          <w:left w:w="115" w:type="dxa"/>
          <w:bottom w:w="58" w:type="dxa"/>
          <w:right w:w="115" w:type="dxa"/>
        </w:tblCellMar>
        <w:tblLook w:val="04A0" w:firstRow="1" w:lastRow="0" w:firstColumn="1" w:lastColumn="0" w:noHBand="0" w:noVBand="1"/>
      </w:tblPr>
      <w:tblGrid>
        <w:gridCol w:w="5060"/>
        <w:gridCol w:w="4444"/>
      </w:tblGrid>
      <w:tr w:rsidR="002C533B" w:rsidRPr="00D87355" w14:paraId="2D43D4CE" w14:textId="77777777" w:rsidTr="00B07F51">
        <w:trPr>
          <w:cantSplit/>
          <w:trHeight w:val="287"/>
          <w:tblHeader/>
          <w:jc w:val="center"/>
        </w:trPr>
        <w:tc>
          <w:tcPr>
            <w:tcW w:w="5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4CC" w14:textId="77777777" w:rsidR="002C533B" w:rsidRPr="00D87355" w:rsidRDefault="002C533B" w:rsidP="00B07F51">
            <w:pPr>
              <w:spacing w:before="20" w:after="20"/>
              <w:jc w:val="center"/>
            </w:pPr>
            <w:r w:rsidRPr="00D87355">
              <w:t>TYPE OF THREAT SOURCE</w:t>
            </w:r>
          </w:p>
        </w:tc>
        <w:tc>
          <w:tcPr>
            <w:tcW w:w="45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4CD" w14:textId="77777777" w:rsidR="002C533B" w:rsidRPr="00D87355" w:rsidRDefault="002C533B" w:rsidP="00B07F51">
            <w:pPr>
              <w:spacing w:before="20" w:after="20"/>
              <w:jc w:val="center"/>
            </w:pPr>
            <w:r w:rsidRPr="00D87355">
              <w:t>DESCRIPTION</w:t>
            </w:r>
          </w:p>
        </w:tc>
      </w:tr>
      <w:tr w:rsidR="002C533B" w:rsidRPr="00D87355" w14:paraId="2D43D4D5" w14:textId="77777777" w:rsidTr="00B07F51">
        <w:trPr>
          <w:cantSplit/>
          <w:jc w:val="center"/>
        </w:trPr>
        <w:tc>
          <w:tcPr>
            <w:tcW w:w="5125" w:type="dxa"/>
            <w:tcBorders>
              <w:top w:val="single" w:sz="4" w:space="0" w:color="auto"/>
              <w:left w:val="single" w:sz="4" w:space="0" w:color="auto"/>
              <w:bottom w:val="single" w:sz="4" w:space="0" w:color="auto"/>
              <w:right w:val="single" w:sz="4" w:space="0" w:color="auto"/>
            </w:tcBorders>
            <w:hideMark/>
          </w:tcPr>
          <w:p w14:paraId="2D43D4CF" w14:textId="77777777" w:rsidR="002C533B" w:rsidRPr="00D87355" w:rsidRDefault="002C533B" w:rsidP="00B07F51">
            <w:pPr>
              <w:spacing w:before="20" w:after="20"/>
              <w:jc w:val="left"/>
            </w:pPr>
            <w:r w:rsidRPr="00D87355">
              <w:t>ADVERSARIAL</w:t>
            </w:r>
          </w:p>
          <w:p w14:paraId="2D43D4D0"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Individual (outsider, insider, trusted, privileged)</w:t>
            </w:r>
          </w:p>
          <w:p w14:paraId="2D43D4D1"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Group (ad-hoc or established)</w:t>
            </w:r>
          </w:p>
          <w:p w14:paraId="2D43D4D2"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Organization (competitor, supplier, partner, customer)</w:t>
            </w:r>
          </w:p>
          <w:p w14:paraId="2D43D4D3"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Nation state</w:t>
            </w:r>
          </w:p>
        </w:tc>
        <w:tc>
          <w:tcPr>
            <w:tcW w:w="4523" w:type="dxa"/>
            <w:tcBorders>
              <w:top w:val="single" w:sz="4" w:space="0" w:color="auto"/>
              <w:left w:val="single" w:sz="4" w:space="0" w:color="auto"/>
              <w:bottom w:val="single" w:sz="4" w:space="0" w:color="auto"/>
              <w:right w:val="single" w:sz="4" w:space="0" w:color="auto"/>
            </w:tcBorders>
            <w:hideMark/>
          </w:tcPr>
          <w:p w14:paraId="2D43D4D4" w14:textId="77777777" w:rsidR="002C533B" w:rsidRPr="00D87355" w:rsidRDefault="002C533B" w:rsidP="00B07F51">
            <w:pPr>
              <w:spacing w:before="20" w:after="20"/>
              <w:jc w:val="left"/>
            </w:pPr>
            <w:r w:rsidRPr="00D87355">
              <w:t>Individuals, groups, organizations, or states that seek to exploit the organization’s dependence on cyber resources (e.g., information in electronic form, information and communications, and the communications and information-handling capabilities provided by those technologies.</w:t>
            </w:r>
          </w:p>
        </w:tc>
      </w:tr>
      <w:tr w:rsidR="002C533B" w:rsidRPr="00D87355" w14:paraId="2D43D4DA" w14:textId="77777777" w:rsidTr="00B07F51">
        <w:trPr>
          <w:cantSplit/>
          <w:jc w:val="center"/>
        </w:trPr>
        <w:tc>
          <w:tcPr>
            <w:tcW w:w="5125" w:type="dxa"/>
            <w:tcBorders>
              <w:top w:val="single" w:sz="4" w:space="0" w:color="auto"/>
              <w:left w:val="single" w:sz="4" w:space="0" w:color="auto"/>
              <w:bottom w:val="single" w:sz="4" w:space="0" w:color="auto"/>
              <w:right w:val="single" w:sz="4" w:space="0" w:color="auto"/>
            </w:tcBorders>
            <w:hideMark/>
          </w:tcPr>
          <w:p w14:paraId="2D43D4D6" w14:textId="77777777" w:rsidR="002C533B" w:rsidRPr="00D87355" w:rsidRDefault="002C533B" w:rsidP="00B07F51">
            <w:pPr>
              <w:spacing w:before="20" w:after="20"/>
              <w:jc w:val="left"/>
            </w:pPr>
            <w:r w:rsidRPr="00D87355">
              <w:t>ADVERSARIAL</w:t>
            </w:r>
          </w:p>
          <w:p w14:paraId="2D43D4D7"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Standard user</w:t>
            </w:r>
          </w:p>
          <w:p w14:paraId="2D43D4D8"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Privileged user/Administrator</w:t>
            </w:r>
          </w:p>
        </w:tc>
        <w:tc>
          <w:tcPr>
            <w:tcW w:w="4523" w:type="dxa"/>
            <w:tcBorders>
              <w:top w:val="single" w:sz="4" w:space="0" w:color="auto"/>
              <w:left w:val="single" w:sz="4" w:space="0" w:color="auto"/>
              <w:bottom w:val="single" w:sz="4" w:space="0" w:color="auto"/>
              <w:right w:val="single" w:sz="4" w:space="0" w:color="auto"/>
            </w:tcBorders>
            <w:hideMark/>
          </w:tcPr>
          <w:p w14:paraId="2D43D4D9" w14:textId="77777777" w:rsidR="002C533B" w:rsidRPr="00D87355" w:rsidRDefault="002C533B" w:rsidP="00B07F51">
            <w:pPr>
              <w:spacing w:before="20" w:after="20"/>
              <w:jc w:val="left"/>
            </w:pPr>
            <w:r w:rsidRPr="00D87355">
              <w:t>Erroneous actions taken by individuals in the course of executing everyday responsibilities.</w:t>
            </w:r>
          </w:p>
        </w:tc>
      </w:tr>
      <w:tr w:rsidR="002C533B" w:rsidRPr="00D87355" w14:paraId="2D43D4E6" w14:textId="77777777" w:rsidTr="00B07F51">
        <w:trPr>
          <w:cantSplit/>
          <w:jc w:val="center"/>
        </w:trPr>
        <w:tc>
          <w:tcPr>
            <w:tcW w:w="5125" w:type="dxa"/>
            <w:tcBorders>
              <w:top w:val="single" w:sz="4" w:space="0" w:color="auto"/>
              <w:left w:val="single" w:sz="4" w:space="0" w:color="auto"/>
              <w:bottom w:val="single" w:sz="4" w:space="0" w:color="auto"/>
              <w:right w:val="single" w:sz="4" w:space="0" w:color="auto"/>
            </w:tcBorders>
            <w:hideMark/>
          </w:tcPr>
          <w:p w14:paraId="2D43D4DB" w14:textId="77777777" w:rsidR="002C533B" w:rsidRPr="00D87355" w:rsidRDefault="002C533B" w:rsidP="00B07F51">
            <w:pPr>
              <w:spacing w:before="20" w:after="20"/>
              <w:jc w:val="left"/>
            </w:pPr>
            <w:r w:rsidRPr="00D87355">
              <w:lastRenderedPageBreak/>
              <w:t>STRUCTURAL</w:t>
            </w:r>
          </w:p>
          <w:p w14:paraId="2D43D4DC"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IT Equipment (storage, processing, comm., display, sensor, controller)</w:t>
            </w:r>
          </w:p>
          <w:p w14:paraId="2D43D4DD"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Environmental conditions</w:t>
            </w:r>
          </w:p>
          <w:p w14:paraId="2D43D4DE" w14:textId="77777777" w:rsidR="002C533B" w:rsidRPr="00D87355" w:rsidRDefault="002C533B" w:rsidP="002C533B">
            <w:pPr>
              <w:numPr>
                <w:ilvl w:val="0"/>
                <w:numId w:val="1"/>
              </w:numPr>
              <w:tabs>
                <w:tab w:val="clear" w:pos="0"/>
                <w:tab w:val="clear" w:pos="360"/>
                <w:tab w:val="clear" w:pos="540"/>
                <w:tab w:val="clear" w:pos="1440"/>
              </w:tabs>
              <w:spacing w:before="20" w:after="20"/>
              <w:ind w:left="539" w:hanging="270"/>
              <w:jc w:val="left"/>
              <w:rPr>
                <w:szCs w:val="20"/>
              </w:rPr>
            </w:pPr>
            <w:r w:rsidRPr="00D87355">
              <w:rPr>
                <w:szCs w:val="20"/>
              </w:rPr>
              <w:t>Temperature/humidity controls</w:t>
            </w:r>
          </w:p>
          <w:p w14:paraId="2D43D4DF" w14:textId="77777777" w:rsidR="002C533B" w:rsidRPr="00D87355" w:rsidRDefault="002C533B" w:rsidP="002C533B">
            <w:pPr>
              <w:numPr>
                <w:ilvl w:val="0"/>
                <w:numId w:val="1"/>
              </w:numPr>
              <w:tabs>
                <w:tab w:val="clear" w:pos="0"/>
                <w:tab w:val="clear" w:pos="360"/>
                <w:tab w:val="clear" w:pos="540"/>
                <w:tab w:val="clear" w:pos="1440"/>
              </w:tabs>
              <w:spacing w:before="20" w:after="20"/>
              <w:ind w:left="539" w:hanging="270"/>
              <w:jc w:val="left"/>
              <w:rPr>
                <w:szCs w:val="20"/>
              </w:rPr>
            </w:pPr>
            <w:r w:rsidRPr="00D87355">
              <w:rPr>
                <w:szCs w:val="20"/>
              </w:rPr>
              <w:t>Power supply</w:t>
            </w:r>
          </w:p>
          <w:p w14:paraId="2D43D4E0"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Software</w:t>
            </w:r>
          </w:p>
          <w:p w14:paraId="2D43D4E1" w14:textId="77777777" w:rsidR="002C533B" w:rsidRPr="00D87355" w:rsidRDefault="002C533B" w:rsidP="002C533B">
            <w:pPr>
              <w:numPr>
                <w:ilvl w:val="0"/>
                <w:numId w:val="1"/>
              </w:numPr>
              <w:tabs>
                <w:tab w:val="clear" w:pos="0"/>
                <w:tab w:val="clear" w:pos="360"/>
                <w:tab w:val="clear" w:pos="540"/>
                <w:tab w:val="clear" w:pos="1440"/>
              </w:tabs>
              <w:spacing w:before="20" w:after="20"/>
              <w:ind w:left="539" w:hanging="270"/>
              <w:jc w:val="left"/>
              <w:rPr>
                <w:szCs w:val="20"/>
              </w:rPr>
            </w:pPr>
            <w:r w:rsidRPr="00D87355">
              <w:rPr>
                <w:szCs w:val="20"/>
              </w:rPr>
              <w:t>Operating system</w:t>
            </w:r>
          </w:p>
          <w:p w14:paraId="2D43D4E2" w14:textId="77777777" w:rsidR="002C533B" w:rsidRPr="00D87355" w:rsidRDefault="002C533B" w:rsidP="002C533B">
            <w:pPr>
              <w:numPr>
                <w:ilvl w:val="0"/>
                <w:numId w:val="1"/>
              </w:numPr>
              <w:tabs>
                <w:tab w:val="clear" w:pos="0"/>
                <w:tab w:val="clear" w:pos="360"/>
                <w:tab w:val="clear" w:pos="540"/>
                <w:tab w:val="clear" w:pos="1440"/>
              </w:tabs>
              <w:spacing w:before="20" w:after="20"/>
              <w:ind w:left="539" w:hanging="270"/>
              <w:jc w:val="left"/>
              <w:rPr>
                <w:szCs w:val="20"/>
              </w:rPr>
            </w:pPr>
            <w:r w:rsidRPr="00D87355">
              <w:rPr>
                <w:szCs w:val="20"/>
              </w:rPr>
              <w:t>Networking</w:t>
            </w:r>
          </w:p>
          <w:p w14:paraId="2D43D4E3" w14:textId="77777777" w:rsidR="002C533B" w:rsidRPr="00D87355" w:rsidRDefault="002C533B" w:rsidP="002C533B">
            <w:pPr>
              <w:numPr>
                <w:ilvl w:val="0"/>
                <w:numId w:val="1"/>
              </w:numPr>
              <w:tabs>
                <w:tab w:val="clear" w:pos="0"/>
                <w:tab w:val="clear" w:pos="360"/>
                <w:tab w:val="clear" w:pos="540"/>
                <w:tab w:val="clear" w:pos="1440"/>
              </w:tabs>
              <w:spacing w:before="20" w:after="20"/>
              <w:ind w:left="539" w:hanging="270"/>
              <w:jc w:val="left"/>
              <w:rPr>
                <w:szCs w:val="20"/>
              </w:rPr>
            </w:pPr>
            <w:r w:rsidRPr="00D87355">
              <w:rPr>
                <w:szCs w:val="20"/>
              </w:rPr>
              <w:t>General-purpose application</w:t>
            </w:r>
          </w:p>
          <w:p w14:paraId="2D43D4E4" w14:textId="77777777" w:rsidR="002C533B" w:rsidRPr="00D87355" w:rsidRDefault="002C533B" w:rsidP="002C533B">
            <w:pPr>
              <w:numPr>
                <w:ilvl w:val="0"/>
                <w:numId w:val="1"/>
              </w:numPr>
              <w:tabs>
                <w:tab w:val="clear" w:pos="0"/>
                <w:tab w:val="clear" w:pos="360"/>
                <w:tab w:val="clear" w:pos="540"/>
                <w:tab w:val="clear" w:pos="1440"/>
              </w:tabs>
              <w:spacing w:before="20" w:after="20"/>
              <w:ind w:left="539" w:hanging="270"/>
              <w:jc w:val="left"/>
              <w:rPr>
                <w:szCs w:val="20"/>
              </w:rPr>
            </w:pPr>
            <w:r w:rsidRPr="00D87355">
              <w:rPr>
                <w:szCs w:val="20"/>
              </w:rPr>
              <w:t>Mission-specific application</w:t>
            </w:r>
          </w:p>
        </w:tc>
        <w:tc>
          <w:tcPr>
            <w:tcW w:w="4523" w:type="dxa"/>
            <w:tcBorders>
              <w:top w:val="single" w:sz="4" w:space="0" w:color="auto"/>
              <w:left w:val="single" w:sz="4" w:space="0" w:color="auto"/>
              <w:bottom w:val="single" w:sz="4" w:space="0" w:color="auto"/>
              <w:right w:val="single" w:sz="4" w:space="0" w:color="auto"/>
            </w:tcBorders>
            <w:hideMark/>
          </w:tcPr>
          <w:p w14:paraId="2D43D4E5" w14:textId="77777777" w:rsidR="002C533B" w:rsidRPr="00D87355" w:rsidRDefault="002C533B" w:rsidP="00B07F51">
            <w:pPr>
              <w:spacing w:before="20" w:after="20"/>
              <w:jc w:val="left"/>
            </w:pPr>
            <w:r w:rsidRPr="00D87355">
              <w:t>Failures of equipment, environmental controls, or software due to aging, resource depletion, or other circumstances which exceed expected operating parameters.</w:t>
            </w:r>
          </w:p>
        </w:tc>
      </w:tr>
      <w:tr w:rsidR="002C533B" w:rsidRPr="00D87355" w14:paraId="2D43D4EC" w14:textId="77777777" w:rsidTr="00B07F51">
        <w:trPr>
          <w:cantSplit/>
          <w:jc w:val="center"/>
        </w:trPr>
        <w:tc>
          <w:tcPr>
            <w:tcW w:w="5125" w:type="dxa"/>
            <w:tcBorders>
              <w:top w:val="single" w:sz="4" w:space="0" w:color="auto"/>
              <w:left w:val="single" w:sz="4" w:space="0" w:color="auto"/>
              <w:bottom w:val="single" w:sz="4" w:space="0" w:color="auto"/>
              <w:right w:val="single" w:sz="4" w:space="0" w:color="auto"/>
            </w:tcBorders>
            <w:hideMark/>
          </w:tcPr>
          <w:p w14:paraId="2D43D4E7" w14:textId="77777777" w:rsidR="002C533B" w:rsidRPr="00D87355" w:rsidRDefault="002C533B" w:rsidP="00B07F51">
            <w:pPr>
              <w:spacing w:before="20" w:after="20"/>
              <w:jc w:val="left"/>
            </w:pPr>
            <w:r w:rsidRPr="00D87355">
              <w:t>ENVIRONMENTAL</w:t>
            </w:r>
          </w:p>
          <w:p w14:paraId="2D43D4E8"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Natural or man-made (fire, flood, earthquake, etc.)</w:t>
            </w:r>
          </w:p>
          <w:p w14:paraId="2D43D4E9"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Unusual natural event (e.g., sunspots)</w:t>
            </w:r>
          </w:p>
          <w:p w14:paraId="2D43D4EA" w14:textId="77777777" w:rsidR="002C533B" w:rsidRPr="00D87355" w:rsidRDefault="002C533B" w:rsidP="002C533B">
            <w:pPr>
              <w:numPr>
                <w:ilvl w:val="0"/>
                <w:numId w:val="3"/>
              </w:numPr>
              <w:tabs>
                <w:tab w:val="clear" w:pos="0"/>
                <w:tab w:val="clear" w:pos="540"/>
                <w:tab w:val="clear" w:pos="1440"/>
              </w:tabs>
              <w:suppressAutoHyphens w:val="0"/>
              <w:spacing w:before="20" w:after="20"/>
              <w:ind w:left="269" w:hanging="180"/>
              <w:jc w:val="left"/>
            </w:pPr>
            <w:r w:rsidRPr="00D87355">
              <w:t>Infrastructure failure/outage (electrical, telecomm)</w:t>
            </w:r>
          </w:p>
        </w:tc>
        <w:tc>
          <w:tcPr>
            <w:tcW w:w="4523" w:type="dxa"/>
            <w:tcBorders>
              <w:top w:val="single" w:sz="4" w:space="0" w:color="auto"/>
              <w:left w:val="single" w:sz="4" w:space="0" w:color="auto"/>
              <w:bottom w:val="single" w:sz="4" w:space="0" w:color="auto"/>
              <w:right w:val="single" w:sz="4" w:space="0" w:color="auto"/>
            </w:tcBorders>
            <w:hideMark/>
          </w:tcPr>
          <w:p w14:paraId="2D43D4EB" w14:textId="77777777" w:rsidR="002C533B" w:rsidRPr="00D87355" w:rsidRDefault="002C533B" w:rsidP="00B07F51">
            <w:pPr>
              <w:spacing w:before="20" w:after="20"/>
              <w:jc w:val="left"/>
            </w:pPr>
            <w:r w:rsidRPr="00D87355">
              <w:t>Natural disasters and failures of critical infrastructures on which the organization depends, but is outside the control of the organization. Can be characterized in terms of severity and duration.</w:t>
            </w:r>
          </w:p>
        </w:tc>
      </w:tr>
    </w:tbl>
    <w:p w14:paraId="2D43D4ED" w14:textId="77777777" w:rsidR="002C533B" w:rsidRPr="00D87355" w:rsidRDefault="002C533B" w:rsidP="002C533B">
      <w:pPr>
        <w:tabs>
          <w:tab w:val="clear" w:pos="0"/>
          <w:tab w:val="clear" w:pos="540"/>
          <w:tab w:val="clear" w:pos="1440"/>
        </w:tabs>
        <w:suppressAutoHyphens w:val="0"/>
        <w:spacing w:before="240" w:after="240"/>
        <w:jc w:val="left"/>
      </w:pPr>
      <w:r w:rsidRPr="00D87355">
        <w:t>The following tables from the NIST SP 800-30 were used to assign values to likelihood, impact, and risk:</w:t>
      </w:r>
    </w:p>
    <w:p w14:paraId="2D43D4EE" w14:textId="77777777" w:rsidR="002C533B" w:rsidRPr="00D87355" w:rsidRDefault="002C533B" w:rsidP="002C533B">
      <w:pPr>
        <w:keepNext/>
        <w:tabs>
          <w:tab w:val="left" w:pos="936"/>
        </w:tabs>
        <w:suppressAutoHyphens w:val="0"/>
        <w:jc w:val="center"/>
        <w:rPr>
          <w:b/>
          <w:bCs/>
          <w:lang w:eastAsia="en-US"/>
        </w:rPr>
      </w:pPr>
      <w:r w:rsidRPr="00D87355">
        <w:rPr>
          <w:b/>
          <w:bCs/>
          <w:lang w:eastAsia="en-US"/>
        </w:rPr>
        <w:t>Table 2: Assessment Scale – Likelihood of Threat Event Initiation (Adversarial)</w:t>
      </w:r>
    </w:p>
    <w:tbl>
      <w:tblPr>
        <w:tblStyle w:val="TableGrid14"/>
        <w:tblW w:w="9504" w:type="dxa"/>
        <w:jc w:val="center"/>
        <w:tblLayout w:type="fixed"/>
        <w:tblCellMar>
          <w:top w:w="58" w:type="dxa"/>
          <w:left w:w="115" w:type="dxa"/>
          <w:bottom w:w="58" w:type="dxa"/>
          <w:right w:w="115" w:type="dxa"/>
        </w:tblCellMar>
        <w:tblLook w:val="04A0" w:firstRow="1" w:lastRow="0" w:firstColumn="1" w:lastColumn="0" w:noHBand="0" w:noVBand="1"/>
      </w:tblPr>
      <w:tblGrid>
        <w:gridCol w:w="1309"/>
        <w:gridCol w:w="966"/>
        <w:gridCol w:w="1053"/>
        <w:gridCol w:w="6176"/>
      </w:tblGrid>
      <w:tr w:rsidR="002C533B" w:rsidRPr="00D87355" w14:paraId="2D43D4F2" w14:textId="77777777" w:rsidTr="00B07F51">
        <w:trPr>
          <w:cantSplit/>
          <w:trHeight w:val="287"/>
          <w:tblHeader/>
          <w:jc w:val="center"/>
        </w:trPr>
        <w:tc>
          <w:tcPr>
            <w:tcW w:w="13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4EF" w14:textId="77777777" w:rsidR="002C533B" w:rsidRPr="00D87355" w:rsidRDefault="002C533B" w:rsidP="00B07F51">
            <w:pPr>
              <w:keepNext/>
              <w:spacing w:before="20" w:after="20"/>
              <w:jc w:val="center"/>
            </w:pPr>
            <w:r w:rsidRPr="00D87355">
              <w:t>Qualitative Values</w:t>
            </w:r>
          </w:p>
        </w:tc>
        <w:tc>
          <w:tcPr>
            <w:tcW w:w="20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43D4F0" w14:textId="77777777" w:rsidR="002C533B" w:rsidRPr="00D87355" w:rsidRDefault="002C533B" w:rsidP="00B07F51">
            <w:pPr>
              <w:keepNext/>
              <w:spacing w:before="20" w:after="20"/>
              <w:jc w:val="center"/>
            </w:pPr>
            <w:r w:rsidRPr="00D87355">
              <w:t>Semi-Quantitative Values</w:t>
            </w:r>
          </w:p>
        </w:tc>
        <w:tc>
          <w:tcPr>
            <w:tcW w:w="6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4F1" w14:textId="77777777" w:rsidR="002C533B" w:rsidRPr="00D87355" w:rsidRDefault="002C533B" w:rsidP="00B07F51">
            <w:pPr>
              <w:keepNext/>
              <w:spacing w:before="20" w:after="20"/>
              <w:jc w:val="center"/>
            </w:pPr>
            <w:r w:rsidRPr="00D87355">
              <w:t>Description</w:t>
            </w:r>
          </w:p>
        </w:tc>
      </w:tr>
      <w:tr w:rsidR="002C533B" w:rsidRPr="00D87355" w14:paraId="2D43D4F7"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4F3" w14:textId="77777777" w:rsidR="002C533B" w:rsidRPr="00D87355" w:rsidRDefault="002C533B" w:rsidP="00B07F51">
            <w:pPr>
              <w:keepNext/>
              <w:spacing w:before="20" w:after="20"/>
              <w:jc w:val="center"/>
            </w:pPr>
            <w:r w:rsidRPr="00D87355">
              <w:t>Very High</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4F4" w14:textId="77777777" w:rsidR="002C533B" w:rsidRPr="00D87355" w:rsidRDefault="002C533B" w:rsidP="00B07F51">
            <w:pPr>
              <w:keepNext/>
              <w:spacing w:before="20" w:after="20"/>
              <w:jc w:val="center"/>
            </w:pPr>
            <w:r w:rsidRPr="00D87355">
              <w:t>96-100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4F5" w14:textId="77777777" w:rsidR="002C533B" w:rsidRPr="00D87355" w:rsidRDefault="002C533B" w:rsidP="00B07F51">
            <w:pPr>
              <w:keepNext/>
              <w:spacing w:before="20" w:after="20"/>
              <w:jc w:val="center"/>
            </w:pPr>
            <w:r w:rsidRPr="00D87355">
              <w:t>10</w:t>
            </w:r>
          </w:p>
        </w:tc>
        <w:tc>
          <w:tcPr>
            <w:tcW w:w="6377" w:type="dxa"/>
            <w:tcBorders>
              <w:top w:val="single" w:sz="4" w:space="0" w:color="auto"/>
              <w:left w:val="single" w:sz="4" w:space="0" w:color="auto"/>
              <w:bottom w:val="single" w:sz="4" w:space="0" w:color="auto"/>
              <w:right w:val="single" w:sz="4" w:space="0" w:color="auto"/>
            </w:tcBorders>
            <w:hideMark/>
          </w:tcPr>
          <w:p w14:paraId="2D43D4F6" w14:textId="77777777" w:rsidR="002C533B" w:rsidRPr="00D87355" w:rsidRDefault="002C533B" w:rsidP="00B07F51">
            <w:pPr>
              <w:keepNext/>
              <w:spacing w:before="20" w:after="20"/>
            </w:pPr>
            <w:r w:rsidRPr="00D87355">
              <w:t xml:space="preserve">Adversary is </w:t>
            </w:r>
            <w:r w:rsidRPr="00D87355">
              <w:rPr>
                <w:b/>
              </w:rPr>
              <w:t>almost certain</w:t>
            </w:r>
            <w:r w:rsidRPr="00D87355">
              <w:t xml:space="preserve"> to initiate the threat event.</w:t>
            </w:r>
          </w:p>
        </w:tc>
      </w:tr>
      <w:tr w:rsidR="002C533B" w:rsidRPr="00D87355" w14:paraId="2D43D4FC"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4F8" w14:textId="77777777" w:rsidR="002C533B" w:rsidRPr="00D87355" w:rsidRDefault="002C533B" w:rsidP="00B07F51">
            <w:pPr>
              <w:spacing w:before="20" w:after="20"/>
              <w:jc w:val="center"/>
            </w:pPr>
            <w:r w:rsidRPr="00D87355">
              <w:t>High</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4F9" w14:textId="77777777" w:rsidR="002C533B" w:rsidRPr="00D87355" w:rsidRDefault="002C533B" w:rsidP="00B07F51">
            <w:pPr>
              <w:spacing w:before="20" w:after="20"/>
              <w:jc w:val="center"/>
            </w:pPr>
            <w:r w:rsidRPr="00D87355">
              <w:t>80-95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4FA" w14:textId="77777777" w:rsidR="002C533B" w:rsidRPr="00D87355" w:rsidRDefault="002C533B" w:rsidP="00B07F51">
            <w:pPr>
              <w:spacing w:before="20" w:after="20"/>
              <w:jc w:val="center"/>
            </w:pPr>
            <w:r w:rsidRPr="00D87355">
              <w:t>8</w:t>
            </w:r>
          </w:p>
        </w:tc>
        <w:tc>
          <w:tcPr>
            <w:tcW w:w="6377" w:type="dxa"/>
            <w:tcBorders>
              <w:top w:val="single" w:sz="4" w:space="0" w:color="auto"/>
              <w:left w:val="single" w:sz="4" w:space="0" w:color="auto"/>
              <w:bottom w:val="single" w:sz="4" w:space="0" w:color="auto"/>
              <w:right w:val="single" w:sz="4" w:space="0" w:color="auto"/>
            </w:tcBorders>
            <w:hideMark/>
          </w:tcPr>
          <w:p w14:paraId="2D43D4FB" w14:textId="77777777" w:rsidR="002C533B" w:rsidRPr="00D87355" w:rsidRDefault="002C533B" w:rsidP="00B07F51">
            <w:pPr>
              <w:spacing w:before="20" w:after="20"/>
            </w:pPr>
            <w:r w:rsidRPr="00D87355">
              <w:t xml:space="preserve">Adversary is </w:t>
            </w:r>
            <w:r w:rsidRPr="00D87355">
              <w:rPr>
                <w:b/>
              </w:rPr>
              <w:t>highly likely</w:t>
            </w:r>
            <w:r w:rsidRPr="00D87355">
              <w:t xml:space="preserve"> to initiate the threat event.</w:t>
            </w:r>
          </w:p>
        </w:tc>
      </w:tr>
      <w:tr w:rsidR="002C533B" w:rsidRPr="00D87355" w14:paraId="2D43D501"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4FD" w14:textId="77777777" w:rsidR="002C533B" w:rsidRPr="00D87355" w:rsidRDefault="002C533B" w:rsidP="00B07F51">
            <w:pPr>
              <w:spacing w:before="20" w:after="20"/>
              <w:jc w:val="center"/>
            </w:pPr>
            <w:r w:rsidRPr="00D87355">
              <w:t>Moderate</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4FE" w14:textId="77777777" w:rsidR="002C533B" w:rsidRPr="00D87355" w:rsidRDefault="002C533B" w:rsidP="00B07F51">
            <w:pPr>
              <w:spacing w:before="20" w:after="20"/>
              <w:jc w:val="center"/>
            </w:pPr>
            <w:r w:rsidRPr="00D87355">
              <w:t>21-79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4FF" w14:textId="77777777" w:rsidR="002C533B" w:rsidRPr="00D87355" w:rsidRDefault="002C533B" w:rsidP="00B07F51">
            <w:pPr>
              <w:spacing w:before="20" w:after="20"/>
              <w:jc w:val="center"/>
            </w:pPr>
            <w:r w:rsidRPr="00D87355">
              <w:t>5</w:t>
            </w:r>
          </w:p>
        </w:tc>
        <w:tc>
          <w:tcPr>
            <w:tcW w:w="6377" w:type="dxa"/>
            <w:tcBorders>
              <w:top w:val="single" w:sz="4" w:space="0" w:color="auto"/>
              <w:left w:val="single" w:sz="4" w:space="0" w:color="auto"/>
              <w:bottom w:val="single" w:sz="4" w:space="0" w:color="auto"/>
              <w:right w:val="single" w:sz="4" w:space="0" w:color="auto"/>
            </w:tcBorders>
            <w:hideMark/>
          </w:tcPr>
          <w:p w14:paraId="2D43D500" w14:textId="77777777" w:rsidR="002C533B" w:rsidRPr="00D87355" w:rsidRDefault="002C533B" w:rsidP="00B07F51">
            <w:pPr>
              <w:spacing w:before="20" w:after="20"/>
            </w:pPr>
            <w:r w:rsidRPr="00D87355">
              <w:t xml:space="preserve">Adversary is </w:t>
            </w:r>
            <w:r w:rsidRPr="00D87355">
              <w:rPr>
                <w:b/>
              </w:rPr>
              <w:t>somewhat likely</w:t>
            </w:r>
            <w:r w:rsidRPr="00D87355">
              <w:t xml:space="preserve"> to initiate the threat event.</w:t>
            </w:r>
          </w:p>
        </w:tc>
      </w:tr>
      <w:tr w:rsidR="002C533B" w:rsidRPr="00D87355" w14:paraId="2D43D506"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02" w14:textId="77777777" w:rsidR="002C533B" w:rsidRPr="00D87355" w:rsidRDefault="002C533B" w:rsidP="00B07F51">
            <w:pPr>
              <w:spacing w:before="20" w:after="20"/>
              <w:jc w:val="center"/>
            </w:pPr>
            <w:r w:rsidRPr="00D87355">
              <w:t>Low</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03" w14:textId="77777777" w:rsidR="002C533B" w:rsidRPr="00D87355" w:rsidRDefault="002C533B" w:rsidP="00B07F51">
            <w:pPr>
              <w:spacing w:before="20" w:after="20"/>
              <w:jc w:val="center"/>
            </w:pPr>
            <w:r w:rsidRPr="00D87355">
              <w:t>5-20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04" w14:textId="77777777" w:rsidR="002C533B" w:rsidRPr="00D87355" w:rsidRDefault="002C533B" w:rsidP="00B07F51">
            <w:pPr>
              <w:spacing w:before="20" w:after="20"/>
              <w:jc w:val="center"/>
            </w:pPr>
            <w:r w:rsidRPr="00D87355">
              <w:t>2</w:t>
            </w:r>
          </w:p>
        </w:tc>
        <w:tc>
          <w:tcPr>
            <w:tcW w:w="6377" w:type="dxa"/>
            <w:tcBorders>
              <w:top w:val="single" w:sz="4" w:space="0" w:color="auto"/>
              <w:left w:val="single" w:sz="4" w:space="0" w:color="auto"/>
              <w:bottom w:val="single" w:sz="4" w:space="0" w:color="auto"/>
              <w:right w:val="single" w:sz="4" w:space="0" w:color="auto"/>
            </w:tcBorders>
            <w:hideMark/>
          </w:tcPr>
          <w:p w14:paraId="2D43D505" w14:textId="77777777" w:rsidR="002C533B" w:rsidRPr="00D87355" w:rsidRDefault="002C533B" w:rsidP="00B07F51">
            <w:pPr>
              <w:spacing w:before="20" w:after="20"/>
            </w:pPr>
            <w:r w:rsidRPr="00D87355">
              <w:t xml:space="preserve">Adversary is </w:t>
            </w:r>
            <w:r w:rsidRPr="00D87355">
              <w:rPr>
                <w:b/>
              </w:rPr>
              <w:t>unlikely</w:t>
            </w:r>
            <w:r w:rsidRPr="00D87355">
              <w:t xml:space="preserve"> to initiate the threat event.</w:t>
            </w:r>
          </w:p>
        </w:tc>
      </w:tr>
      <w:tr w:rsidR="002C533B" w:rsidRPr="00D87355" w14:paraId="2D43D50B"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07" w14:textId="77777777" w:rsidR="002C533B" w:rsidRPr="00D87355" w:rsidRDefault="002C533B" w:rsidP="00B07F51">
            <w:pPr>
              <w:spacing w:before="20" w:after="20"/>
              <w:jc w:val="center"/>
            </w:pPr>
            <w:r w:rsidRPr="00D87355">
              <w:t>Very Low</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08" w14:textId="77777777" w:rsidR="002C533B" w:rsidRPr="00D87355" w:rsidRDefault="002C533B" w:rsidP="00B07F51">
            <w:pPr>
              <w:spacing w:before="20" w:after="20"/>
              <w:jc w:val="center"/>
            </w:pPr>
            <w:r w:rsidRPr="00D87355">
              <w:t>0-4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09" w14:textId="77777777" w:rsidR="002C533B" w:rsidRPr="00D87355" w:rsidRDefault="002C533B" w:rsidP="00B07F51">
            <w:pPr>
              <w:spacing w:before="20" w:after="20"/>
              <w:jc w:val="center"/>
            </w:pPr>
            <w:r w:rsidRPr="00D87355">
              <w:t>0</w:t>
            </w:r>
          </w:p>
        </w:tc>
        <w:tc>
          <w:tcPr>
            <w:tcW w:w="6377" w:type="dxa"/>
            <w:tcBorders>
              <w:top w:val="single" w:sz="4" w:space="0" w:color="auto"/>
              <w:left w:val="single" w:sz="4" w:space="0" w:color="auto"/>
              <w:bottom w:val="single" w:sz="4" w:space="0" w:color="auto"/>
              <w:right w:val="single" w:sz="4" w:space="0" w:color="auto"/>
            </w:tcBorders>
            <w:hideMark/>
          </w:tcPr>
          <w:p w14:paraId="2D43D50A" w14:textId="77777777" w:rsidR="002C533B" w:rsidRPr="00D87355" w:rsidRDefault="002C533B" w:rsidP="00B07F51">
            <w:pPr>
              <w:spacing w:before="20" w:after="20"/>
            </w:pPr>
            <w:r w:rsidRPr="00D87355">
              <w:t xml:space="preserve">Adversary is </w:t>
            </w:r>
            <w:r w:rsidRPr="00D87355">
              <w:rPr>
                <w:b/>
              </w:rPr>
              <w:t>highly unlikely</w:t>
            </w:r>
            <w:r w:rsidRPr="00D87355">
              <w:t xml:space="preserve"> to initiate the threat event</w:t>
            </w:r>
          </w:p>
        </w:tc>
      </w:tr>
    </w:tbl>
    <w:p w14:paraId="2D43D50C" w14:textId="77777777" w:rsidR="002C533B" w:rsidRPr="00D87355" w:rsidRDefault="002C533B" w:rsidP="002C533B">
      <w:pPr>
        <w:tabs>
          <w:tab w:val="left" w:pos="936"/>
        </w:tabs>
        <w:suppressAutoHyphens w:val="0"/>
        <w:spacing w:before="240"/>
        <w:jc w:val="center"/>
        <w:rPr>
          <w:b/>
          <w:bCs/>
          <w:lang w:eastAsia="en-US"/>
        </w:rPr>
      </w:pPr>
      <w:r w:rsidRPr="00D87355">
        <w:rPr>
          <w:b/>
          <w:bCs/>
          <w:lang w:eastAsia="en-US"/>
        </w:rPr>
        <w:t>Table 3: Assessment Scale – Likelihood of Threat Event Occurrence (Non-adversarial)</w:t>
      </w:r>
    </w:p>
    <w:tbl>
      <w:tblPr>
        <w:tblStyle w:val="TableGrid14"/>
        <w:tblW w:w="9504" w:type="dxa"/>
        <w:jc w:val="center"/>
        <w:tblLayout w:type="fixed"/>
        <w:tblCellMar>
          <w:top w:w="58" w:type="dxa"/>
          <w:left w:w="115" w:type="dxa"/>
          <w:bottom w:w="58" w:type="dxa"/>
          <w:right w:w="115" w:type="dxa"/>
        </w:tblCellMar>
        <w:tblLook w:val="04A0" w:firstRow="1" w:lastRow="0" w:firstColumn="1" w:lastColumn="0" w:noHBand="0" w:noVBand="1"/>
      </w:tblPr>
      <w:tblGrid>
        <w:gridCol w:w="1309"/>
        <w:gridCol w:w="966"/>
        <w:gridCol w:w="1053"/>
        <w:gridCol w:w="6176"/>
      </w:tblGrid>
      <w:tr w:rsidR="002C533B" w:rsidRPr="00D87355" w14:paraId="2D43D510" w14:textId="77777777" w:rsidTr="00B07F51">
        <w:trPr>
          <w:cantSplit/>
          <w:trHeight w:val="287"/>
          <w:tblHeader/>
          <w:jc w:val="center"/>
        </w:trPr>
        <w:tc>
          <w:tcPr>
            <w:tcW w:w="13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0D" w14:textId="77777777" w:rsidR="002C533B" w:rsidRPr="00D87355" w:rsidRDefault="002C533B" w:rsidP="00B07F51">
            <w:pPr>
              <w:spacing w:after="0"/>
              <w:jc w:val="center"/>
            </w:pPr>
            <w:r w:rsidRPr="00D87355">
              <w:t>Qualitative Values</w:t>
            </w:r>
          </w:p>
        </w:tc>
        <w:tc>
          <w:tcPr>
            <w:tcW w:w="20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43D50E" w14:textId="77777777" w:rsidR="002C533B" w:rsidRPr="00D87355" w:rsidRDefault="002C533B" w:rsidP="00B07F51">
            <w:pPr>
              <w:spacing w:after="0"/>
              <w:jc w:val="center"/>
            </w:pPr>
            <w:r w:rsidRPr="00D87355">
              <w:t>Semi-Quantitative Values</w:t>
            </w:r>
          </w:p>
        </w:tc>
        <w:tc>
          <w:tcPr>
            <w:tcW w:w="6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0F" w14:textId="77777777" w:rsidR="002C533B" w:rsidRPr="00D87355" w:rsidRDefault="002C533B" w:rsidP="00B07F51">
            <w:pPr>
              <w:spacing w:after="0"/>
              <w:jc w:val="center"/>
            </w:pPr>
            <w:r w:rsidRPr="00D87355">
              <w:t>Description</w:t>
            </w:r>
          </w:p>
        </w:tc>
      </w:tr>
      <w:tr w:rsidR="002C533B" w:rsidRPr="00D87355" w14:paraId="2D43D515"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11" w14:textId="77777777" w:rsidR="002C533B" w:rsidRPr="00D87355" w:rsidRDefault="002C533B" w:rsidP="00B07F51">
            <w:pPr>
              <w:spacing w:after="0"/>
              <w:jc w:val="center"/>
            </w:pPr>
            <w:r w:rsidRPr="00D87355">
              <w:t>Very High</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12" w14:textId="77777777" w:rsidR="002C533B" w:rsidRPr="00D87355" w:rsidRDefault="002C533B" w:rsidP="00B07F51">
            <w:pPr>
              <w:spacing w:after="0"/>
              <w:jc w:val="center"/>
            </w:pPr>
            <w:r w:rsidRPr="00D87355">
              <w:t>96-100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13" w14:textId="77777777" w:rsidR="002C533B" w:rsidRPr="00D87355" w:rsidRDefault="002C533B" w:rsidP="00B07F51">
            <w:pPr>
              <w:spacing w:after="0"/>
              <w:jc w:val="center"/>
            </w:pPr>
            <w:r w:rsidRPr="00D87355">
              <w:t>10</w:t>
            </w:r>
          </w:p>
        </w:tc>
        <w:tc>
          <w:tcPr>
            <w:tcW w:w="6377" w:type="dxa"/>
            <w:tcBorders>
              <w:top w:val="single" w:sz="4" w:space="0" w:color="auto"/>
              <w:left w:val="single" w:sz="4" w:space="0" w:color="auto"/>
              <w:bottom w:val="single" w:sz="4" w:space="0" w:color="auto"/>
              <w:right w:val="single" w:sz="4" w:space="0" w:color="auto"/>
            </w:tcBorders>
            <w:hideMark/>
          </w:tcPr>
          <w:p w14:paraId="2D43D514" w14:textId="77777777" w:rsidR="002C533B" w:rsidRPr="00D87355" w:rsidRDefault="002C533B" w:rsidP="00B07F51">
            <w:pPr>
              <w:spacing w:after="0"/>
            </w:pPr>
            <w:r w:rsidRPr="00D87355">
              <w:t xml:space="preserve">Error, accident, or act of nature is </w:t>
            </w:r>
            <w:r w:rsidRPr="00D87355">
              <w:rPr>
                <w:b/>
              </w:rPr>
              <w:t>almost certain</w:t>
            </w:r>
            <w:r w:rsidRPr="00D87355">
              <w:t xml:space="preserve"> to occur; or occurs </w:t>
            </w:r>
            <w:r w:rsidRPr="00D87355">
              <w:rPr>
                <w:b/>
              </w:rPr>
              <w:t>more than 100 times per year</w:t>
            </w:r>
            <w:r w:rsidRPr="00D87355">
              <w:t>.</w:t>
            </w:r>
          </w:p>
        </w:tc>
      </w:tr>
      <w:tr w:rsidR="002C533B" w:rsidRPr="00D87355" w14:paraId="2D43D51A"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16" w14:textId="77777777" w:rsidR="002C533B" w:rsidRPr="00D87355" w:rsidRDefault="002C533B" w:rsidP="00B07F51">
            <w:pPr>
              <w:spacing w:after="0"/>
              <w:jc w:val="center"/>
            </w:pPr>
            <w:r w:rsidRPr="00D87355">
              <w:t>High</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17" w14:textId="77777777" w:rsidR="002C533B" w:rsidRPr="00D87355" w:rsidRDefault="002C533B" w:rsidP="00B07F51">
            <w:pPr>
              <w:spacing w:after="0"/>
              <w:jc w:val="center"/>
            </w:pPr>
            <w:r w:rsidRPr="00D87355">
              <w:t>80-95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18" w14:textId="77777777" w:rsidR="002C533B" w:rsidRPr="00D87355" w:rsidRDefault="002C533B" w:rsidP="00B07F51">
            <w:pPr>
              <w:spacing w:after="0"/>
              <w:jc w:val="center"/>
            </w:pPr>
            <w:r w:rsidRPr="00D87355">
              <w:t>8</w:t>
            </w:r>
          </w:p>
        </w:tc>
        <w:tc>
          <w:tcPr>
            <w:tcW w:w="6377" w:type="dxa"/>
            <w:tcBorders>
              <w:top w:val="single" w:sz="4" w:space="0" w:color="auto"/>
              <w:left w:val="single" w:sz="4" w:space="0" w:color="auto"/>
              <w:bottom w:val="single" w:sz="4" w:space="0" w:color="auto"/>
              <w:right w:val="single" w:sz="4" w:space="0" w:color="auto"/>
            </w:tcBorders>
            <w:hideMark/>
          </w:tcPr>
          <w:p w14:paraId="2D43D519" w14:textId="77777777" w:rsidR="002C533B" w:rsidRPr="00D87355" w:rsidRDefault="002C533B" w:rsidP="00B07F51">
            <w:pPr>
              <w:spacing w:after="0"/>
            </w:pPr>
            <w:r w:rsidRPr="00D87355">
              <w:t xml:space="preserve">Error, accident, or act of nature is </w:t>
            </w:r>
            <w:r w:rsidRPr="00D87355">
              <w:rPr>
                <w:b/>
              </w:rPr>
              <w:t>highly likely</w:t>
            </w:r>
            <w:r w:rsidRPr="00D87355">
              <w:t xml:space="preserve"> to occur; or occurs </w:t>
            </w:r>
            <w:r w:rsidRPr="00D87355">
              <w:rPr>
                <w:b/>
              </w:rPr>
              <w:t>between 10-100 times per year</w:t>
            </w:r>
            <w:r w:rsidRPr="00D87355">
              <w:t>.</w:t>
            </w:r>
          </w:p>
        </w:tc>
      </w:tr>
      <w:tr w:rsidR="002C533B" w:rsidRPr="00D87355" w14:paraId="2D43D51F"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1B" w14:textId="77777777" w:rsidR="002C533B" w:rsidRPr="00D87355" w:rsidRDefault="002C533B" w:rsidP="00B07F51">
            <w:pPr>
              <w:spacing w:after="0"/>
              <w:jc w:val="center"/>
            </w:pPr>
            <w:r w:rsidRPr="00D87355">
              <w:lastRenderedPageBreak/>
              <w:t>Moderate</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1C" w14:textId="77777777" w:rsidR="002C533B" w:rsidRPr="00D87355" w:rsidRDefault="002C533B" w:rsidP="00B07F51">
            <w:pPr>
              <w:spacing w:after="0"/>
              <w:jc w:val="center"/>
            </w:pPr>
            <w:r w:rsidRPr="00D87355">
              <w:t>21-79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1D" w14:textId="77777777" w:rsidR="002C533B" w:rsidRPr="00D87355" w:rsidRDefault="002C533B" w:rsidP="00B07F51">
            <w:pPr>
              <w:spacing w:after="0"/>
              <w:jc w:val="center"/>
            </w:pPr>
            <w:r w:rsidRPr="00D87355">
              <w:t>5</w:t>
            </w:r>
          </w:p>
        </w:tc>
        <w:tc>
          <w:tcPr>
            <w:tcW w:w="6377" w:type="dxa"/>
            <w:tcBorders>
              <w:top w:val="single" w:sz="4" w:space="0" w:color="auto"/>
              <w:left w:val="single" w:sz="4" w:space="0" w:color="auto"/>
              <w:bottom w:val="single" w:sz="4" w:space="0" w:color="auto"/>
              <w:right w:val="single" w:sz="4" w:space="0" w:color="auto"/>
            </w:tcBorders>
            <w:hideMark/>
          </w:tcPr>
          <w:p w14:paraId="2D43D51E" w14:textId="77777777" w:rsidR="002C533B" w:rsidRPr="00D87355" w:rsidRDefault="002C533B" w:rsidP="00B07F51">
            <w:pPr>
              <w:spacing w:after="0"/>
            </w:pPr>
            <w:r w:rsidRPr="00D87355">
              <w:t xml:space="preserve">Error, accident, or act of nature is </w:t>
            </w:r>
            <w:r w:rsidRPr="00D87355">
              <w:rPr>
                <w:b/>
              </w:rPr>
              <w:t>somewhat likely</w:t>
            </w:r>
            <w:r w:rsidRPr="00D87355">
              <w:t xml:space="preserve"> to occur; or occurs </w:t>
            </w:r>
            <w:r w:rsidRPr="00D87355">
              <w:rPr>
                <w:b/>
              </w:rPr>
              <w:t>between 1-10 times per year</w:t>
            </w:r>
            <w:r w:rsidRPr="00D87355">
              <w:t>.</w:t>
            </w:r>
          </w:p>
        </w:tc>
      </w:tr>
      <w:tr w:rsidR="002C533B" w:rsidRPr="00D87355" w14:paraId="2D43D524"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20" w14:textId="77777777" w:rsidR="002C533B" w:rsidRPr="00D87355" w:rsidRDefault="002C533B" w:rsidP="00B07F51">
            <w:pPr>
              <w:spacing w:after="0"/>
              <w:jc w:val="center"/>
            </w:pPr>
            <w:r w:rsidRPr="00D87355">
              <w:t>Low</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21" w14:textId="77777777" w:rsidR="002C533B" w:rsidRPr="00D87355" w:rsidRDefault="002C533B" w:rsidP="00B07F51">
            <w:pPr>
              <w:spacing w:after="0"/>
              <w:jc w:val="center"/>
            </w:pPr>
            <w:r w:rsidRPr="00D87355">
              <w:t>5-20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22" w14:textId="77777777" w:rsidR="002C533B" w:rsidRPr="00D87355" w:rsidRDefault="002C533B" w:rsidP="00B07F51">
            <w:pPr>
              <w:spacing w:after="0"/>
              <w:jc w:val="center"/>
            </w:pPr>
            <w:r w:rsidRPr="00D87355">
              <w:t>2</w:t>
            </w:r>
          </w:p>
        </w:tc>
        <w:tc>
          <w:tcPr>
            <w:tcW w:w="6377" w:type="dxa"/>
            <w:tcBorders>
              <w:top w:val="single" w:sz="4" w:space="0" w:color="auto"/>
              <w:left w:val="single" w:sz="4" w:space="0" w:color="auto"/>
              <w:bottom w:val="single" w:sz="4" w:space="0" w:color="auto"/>
              <w:right w:val="single" w:sz="4" w:space="0" w:color="auto"/>
            </w:tcBorders>
            <w:hideMark/>
          </w:tcPr>
          <w:p w14:paraId="2D43D523" w14:textId="77777777" w:rsidR="002C533B" w:rsidRPr="00D87355" w:rsidRDefault="002C533B" w:rsidP="00B07F51">
            <w:pPr>
              <w:spacing w:after="0"/>
            </w:pPr>
            <w:r w:rsidRPr="00D87355">
              <w:t xml:space="preserve">Error, accident, or act of nature is </w:t>
            </w:r>
            <w:r w:rsidRPr="00D87355">
              <w:rPr>
                <w:b/>
              </w:rPr>
              <w:t>unlikely</w:t>
            </w:r>
            <w:r w:rsidRPr="00D87355">
              <w:t xml:space="preserve"> to occur; or occurs </w:t>
            </w:r>
            <w:r w:rsidRPr="00D87355">
              <w:rPr>
                <w:b/>
              </w:rPr>
              <w:t xml:space="preserve">less than once a year, </w:t>
            </w:r>
            <w:r w:rsidRPr="00D87355">
              <w:t>but</w:t>
            </w:r>
            <w:r w:rsidRPr="00D87355">
              <w:rPr>
                <w:b/>
              </w:rPr>
              <w:t xml:space="preserve"> more than once every 10 years</w:t>
            </w:r>
            <w:r w:rsidRPr="00D87355">
              <w:t>.</w:t>
            </w:r>
          </w:p>
        </w:tc>
      </w:tr>
      <w:tr w:rsidR="002C533B" w:rsidRPr="00D87355" w14:paraId="2D43D529" w14:textId="77777777" w:rsidTr="00B07F51">
        <w:trPr>
          <w:cantSplit/>
          <w:jc w:val="center"/>
        </w:trPr>
        <w:tc>
          <w:tcPr>
            <w:tcW w:w="1345" w:type="dxa"/>
            <w:tcBorders>
              <w:top w:val="single" w:sz="4" w:space="0" w:color="auto"/>
              <w:left w:val="single" w:sz="4" w:space="0" w:color="auto"/>
              <w:bottom w:val="single" w:sz="4" w:space="0" w:color="auto"/>
              <w:right w:val="single" w:sz="4" w:space="0" w:color="auto"/>
            </w:tcBorders>
            <w:vAlign w:val="center"/>
            <w:hideMark/>
          </w:tcPr>
          <w:p w14:paraId="2D43D525" w14:textId="77777777" w:rsidR="002C533B" w:rsidRPr="00D87355" w:rsidRDefault="002C533B" w:rsidP="00B07F51">
            <w:pPr>
              <w:spacing w:after="0"/>
              <w:jc w:val="center"/>
            </w:pPr>
            <w:r w:rsidRPr="00D87355">
              <w:t>Very Low</w:t>
            </w:r>
          </w:p>
        </w:tc>
        <w:tc>
          <w:tcPr>
            <w:tcW w:w="990" w:type="dxa"/>
            <w:tcBorders>
              <w:top w:val="single" w:sz="4" w:space="0" w:color="auto"/>
              <w:left w:val="single" w:sz="4" w:space="0" w:color="auto"/>
              <w:bottom w:val="single" w:sz="4" w:space="0" w:color="auto"/>
              <w:right w:val="single" w:sz="4" w:space="0" w:color="auto"/>
            </w:tcBorders>
            <w:vAlign w:val="center"/>
            <w:hideMark/>
          </w:tcPr>
          <w:p w14:paraId="2D43D526" w14:textId="77777777" w:rsidR="002C533B" w:rsidRPr="00D87355" w:rsidRDefault="002C533B" w:rsidP="00B07F51">
            <w:pPr>
              <w:spacing w:after="0"/>
              <w:jc w:val="center"/>
            </w:pPr>
            <w:r w:rsidRPr="00D87355">
              <w:t>0-4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D43D527" w14:textId="77777777" w:rsidR="002C533B" w:rsidRPr="00D87355" w:rsidRDefault="002C533B" w:rsidP="00B07F51">
            <w:pPr>
              <w:spacing w:after="0"/>
              <w:jc w:val="center"/>
            </w:pPr>
            <w:r w:rsidRPr="00D87355">
              <w:t>0</w:t>
            </w:r>
          </w:p>
        </w:tc>
        <w:tc>
          <w:tcPr>
            <w:tcW w:w="6377" w:type="dxa"/>
            <w:tcBorders>
              <w:top w:val="single" w:sz="4" w:space="0" w:color="auto"/>
              <w:left w:val="single" w:sz="4" w:space="0" w:color="auto"/>
              <w:bottom w:val="single" w:sz="4" w:space="0" w:color="auto"/>
              <w:right w:val="single" w:sz="4" w:space="0" w:color="auto"/>
            </w:tcBorders>
            <w:hideMark/>
          </w:tcPr>
          <w:p w14:paraId="2D43D528" w14:textId="77777777" w:rsidR="002C533B" w:rsidRPr="00D87355" w:rsidRDefault="002C533B" w:rsidP="00B07F51">
            <w:pPr>
              <w:spacing w:after="0"/>
            </w:pPr>
            <w:r w:rsidRPr="00D87355">
              <w:t xml:space="preserve">Error, accident, or act of nature is </w:t>
            </w:r>
            <w:r w:rsidRPr="00D87355">
              <w:rPr>
                <w:b/>
              </w:rPr>
              <w:t>highly unlikely</w:t>
            </w:r>
            <w:r w:rsidRPr="00D87355">
              <w:t xml:space="preserve"> to occur; or occurs </w:t>
            </w:r>
            <w:r w:rsidRPr="00D87355">
              <w:rPr>
                <w:b/>
              </w:rPr>
              <w:t>less than once every 10 years</w:t>
            </w:r>
            <w:r w:rsidRPr="00D87355">
              <w:t>.</w:t>
            </w:r>
          </w:p>
        </w:tc>
      </w:tr>
    </w:tbl>
    <w:p w14:paraId="2D43D52A" w14:textId="77777777" w:rsidR="002C533B" w:rsidRPr="00D87355" w:rsidRDefault="002C533B" w:rsidP="002C533B">
      <w:pPr>
        <w:tabs>
          <w:tab w:val="left" w:pos="936"/>
        </w:tabs>
        <w:suppressAutoHyphens w:val="0"/>
        <w:spacing w:before="240"/>
        <w:jc w:val="center"/>
        <w:rPr>
          <w:b/>
          <w:bCs/>
          <w:lang w:eastAsia="en-US"/>
        </w:rPr>
      </w:pPr>
      <w:r w:rsidRPr="00D87355">
        <w:rPr>
          <w:b/>
          <w:bCs/>
          <w:lang w:eastAsia="en-US"/>
        </w:rPr>
        <w:t>Table 4: Assessment Scale – Impact of Threat Events</w:t>
      </w:r>
    </w:p>
    <w:tbl>
      <w:tblPr>
        <w:tblStyle w:val="TableGrid14"/>
        <w:tblW w:w="9504" w:type="dxa"/>
        <w:jc w:val="center"/>
        <w:tblLayout w:type="fixed"/>
        <w:tblCellMar>
          <w:top w:w="58" w:type="dxa"/>
          <w:left w:w="115" w:type="dxa"/>
          <w:bottom w:w="58" w:type="dxa"/>
          <w:right w:w="115" w:type="dxa"/>
        </w:tblCellMar>
        <w:tblLook w:val="04A0" w:firstRow="1" w:lastRow="0" w:firstColumn="1" w:lastColumn="0" w:noHBand="0" w:noVBand="1"/>
      </w:tblPr>
      <w:tblGrid>
        <w:gridCol w:w="1310"/>
        <w:gridCol w:w="1009"/>
        <w:gridCol w:w="1009"/>
        <w:gridCol w:w="6176"/>
      </w:tblGrid>
      <w:tr w:rsidR="002C533B" w:rsidRPr="00D87355" w14:paraId="2D43D52E" w14:textId="77777777" w:rsidTr="00B07F51">
        <w:trPr>
          <w:cantSplit/>
          <w:trHeight w:val="287"/>
          <w:tblHeader/>
          <w:jc w:val="center"/>
        </w:trPr>
        <w:tc>
          <w:tcPr>
            <w:tcW w:w="13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2B" w14:textId="77777777" w:rsidR="002C533B" w:rsidRPr="00D87355" w:rsidRDefault="002C533B" w:rsidP="00B07F51">
            <w:pPr>
              <w:spacing w:after="0"/>
              <w:jc w:val="center"/>
            </w:pPr>
            <w:r w:rsidRPr="00D87355">
              <w:t>Qualitative Values</w:t>
            </w:r>
          </w:p>
        </w:tc>
        <w:tc>
          <w:tcPr>
            <w:tcW w:w="201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43D52C" w14:textId="77777777" w:rsidR="002C533B" w:rsidRPr="00D87355" w:rsidRDefault="002C533B" w:rsidP="00B07F51">
            <w:pPr>
              <w:spacing w:after="0"/>
              <w:jc w:val="center"/>
            </w:pPr>
            <w:r w:rsidRPr="00D87355">
              <w:t>Semi-Quantitative Values</w:t>
            </w:r>
          </w:p>
        </w:tc>
        <w:tc>
          <w:tcPr>
            <w:tcW w:w="61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2D" w14:textId="77777777" w:rsidR="002C533B" w:rsidRPr="00D87355" w:rsidRDefault="002C533B" w:rsidP="00B07F51">
            <w:pPr>
              <w:spacing w:after="0"/>
              <w:jc w:val="center"/>
            </w:pPr>
            <w:r w:rsidRPr="00D87355">
              <w:t>Description</w:t>
            </w:r>
          </w:p>
        </w:tc>
      </w:tr>
      <w:tr w:rsidR="002C533B" w:rsidRPr="00D87355" w14:paraId="2D43D533" w14:textId="77777777" w:rsidTr="00B07F51">
        <w:trPr>
          <w:cantSplit/>
          <w:jc w:val="center"/>
        </w:trPr>
        <w:tc>
          <w:tcPr>
            <w:tcW w:w="1310" w:type="dxa"/>
            <w:tcBorders>
              <w:top w:val="single" w:sz="4" w:space="0" w:color="auto"/>
              <w:left w:val="single" w:sz="4" w:space="0" w:color="auto"/>
              <w:bottom w:val="single" w:sz="4" w:space="0" w:color="auto"/>
              <w:right w:val="single" w:sz="4" w:space="0" w:color="auto"/>
            </w:tcBorders>
            <w:vAlign w:val="center"/>
            <w:hideMark/>
          </w:tcPr>
          <w:p w14:paraId="2D43D52F" w14:textId="77777777" w:rsidR="002C533B" w:rsidRPr="00D87355" w:rsidRDefault="002C533B" w:rsidP="00B07F51">
            <w:pPr>
              <w:spacing w:after="0"/>
              <w:jc w:val="center"/>
            </w:pPr>
            <w:r w:rsidRPr="00D87355">
              <w:t>Very High</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0" w14:textId="77777777" w:rsidR="002C533B" w:rsidRPr="00D87355" w:rsidRDefault="002C533B" w:rsidP="00B07F51">
            <w:pPr>
              <w:spacing w:after="0"/>
              <w:jc w:val="center"/>
            </w:pPr>
            <w:r w:rsidRPr="00D87355">
              <w:t>96-100</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1" w14:textId="77777777" w:rsidR="002C533B" w:rsidRPr="00D87355" w:rsidRDefault="002C533B" w:rsidP="00B07F51">
            <w:pPr>
              <w:spacing w:after="0"/>
              <w:jc w:val="center"/>
            </w:pPr>
            <w:r w:rsidRPr="00D87355">
              <w:t>10</w:t>
            </w:r>
          </w:p>
        </w:tc>
        <w:tc>
          <w:tcPr>
            <w:tcW w:w="6176" w:type="dxa"/>
            <w:tcBorders>
              <w:top w:val="single" w:sz="4" w:space="0" w:color="auto"/>
              <w:left w:val="single" w:sz="4" w:space="0" w:color="auto"/>
              <w:bottom w:val="single" w:sz="4" w:space="0" w:color="auto"/>
              <w:right w:val="single" w:sz="4" w:space="0" w:color="auto"/>
            </w:tcBorders>
            <w:hideMark/>
          </w:tcPr>
          <w:p w14:paraId="2D43D532" w14:textId="77777777" w:rsidR="002C533B" w:rsidRPr="00D87355" w:rsidRDefault="002C533B" w:rsidP="00B07F51">
            <w:pPr>
              <w:spacing w:after="0"/>
              <w:jc w:val="left"/>
            </w:pPr>
            <w:r w:rsidRPr="00D87355">
              <w:t xml:space="preserve">The threat event could be expected to have </w:t>
            </w:r>
            <w:r w:rsidRPr="00D87355">
              <w:rPr>
                <w:b/>
              </w:rPr>
              <w:t xml:space="preserve">multiple </w:t>
            </w:r>
            <w:r w:rsidRPr="00D87355">
              <w:rPr>
                <w:b/>
                <w:bCs/>
              </w:rPr>
              <w:t xml:space="preserve">severe or catastrophic </w:t>
            </w:r>
            <w:r w:rsidRPr="00D87355">
              <w:t>adverse effects on organizational operations, organizational assets, individuals, other organizations, or the Nation.</w:t>
            </w:r>
          </w:p>
        </w:tc>
      </w:tr>
      <w:tr w:rsidR="002C533B" w:rsidRPr="00D87355" w14:paraId="2D43D538" w14:textId="77777777" w:rsidTr="00B07F51">
        <w:trPr>
          <w:cantSplit/>
          <w:jc w:val="center"/>
        </w:trPr>
        <w:tc>
          <w:tcPr>
            <w:tcW w:w="1310" w:type="dxa"/>
            <w:tcBorders>
              <w:top w:val="single" w:sz="4" w:space="0" w:color="auto"/>
              <w:left w:val="single" w:sz="4" w:space="0" w:color="auto"/>
              <w:bottom w:val="single" w:sz="4" w:space="0" w:color="auto"/>
              <w:right w:val="single" w:sz="4" w:space="0" w:color="auto"/>
            </w:tcBorders>
            <w:vAlign w:val="center"/>
            <w:hideMark/>
          </w:tcPr>
          <w:p w14:paraId="2D43D534" w14:textId="77777777" w:rsidR="002C533B" w:rsidRPr="00D87355" w:rsidRDefault="002C533B" w:rsidP="00B07F51">
            <w:pPr>
              <w:spacing w:after="0"/>
              <w:jc w:val="center"/>
            </w:pPr>
            <w:r w:rsidRPr="00D87355">
              <w:t>High</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5" w14:textId="77777777" w:rsidR="002C533B" w:rsidRPr="00D87355" w:rsidRDefault="002C533B" w:rsidP="00B07F51">
            <w:pPr>
              <w:spacing w:after="0"/>
              <w:jc w:val="center"/>
            </w:pPr>
            <w:r w:rsidRPr="00D87355">
              <w:t>80-95</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6" w14:textId="77777777" w:rsidR="002C533B" w:rsidRPr="00D87355" w:rsidRDefault="002C533B" w:rsidP="00B07F51">
            <w:pPr>
              <w:spacing w:after="0"/>
              <w:jc w:val="center"/>
            </w:pPr>
            <w:r w:rsidRPr="00D87355">
              <w:t>8</w:t>
            </w:r>
          </w:p>
        </w:tc>
        <w:tc>
          <w:tcPr>
            <w:tcW w:w="6176" w:type="dxa"/>
            <w:tcBorders>
              <w:top w:val="single" w:sz="4" w:space="0" w:color="auto"/>
              <w:left w:val="single" w:sz="4" w:space="0" w:color="auto"/>
              <w:bottom w:val="single" w:sz="4" w:space="0" w:color="auto"/>
              <w:right w:val="single" w:sz="4" w:space="0" w:color="auto"/>
            </w:tcBorders>
            <w:hideMark/>
          </w:tcPr>
          <w:p w14:paraId="2D43D537" w14:textId="77777777" w:rsidR="002C533B" w:rsidRPr="00D87355" w:rsidRDefault="002C533B" w:rsidP="00B07F51">
            <w:pPr>
              <w:spacing w:after="0"/>
              <w:jc w:val="left"/>
            </w:pPr>
            <w:r w:rsidRPr="00D87355">
              <w:t xml:space="preserve">The threat event could be expected to have a </w:t>
            </w:r>
            <w:r w:rsidRPr="00D87355">
              <w:rPr>
                <w:b/>
                <w:bCs/>
              </w:rPr>
              <w:t xml:space="preserve">severe or catastrophic </w:t>
            </w:r>
            <w:r w:rsidRPr="00D87355">
              <w:t>adverse effect on organizational operations, organizational assets, individuals, other organizations, or the Nation.</w:t>
            </w:r>
            <w:r w:rsidRPr="00D87355">
              <w:rPr>
                <w:b/>
                <w:bCs/>
              </w:rPr>
              <w:t xml:space="preserve"> </w:t>
            </w:r>
            <w:r w:rsidRPr="00D87355">
              <w:t>A severe or catastrophic adverse effect means that, for example, the threat event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w:t>
            </w:r>
          </w:p>
        </w:tc>
      </w:tr>
      <w:tr w:rsidR="002C533B" w:rsidRPr="00D87355" w14:paraId="2D43D53D" w14:textId="77777777" w:rsidTr="00B07F51">
        <w:trPr>
          <w:cantSplit/>
          <w:jc w:val="center"/>
        </w:trPr>
        <w:tc>
          <w:tcPr>
            <w:tcW w:w="1310" w:type="dxa"/>
            <w:tcBorders>
              <w:top w:val="single" w:sz="4" w:space="0" w:color="auto"/>
              <w:left w:val="single" w:sz="4" w:space="0" w:color="auto"/>
              <w:bottom w:val="single" w:sz="4" w:space="0" w:color="auto"/>
              <w:right w:val="single" w:sz="4" w:space="0" w:color="auto"/>
            </w:tcBorders>
            <w:vAlign w:val="center"/>
            <w:hideMark/>
          </w:tcPr>
          <w:p w14:paraId="2D43D539" w14:textId="77777777" w:rsidR="002C533B" w:rsidRPr="00D87355" w:rsidRDefault="002C533B" w:rsidP="00B07F51">
            <w:pPr>
              <w:spacing w:after="0"/>
              <w:jc w:val="center"/>
            </w:pPr>
            <w:r w:rsidRPr="00D87355">
              <w:t>Moderate</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A" w14:textId="77777777" w:rsidR="002C533B" w:rsidRPr="00D87355" w:rsidRDefault="002C533B" w:rsidP="00B07F51">
            <w:pPr>
              <w:spacing w:after="0"/>
              <w:jc w:val="center"/>
            </w:pPr>
            <w:r w:rsidRPr="00D87355">
              <w:t>21-79</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B" w14:textId="77777777" w:rsidR="002C533B" w:rsidRPr="00D87355" w:rsidRDefault="002C533B" w:rsidP="00B07F51">
            <w:pPr>
              <w:spacing w:after="0"/>
              <w:jc w:val="center"/>
            </w:pPr>
            <w:r w:rsidRPr="00D87355">
              <w:t>5</w:t>
            </w:r>
          </w:p>
        </w:tc>
        <w:tc>
          <w:tcPr>
            <w:tcW w:w="6176" w:type="dxa"/>
            <w:tcBorders>
              <w:top w:val="single" w:sz="4" w:space="0" w:color="auto"/>
              <w:left w:val="single" w:sz="4" w:space="0" w:color="auto"/>
              <w:bottom w:val="single" w:sz="4" w:space="0" w:color="auto"/>
              <w:right w:val="single" w:sz="4" w:space="0" w:color="auto"/>
            </w:tcBorders>
            <w:hideMark/>
          </w:tcPr>
          <w:p w14:paraId="2D43D53C" w14:textId="77777777" w:rsidR="002C533B" w:rsidRPr="00D87355" w:rsidRDefault="002C533B" w:rsidP="00B07F51">
            <w:pPr>
              <w:spacing w:after="0"/>
              <w:jc w:val="left"/>
            </w:pPr>
            <w:r w:rsidRPr="00D87355">
              <w:t xml:space="preserve">The threat event could be expected to have a </w:t>
            </w:r>
            <w:r w:rsidRPr="00D87355">
              <w:rPr>
                <w:b/>
                <w:bCs/>
              </w:rPr>
              <w:t xml:space="preserve">serious </w:t>
            </w:r>
            <w:r w:rsidRPr="00D87355">
              <w:t>adverse effect on organizational operations, organizational assets, individuals other organizations, or the Nation.</w:t>
            </w:r>
            <w:r w:rsidRPr="00D87355">
              <w:rPr>
                <w:b/>
                <w:bCs/>
              </w:rPr>
              <w:t xml:space="preserve"> </w:t>
            </w:r>
            <w:r w:rsidRPr="00D87355">
              <w:t>A serious adverse effect means that, for example, the threat event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tc>
      </w:tr>
      <w:tr w:rsidR="002C533B" w:rsidRPr="00D87355" w14:paraId="2D43D542" w14:textId="77777777" w:rsidTr="00B07F51">
        <w:trPr>
          <w:cantSplit/>
          <w:jc w:val="center"/>
        </w:trPr>
        <w:tc>
          <w:tcPr>
            <w:tcW w:w="1310" w:type="dxa"/>
            <w:tcBorders>
              <w:top w:val="single" w:sz="4" w:space="0" w:color="auto"/>
              <w:left w:val="single" w:sz="4" w:space="0" w:color="auto"/>
              <w:bottom w:val="single" w:sz="4" w:space="0" w:color="auto"/>
              <w:right w:val="single" w:sz="4" w:space="0" w:color="auto"/>
            </w:tcBorders>
            <w:vAlign w:val="center"/>
            <w:hideMark/>
          </w:tcPr>
          <w:p w14:paraId="2D43D53E" w14:textId="77777777" w:rsidR="002C533B" w:rsidRPr="00D87355" w:rsidRDefault="002C533B" w:rsidP="00B07F51">
            <w:pPr>
              <w:spacing w:after="0"/>
              <w:jc w:val="center"/>
            </w:pPr>
            <w:r w:rsidRPr="00D87355">
              <w:lastRenderedPageBreak/>
              <w:t>Low</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3F" w14:textId="77777777" w:rsidR="002C533B" w:rsidRPr="00D87355" w:rsidRDefault="002C533B" w:rsidP="00B07F51">
            <w:pPr>
              <w:spacing w:after="0"/>
              <w:jc w:val="center"/>
            </w:pPr>
            <w:r w:rsidRPr="00D87355">
              <w:t>5-20</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40" w14:textId="77777777" w:rsidR="002C533B" w:rsidRPr="00D87355" w:rsidRDefault="002C533B" w:rsidP="00B07F51">
            <w:pPr>
              <w:spacing w:after="0"/>
              <w:jc w:val="center"/>
            </w:pPr>
            <w:r w:rsidRPr="00D87355">
              <w:t>2</w:t>
            </w:r>
          </w:p>
        </w:tc>
        <w:tc>
          <w:tcPr>
            <w:tcW w:w="6176" w:type="dxa"/>
            <w:tcBorders>
              <w:top w:val="single" w:sz="4" w:space="0" w:color="auto"/>
              <w:left w:val="single" w:sz="4" w:space="0" w:color="auto"/>
              <w:bottom w:val="single" w:sz="4" w:space="0" w:color="auto"/>
              <w:right w:val="single" w:sz="4" w:space="0" w:color="auto"/>
            </w:tcBorders>
            <w:hideMark/>
          </w:tcPr>
          <w:p w14:paraId="2D43D541" w14:textId="77777777" w:rsidR="002C533B" w:rsidRPr="00D87355" w:rsidRDefault="002C533B" w:rsidP="00B07F51">
            <w:pPr>
              <w:spacing w:after="0"/>
              <w:jc w:val="left"/>
            </w:pPr>
            <w:r w:rsidRPr="00D87355">
              <w:t xml:space="preserve">The threat event could be expected to have a </w:t>
            </w:r>
            <w:r w:rsidRPr="00D87355">
              <w:rPr>
                <w:b/>
                <w:bCs/>
              </w:rPr>
              <w:t xml:space="preserve">limited </w:t>
            </w:r>
            <w:r w:rsidRPr="00D87355">
              <w:t>adverse effect on organizational operations, organizational assets, individuals other organizations, or the Nation. A limited adverse effect means that, for example, the threat event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p>
        </w:tc>
      </w:tr>
      <w:tr w:rsidR="002C533B" w:rsidRPr="00D87355" w14:paraId="2D43D547" w14:textId="77777777" w:rsidTr="00B07F51">
        <w:trPr>
          <w:cantSplit/>
          <w:jc w:val="center"/>
        </w:trPr>
        <w:tc>
          <w:tcPr>
            <w:tcW w:w="1310" w:type="dxa"/>
            <w:tcBorders>
              <w:top w:val="single" w:sz="4" w:space="0" w:color="auto"/>
              <w:left w:val="single" w:sz="4" w:space="0" w:color="auto"/>
              <w:bottom w:val="single" w:sz="4" w:space="0" w:color="auto"/>
              <w:right w:val="single" w:sz="4" w:space="0" w:color="auto"/>
            </w:tcBorders>
            <w:vAlign w:val="center"/>
            <w:hideMark/>
          </w:tcPr>
          <w:p w14:paraId="2D43D543" w14:textId="77777777" w:rsidR="002C533B" w:rsidRPr="00D87355" w:rsidRDefault="002C533B" w:rsidP="00B07F51">
            <w:pPr>
              <w:spacing w:after="0"/>
              <w:jc w:val="center"/>
            </w:pPr>
            <w:r w:rsidRPr="00D87355">
              <w:t>Very Low</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44" w14:textId="77777777" w:rsidR="002C533B" w:rsidRPr="00D87355" w:rsidRDefault="002C533B" w:rsidP="00B07F51">
            <w:pPr>
              <w:spacing w:after="0"/>
              <w:jc w:val="center"/>
            </w:pPr>
            <w:r w:rsidRPr="00D87355">
              <w:t>0-4</w:t>
            </w:r>
          </w:p>
        </w:tc>
        <w:tc>
          <w:tcPr>
            <w:tcW w:w="1009" w:type="dxa"/>
            <w:tcBorders>
              <w:top w:val="single" w:sz="4" w:space="0" w:color="auto"/>
              <w:left w:val="single" w:sz="4" w:space="0" w:color="auto"/>
              <w:bottom w:val="single" w:sz="4" w:space="0" w:color="auto"/>
              <w:right w:val="single" w:sz="4" w:space="0" w:color="auto"/>
            </w:tcBorders>
            <w:vAlign w:val="center"/>
            <w:hideMark/>
          </w:tcPr>
          <w:p w14:paraId="2D43D545" w14:textId="77777777" w:rsidR="002C533B" w:rsidRPr="00D87355" w:rsidRDefault="002C533B" w:rsidP="00B07F51">
            <w:pPr>
              <w:spacing w:after="0"/>
              <w:jc w:val="center"/>
            </w:pPr>
            <w:r w:rsidRPr="00D87355">
              <w:t>0</w:t>
            </w:r>
          </w:p>
        </w:tc>
        <w:tc>
          <w:tcPr>
            <w:tcW w:w="6176" w:type="dxa"/>
            <w:tcBorders>
              <w:top w:val="single" w:sz="4" w:space="0" w:color="auto"/>
              <w:left w:val="single" w:sz="4" w:space="0" w:color="auto"/>
              <w:bottom w:val="single" w:sz="4" w:space="0" w:color="auto"/>
              <w:right w:val="single" w:sz="4" w:space="0" w:color="auto"/>
            </w:tcBorders>
            <w:hideMark/>
          </w:tcPr>
          <w:p w14:paraId="2D43D546" w14:textId="77777777" w:rsidR="002C533B" w:rsidRPr="00D87355" w:rsidRDefault="002C533B" w:rsidP="00B07F51">
            <w:pPr>
              <w:spacing w:after="0"/>
              <w:jc w:val="left"/>
            </w:pPr>
            <w:r w:rsidRPr="00D87355">
              <w:t xml:space="preserve">The threat event could be expected to have a </w:t>
            </w:r>
            <w:r w:rsidRPr="00D87355">
              <w:rPr>
                <w:b/>
                <w:bCs/>
              </w:rPr>
              <w:t xml:space="preserve">negligible </w:t>
            </w:r>
            <w:r w:rsidRPr="00D87355">
              <w:t>adverse effect on organizational operations, organizational assets, individuals other organizations, or the Nation.</w:t>
            </w:r>
          </w:p>
        </w:tc>
      </w:tr>
    </w:tbl>
    <w:p w14:paraId="2D43D548" w14:textId="77777777" w:rsidR="002C533B" w:rsidRPr="00D87355" w:rsidRDefault="002C533B" w:rsidP="002C533B">
      <w:pPr>
        <w:keepNext/>
        <w:tabs>
          <w:tab w:val="left" w:pos="936"/>
        </w:tabs>
        <w:suppressAutoHyphens w:val="0"/>
        <w:spacing w:before="240"/>
        <w:jc w:val="center"/>
        <w:rPr>
          <w:b/>
          <w:bCs/>
          <w:lang w:eastAsia="en-US"/>
        </w:rPr>
      </w:pPr>
      <w:r w:rsidRPr="00D87355">
        <w:rPr>
          <w:b/>
          <w:bCs/>
          <w:lang w:eastAsia="en-US"/>
        </w:rPr>
        <w:t>Table 5: Assessment Scale – Level of Risk</w:t>
      </w:r>
    </w:p>
    <w:tbl>
      <w:tblPr>
        <w:tblStyle w:val="TableGrid14"/>
        <w:tblW w:w="9504" w:type="dxa"/>
        <w:jc w:val="center"/>
        <w:tblCellMar>
          <w:top w:w="58" w:type="dxa"/>
          <w:left w:w="115" w:type="dxa"/>
          <w:bottom w:w="58" w:type="dxa"/>
          <w:right w:w="115" w:type="dxa"/>
        </w:tblCellMar>
        <w:tblLook w:val="04A0" w:firstRow="1" w:lastRow="0" w:firstColumn="1" w:lastColumn="0" w:noHBand="0" w:noVBand="1"/>
      </w:tblPr>
      <w:tblGrid>
        <w:gridCol w:w="1297"/>
        <w:gridCol w:w="1046"/>
        <w:gridCol w:w="1035"/>
        <w:gridCol w:w="6126"/>
      </w:tblGrid>
      <w:tr w:rsidR="002C533B" w:rsidRPr="00D87355" w14:paraId="2D43D54C" w14:textId="77777777" w:rsidTr="00B07F51">
        <w:trPr>
          <w:cantSplit/>
          <w:trHeight w:val="287"/>
          <w:tblHeader/>
          <w:jc w:val="center"/>
        </w:trPr>
        <w:tc>
          <w:tcPr>
            <w:tcW w:w="12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49" w14:textId="77777777" w:rsidR="002C533B" w:rsidRPr="00D87355" w:rsidRDefault="002C533B" w:rsidP="00B07F51">
            <w:pPr>
              <w:keepNext/>
              <w:spacing w:after="0"/>
              <w:jc w:val="center"/>
            </w:pPr>
            <w:r w:rsidRPr="00D87355">
              <w:t>Qualitative Values</w:t>
            </w:r>
          </w:p>
        </w:tc>
        <w:tc>
          <w:tcPr>
            <w:tcW w:w="211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43D54A" w14:textId="77777777" w:rsidR="002C533B" w:rsidRPr="00D87355" w:rsidRDefault="002C533B" w:rsidP="00B07F51">
            <w:pPr>
              <w:keepNext/>
              <w:spacing w:after="0"/>
              <w:jc w:val="center"/>
            </w:pPr>
            <w:r w:rsidRPr="00D87355">
              <w:t>Semi-Quantitative Values</w:t>
            </w:r>
          </w:p>
        </w:tc>
        <w:tc>
          <w:tcPr>
            <w:tcW w:w="63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4B" w14:textId="77777777" w:rsidR="002C533B" w:rsidRPr="00D87355" w:rsidRDefault="002C533B" w:rsidP="00B07F51">
            <w:pPr>
              <w:keepNext/>
              <w:tabs>
                <w:tab w:val="clear" w:pos="1440"/>
              </w:tabs>
              <w:spacing w:after="0"/>
              <w:jc w:val="center"/>
            </w:pPr>
            <w:r w:rsidRPr="00D87355">
              <w:t>Description</w:t>
            </w:r>
          </w:p>
        </w:tc>
      </w:tr>
      <w:tr w:rsidR="002C533B" w:rsidRPr="00D87355" w14:paraId="2D43D551" w14:textId="77777777" w:rsidTr="00B07F51">
        <w:trPr>
          <w:cantSplit/>
          <w:jc w:val="center"/>
        </w:trPr>
        <w:tc>
          <w:tcPr>
            <w:tcW w:w="1297" w:type="dxa"/>
            <w:tcBorders>
              <w:top w:val="single" w:sz="4" w:space="0" w:color="auto"/>
              <w:left w:val="single" w:sz="4" w:space="0" w:color="auto"/>
              <w:bottom w:val="single" w:sz="4" w:space="0" w:color="auto"/>
              <w:right w:val="single" w:sz="4" w:space="0" w:color="auto"/>
            </w:tcBorders>
            <w:vAlign w:val="center"/>
            <w:hideMark/>
          </w:tcPr>
          <w:p w14:paraId="2D43D54D" w14:textId="77777777" w:rsidR="002C533B" w:rsidRPr="00D87355" w:rsidRDefault="002C533B" w:rsidP="00B07F51">
            <w:pPr>
              <w:spacing w:after="0"/>
              <w:jc w:val="center"/>
            </w:pPr>
            <w:r w:rsidRPr="00D87355">
              <w:t>Very High</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4E" w14:textId="77777777" w:rsidR="002C533B" w:rsidRPr="00D87355" w:rsidRDefault="002C533B" w:rsidP="00B07F51">
            <w:pPr>
              <w:spacing w:after="0"/>
              <w:jc w:val="center"/>
            </w:pPr>
            <w:r w:rsidRPr="00D87355">
              <w:t>96-100</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4F" w14:textId="77777777" w:rsidR="002C533B" w:rsidRPr="00D87355" w:rsidRDefault="002C533B" w:rsidP="00B07F51">
            <w:pPr>
              <w:spacing w:after="0"/>
              <w:jc w:val="center"/>
            </w:pPr>
            <w:r w:rsidRPr="00D87355">
              <w:t>10</w:t>
            </w:r>
          </w:p>
        </w:tc>
        <w:tc>
          <w:tcPr>
            <w:tcW w:w="6377" w:type="dxa"/>
            <w:tcBorders>
              <w:top w:val="single" w:sz="4" w:space="0" w:color="auto"/>
              <w:left w:val="single" w:sz="4" w:space="0" w:color="auto"/>
              <w:bottom w:val="single" w:sz="4" w:space="0" w:color="auto"/>
              <w:right w:val="single" w:sz="4" w:space="0" w:color="auto"/>
            </w:tcBorders>
            <w:hideMark/>
          </w:tcPr>
          <w:p w14:paraId="2D43D550" w14:textId="77777777" w:rsidR="002C533B" w:rsidRPr="00D87355" w:rsidRDefault="002C533B" w:rsidP="00B07F51">
            <w:pPr>
              <w:tabs>
                <w:tab w:val="clear" w:pos="1440"/>
              </w:tabs>
              <w:spacing w:after="0"/>
              <w:jc w:val="left"/>
            </w:pPr>
            <w:r w:rsidRPr="00D87355">
              <w:t xml:space="preserve">Threat event could be expected to have </w:t>
            </w:r>
            <w:r w:rsidRPr="00D87355">
              <w:rPr>
                <w:b/>
              </w:rPr>
              <w:t xml:space="preserve">multiple </w:t>
            </w:r>
            <w:r w:rsidRPr="00D87355">
              <w:rPr>
                <w:b/>
                <w:bCs/>
              </w:rPr>
              <w:t xml:space="preserve">severe or catastrophic </w:t>
            </w:r>
            <w:r w:rsidRPr="00D87355">
              <w:t>adverse effects on organizational operations, organizational assets, individuals, other organizations, or the Nation.</w:t>
            </w:r>
          </w:p>
        </w:tc>
      </w:tr>
      <w:tr w:rsidR="002C533B" w:rsidRPr="00D87355" w14:paraId="2D43D556" w14:textId="77777777" w:rsidTr="00B07F51">
        <w:trPr>
          <w:cantSplit/>
          <w:jc w:val="center"/>
        </w:trPr>
        <w:tc>
          <w:tcPr>
            <w:tcW w:w="1297" w:type="dxa"/>
            <w:tcBorders>
              <w:top w:val="single" w:sz="4" w:space="0" w:color="auto"/>
              <w:left w:val="single" w:sz="4" w:space="0" w:color="auto"/>
              <w:bottom w:val="single" w:sz="4" w:space="0" w:color="auto"/>
              <w:right w:val="single" w:sz="4" w:space="0" w:color="auto"/>
            </w:tcBorders>
            <w:vAlign w:val="center"/>
            <w:hideMark/>
          </w:tcPr>
          <w:p w14:paraId="2D43D552" w14:textId="77777777" w:rsidR="002C533B" w:rsidRPr="00D87355" w:rsidRDefault="002C533B" w:rsidP="00B07F51">
            <w:pPr>
              <w:spacing w:after="0"/>
              <w:jc w:val="center"/>
            </w:pPr>
            <w:r w:rsidRPr="00D87355">
              <w:t>High</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3" w14:textId="77777777" w:rsidR="002C533B" w:rsidRPr="00D87355" w:rsidRDefault="002C533B" w:rsidP="00B07F51">
            <w:pPr>
              <w:spacing w:after="0"/>
              <w:jc w:val="center"/>
            </w:pPr>
            <w:r w:rsidRPr="00D87355">
              <w:t>80-95</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4" w14:textId="77777777" w:rsidR="002C533B" w:rsidRPr="00D87355" w:rsidRDefault="002C533B" w:rsidP="00B07F51">
            <w:pPr>
              <w:spacing w:after="0"/>
              <w:jc w:val="center"/>
            </w:pPr>
            <w:r w:rsidRPr="00D87355">
              <w:t>8</w:t>
            </w:r>
          </w:p>
        </w:tc>
        <w:tc>
          <w:tcPr>
            <w:tcW w:w="6377" w:type="dxa"/>
            <w:tcBorders>
              <w:top w:val="single" w:sz="4" w:space="0" w:color="auto"/>
              <w:left w:val="single" w:sz="4" w:space="0" w:color="auto"/>
              <w:bottom w:val="single" w:sz="4" w:space="0" w:color="auto"/>
              <w:right w:val="single" w:sz="4" w:space="0" w:color="auto"/>
            </w:tcBorders>
            <w:hideMark/>
          </w:tcPr>
          <w:p w14:paraId="2D43D555" w14:textId="77777777" w:rsidR="002C533B" w:rsidRPr="00D87355" w:rsidRDefault="002C533B" w:rsidP="00B07F51">
            <w:pPr>
              <w:tabs>
                <w:tab w:val="clear" w:pos="1440"/>
              </w:tabs>
              <w:spacing w:after="0"/>
              <w:jc w:val="left"/>
            </w:pPr>
            <w:r w:rsidRPr="00D87355">
              <w:t xml:space="preserve">Threat event could be expected to have a </w:t>
            </w:r>
            <w:r w:rsidRPr="00D87355">
              <w:rPr>
                <w:b/>
                <w:bCs/>
              </w:rPr>
              <w:t xml:space="preserve">severe or catastrophic </w:t>
            </w:r>
            <w:r w:rsidRPr="00D87355">
              <w:t>adverse effect on organizational operations, organizational assets, individuals, other organizations, or the Nation.</w:t>
            </w:r>
          </w:p>
        </w:tc>
      </w:tr>
      <w:tr w:rsidR="002C533B" w:rsidRPr="00D87355" w14:paraId="2D43D55B" w14:textId="77777777" w:rsidTr="00B07F51">
        <w:trPr>
          <w:cantSplit/>
          <w:jc w:val="center"/>
        </w:trPr>
        <w:tc>
          <w:tcPr>
            <w:tcW w:w="1297" w:type="dxa"/>
            <w:tcBorders>
              <w:top w:val="single" w:sz="4" w:space="0" w:color="auto"/>
              <w:left w:val="single" w:sz="4" w:space="0" w:color="auto"/>
              <w:bottom w:val="single" w:sz="4" w:space="0" w:color="auto"/>
              <w:right w:val="single" w:sz="4" w:space="0" w:color="auto"/>
            </w:tcBorders>
            <w:vAlign w:val="center"/>
            <w:hideMark/>
          </w:tcPr>
          <w:p w14:paraId="2D43D557" w14:textId="77777777" w:rsidR="002C533B" w:rsidRPr="00D87355" w:rsidRDefault="002C533B" w:rsidP="00B07F51">
            <w:pPr>
              <w:spacing w:after="0"/>
              <w:jc w:val="center"/>
            </w:pPr>
            <w:r w:rsidRPr="00D87355">
              <w:t>Moderate</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8" w14:textId="77777777" w:rsidR="002C533B" w:rsidRPr="00D87355" w:rsidRDefault="002C533B" w:rsidP="00B07F51">
            <w:pPr>
              <w:spacing w:after="0"/>
              <w:jc w:val="center"/>
            </w:pPr>
            <w:r w:rsidRPr="00D87355">
              <w:t>21-79</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9" w14:textId="77777777" w:rsidR="002C533B" w:rsidRPr="00D87355" w:rsidRDefault="002C533B" w:rsidP="00B07F51">
            <w:pPr>
              <w:spacing w:after="0"/>
              <w:jc w:val="center"/>
            </w:pPr>
            <w:r w:rsidRPr="00D87355">
              <w:t>5</w:t>
            </w:r>
          </w:p>
        </w:tc>
        <w:tc>
          <w:tcPr>
            <w:tcW w:w="6377" w:type="dxa"/>
            <w:tcBorders>
              <w:top w:val="single" w:sz="4" w:space="0" w:color="auto"/>
              <w:left w:val="single" w:sz="4" w:space="0" w:color="auto"/>
              <w:bottom w:val="single" w:sz="4" w:space="0" w:color="auto"/>
              <w:right w:val="single" w:sz="4" w:space="0" w:color="auto"/>
            </w:tcBorders>
            <w:hideMark/>
          </w:tcPr>
          <w:p w14:paraId="2D43D55A" w14:textId="77777777" w:rsidR="002C533B" w:rsidRPr="00D87355" w:rsidRDefault="002C533B" w:rsidP="00B07F51">
            <w:pPr>
              <w:tabs>
                <w:tab w:val="clear" w:pos="1440"/>
              </w:tabs>
              <w:spacing w:after="0"/>
              <w:jc w:val="left"/>
            </w:pPr>
            <w:r w:rsidRPr="00D87355">
              <w:t xml:space="preserve">Threat event could be expected to have a </w:t>
            </w:r>
            <w:r w:rsidRPr="00D87355">
              <w:rPr>
                <w:b/>
                <w:bCs/>
              </w:rPr>
              <w:t xml:space="preserve">serious </w:t>
            </w:r>
            <w:r w:rsidRPr="00D87355">
              <w:t>adverse effect on organizational operations, organizational assets, individuals, other organizations, or the Nation.</w:t>
            </w:r>
          </w:p>
        </w:tc>
      </w:tr>
      <w:tr w:rsidR="002C533B" w:rsidRPr="00D87355" w14:paraId="2D43D560" w14:textId="77777777" w:rsidTr="00B07F51">
        <w:trPr>
          <w:cantSplit/>
          <w:jc w:val="center"/>
        </w:trPr>
        <w:tc>
          <w:tcPr>
            <w:tcW w:w="1297" w:type="dxa"/>
            <w:tcBorders>
              <w:top w:val="single" w:sz="4" w:space="0" w:color="auto"/>
              <w:left w:val="single" w:sz="4" w:space="0" w:color="auto"/>
              <w:bottom w:val="single" w:sz="4" w:space="0" w:color="auto"/>
              <w:right w:val="single" w:sz="4" w:space="0" w:color="auto"/>
            </w:tcBorders>
            <w:vAlign w:val="center"/>
            <w:hideMark/>
          </w:tcPr>
          <w:p w14:paraId="2D43D55C" w14:textId="77777777" w:rsidR="002C533B" w:rsidRPr="00D87355" w:rsidRDefault="002C533B" w:rsidP="00B07F51">
            <w:pPr>
              <w:spacing w:after="0"/>
              <w:jc w:val="center"/>
            </w:pPr>
            <w:r w:rsidRPr="00D87355">
              <w:t>Low</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D" w14:textId="77777777" w:rsidR="002C533B" w:rsidRPr="00D87355" w:rsidRDefault="002C533B" w:rsidP="00B07F51">
            <w:pPr>
              <w:spacing w:after="0"/>
              <w:jc w:val="center"/>
            </w:pPr>
            <w:r w:rsidRPr="00D87355">
              <w:t>5-20</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5E" w14:textId="77777777" w:rsidR="002C533B" w:rsidRPr="00D87355" w:rsidRDefault="002C533B" w:rsidP="00B07F51">
            <w:pPr>
              <w:spacing w:after="0"/>
              <w:jc w:val="center"/>
            </w:pPr>
            <w:r w:rsidRPr="00D87355">
              <w:t>2</w:t>
            </w:r>
          </w:p>
        </w:tc>
        <w:tc>
          <w:tcPr>
            <w:tcW w:w="6377" w:type="dxa"/>
            <w:tcBorders>
              <w:top w:val="single" w:sz="4" w:space="0" w:color="auto"/>
              <w:left w:val="single" w:sz="4" w:space="0" w:color="auto"/>
              <w:bottom w:val="single" w:sz="4" w:space="0" w:color="auto"/>
              <w:right w:val="single" w:sz="4" w:space="0" w:color="auto"/>
            </w:tcBorders>
            <w:hideMark/>
          </w:tcPr>
          <w:p w14:paraId="2D43D55F" w14:textId="77777777" w:rsidR="002C533B" w:rsidRPr="00D87355" w:rsidRDefault="002C533B" w:rsidP="00B07F51">
            <w:pPr>
              <w:tabs>
                <w:tab w:val="clear" w:pos="1440"/>
              </w:tabs>
              <w:spacing w:after="0"/>
              <w:jc w:val="left"/>
            </w:pPr>
            <w:r w:rsidRPr="00D87355">
              <w:t xml:space="preserve">Threat event could be expected to have a </w:t>
            </w:r>
            <w:r w:rsidRPr="00D87355">
              <w:rPr>
                <w:b/>
                <w:bCs/>
              </w:rPr>
              <w:t xml:space="preserve">limited </w:t>
            </w:r>
            <w:r w:rsidRPr="00D87355">
              <w:t>adverse effect on organizational operations, organizational assets, individuals, other organizations, or the Nation.</w:t>
            </w:r>
          </w:p>
        </w:tc>
      </w:tr>
      <w:tr w:rsidR="002C533B" w:rsidRPr="00D87355" w14:paraId="2D43D565" w14:textId="77777777" w:rsidTr="00B07F51">
        <w:trPr>
          <w:cantSplit/>
          <w:jc w:val="center"/>
        </w:trPr>
        <w:tc>
          <w:tcPr>
            <w:tcW w:w="1297" w:type="dxa"/>
            <w:tcBorders>
              <w:top w:val="single" w:sz="4" w:space="0" w:color="auto"/>
              <w:left w:val="single" w:sz="4" w:space="0" w:color="auto"/>
              <w:bottom w:val="single" w:sz="4" w:space="0" w:color="auto"/>
              <w:right w:val="single" w:sz="4" w:space="0" w:color="auto"/>
            </w:tcBorders>
            <w:vAlign w:val="center"/>
            <w:hideMark/>
          </w:tcPr>
          <w:p w14:paraId="2D43D561" w14:textId="77777777" w:rsidR="002C533B" w:rsidRPr="00D87355" w:rsidRDefault="002C533B" w:rsidP="00B07F51">
            <w:pPr>
              <w:spacing w:after="0"/>
              <w:jc w:val="center"/>
            </w:pPr>
            <w:r w:rsidRPr="00D87355">
              <w:t>Very Low</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62" w14:textId="77777777" w:rsidR="002C533B" w:rsidRPr="00D87355" w:rsidRDefault="002C533B" w:rsidP="00B07F51">
            <w:pPr>
              <w:spacing w:after="0"/>
              <w:jc w:val="center"/>
            </w:pPr>
            <w:r w:rsidRPr="00D87355">
              <w:t>0-4</w:t>
            </w:r>
          </w:p>
        </w:tc>
        <w:tc>
          <w:tcPr>
            <w:tcW w:w="1059" w:type="dxa"/>
            <w:tcBorders>
              <w:top w:val="single" w:sz="4" w:space="0" w:color="auto"/>
              <w:left w:val="single" w:sz="4" w:space="0" w:color="auto"/>
              <w:bottom w:val="single" w:sz="4" w:space="0" w:color="auto"/>
              <w:right w:val="single" w:sz="4" w:space="0" w:color="auto"/>
            </w:tcBorders>
            <w:vAlign w:val="center"/>
            <w:hideMark/>
          </w:tcPr>
          <w:p w14:paraId="2D43D563" w14:textId="77777777" w:rsidR="002C533B" w:rsidRPr="00D87355" w:rsidRDefault="002C533B" w:rsidP="00B07F51">
            <w:pPr>
              <w:spacing w:after="0"/>
              <w:jc w:val="center"/>
            </w:pPr>
            <w:r w:rsidRPr="00D87355">
              <w:t>0</w:t>
            </w:r>
          </w:p>
        </w:tc>
        <w:tc>
          <w:tcPr>
            <w:tcW w:w="6377" w:type="dxa"/>
            <w:tcBorders>
              <w:top w:val="single" w:sz="4" w:space="0" w:color="auto"/>
              <w:left w:val="single" w:sz="4" w:space="0" w:color="auto"/>
              <w:bottom w:val="single" w:sz="4" w:space="0" w:color="auto"/>
              <w:right w:val="single" w:sz="4" w:space="0" w:color="auto"/>
            </w:tcBorders>
            <w:hideMark/>
          </w:tcPr>
          <w:p w14:paraId="2D43D564" w14:textId="77777777" w:rsidR="002C533B" w:rsidRPr="00D87355" w:rsidRDefault="002C533B" w:rsidP="00B07F51">
            <w:pPr>
              <w:tabs>
                <w:tab w:val="clear" w:pos="1440"/>
              </w:tabs>
              <w:spacing w:after="0"/>
              <w:jc w:val="left"/>
            </w:pPr>
            <w:r w:rsidRPr="00D87355">
              <w:t xml:space="preserve">Threat event could be expected to have a </w:t>
            </w:r>
            <w:r w:rsidRPr="00D87355">
              <w:rPr>
                <w:b/>
                <w:bCs/>
              </w:rPr>
              <w:t xml:space="preserve">negligible </w:t>
            </w:r>
            <w:r w:rsidRPr="00D87355">
              <w:t>adverse effect on organizational operations, organizational assets, individuals, other organizations, or the Nation.</w:t>
            </w:r>
          </w:p>
        </w:tc>
      </w:tr>
    </w:tbl>
    <w:p w14:paraId="2D43D566" w14:textId="77777777" w:rsidR="002C533B" w:rsidRPr="00D87355" w:rsidRDefault="002C533B" w:rsidP="002C533B">
      <w:pPr>
        <w:keepNext/>
        <w:tabs>
          <w:tab w:val="left" w:pos="936"/>
        </w:tabs>
        <w:suppressAutoHyphens w:val="0"/>
        <w:spacing w:before="240"/>
        <w:jc w:val="center"/>
        <w:rPr>
          <w:b/>
          <w:bCs/>
          <w:lang w:eastAsia="en-US"/>
        </w:rPr>
      </w:pPr>
    </w:p>
    <w:p w14:paraId="2D43D567" w14:textId="77777777" w:rsidR="002C533B" w:rsidRPr="00D87355" w:rsidRDefault="002C533B" w:rsidP="002C533B">
      <w:pPr>
        <w:tabs>
          <w:tab w:val="clear" w:pos="0"/>
          <w:tab w:val="clear" w:pos="540"/>
          <w:tab w:val="clear" w:pos="1440"/>
        </w:tabs>
        <w:suppressAutoHyphens w:val="0"/>
        <w:spacing w:after="200" w:line="276" w:lineRule="auto"/>
        <w:jc w:val="left"/>
        <w:rPr>
          <w:b/>
          <w:bCs/>
          <w:lang w:eastAsia="en-US"/>
        </w:rPr>
      </w:pPr>
      <w:r w:rsidRPr="00D87355">
        <w:br w:type="page"/>
      </w:r>
    </w:p>
    <w:p w14:paraId="2D43D568" w14:textId="77777777" w:rsidR="002C533B" w:rsidRPr="00D87355" w:rsidRDefault="002C533B" w:rsidP="002C533B">
      <w:pPr>
        <w:keepNext/>
        <w:tabs>
          <w:tab w:val="left" w:pos="936"/>
        </w:tabs>
        <w:suppressAutoHyphens w:val="0"/>
        <w:spacing w:before="240"/>
        <w:jc w:val="center"/>
        <w:rPr>
          <w:b/>
          <w:bCs/>
          <w:lang w:eastAsia="en-US"/>
        </w:rPr>
      </w:pPr>
      <w:r w:rsidRPr="00D87355">
        <w:rPr>
          <w:b/>
          <w:bCs/>
          <w:lang w:eastAsia="en-US"/>
        </w:rPr>
        <w:lastRenderedPageBreak/>
        <w:t>Table 6: Assessment Scale – Level of Risk (Combination of Likelihood and Impact)</w:t>
      </w:r>
    </w:p>
    <w:tbl>
      <w:tblPr>
        <w:tblStyle w:val="TableGrid14"/>
        <w:tblW w:w="9504" w:type="dxa"/>
        <w:jc w:val="center"/>
        <w:tblLayout w:type="fixed"/>
        <w:tblCellMar>
          <w:top w:w="58" w:type="dxa"/>
          <w:left w:w="115" w:type="dxa"/>
          <w:bottom w:w="58" w:type="dxa"/>
          <w:right w:w="115" w:type="dxa"/>
        </w:tblCellMar>
        <w:tblLook w:val="04A0" w:firstRow="1" w:lastRow="0" w:firstColumn="1" w:lastColumn="0" w:noHBand="0" w:noVBand="1"/>
      </w:tblPr>
      <w:tblGrid>
        <w:gridCol w:w="2372"/>
        <w:gridCol w:w="1426"/>
        <w:gridCol w:w="1426"/>
        <w:gridCol w:w="1427"/>
        <w:gridCol w:w="1426"/>
        <w:gridCol w:w="1427"/>
      </w:tblGrid>
      <w:tr w:rsidR="002C533B" w:rsidRPr="00D87355" w14:paraId="2D43D56B" w14:textId="77777777" w:rsidTr="00B07F51">
        <w:trPr>
          <w:cantSplit/>
          <w:trHeight w:val="360"/>
          <w:jc w:val="center"/>
        </w:trPr>
        <w:tc>
          <w:tcPr>
            <w:tcW w:w="2453" w:type="dxa"/>
            <w:vMerge w:val="restart"/>
            <w:tcBorders>
              <w:top w:val="single" w:sz="8" w:space="0" w:color="auto"/>
              <w:left w:val="single" w:sz="8" w:space="0" w:color="auto"/>
              <w:bottom w:val="nil"/>
              <w:right w:val="single" w:sz="18" w:space="0" w:color="auto"/>
            </w:tcBorders>
            <w:shd w:val="clear" w:color="auto" w:fill="D9D9D9" w:themeFill="background1" w:themeFillShade="D9"/>
            <w:vAlign w:val="center"/>
          </w:tcPr>
          <w:p w14:paraId="2D43D569" w14:textId="77777777" w:rsidR="002C533B" w:rsidRPr="00D87355" w:rsidRDefault="002C533B" w:rsidP="00B07F51">
            <w:pPr>
              <w:spacing w:after="0"/>
              <w:jc w:val="center"/>
              <w:rPr>
                <w:b/>
              </w:rPr>
            </w:pPr>
            <w:r w:rsidRPr="00D87355">
              <w:rPr>
                <w:b/>
              </w:rPr>
              <w:t>Likelihood (That Occurrence Results in Adverse Impact)</w:t>
            </w:r>
          </w:p>
        </w:tc>
        <w:tc>
          <w:tcPr>
            <w:tcW w:w="7357" w:type="dxa"/>
            <w:gridSpan w:val="5"/>
            <w:tcBorders>
              <w:left w:val="single" w:sz="18" w:space="0" w:color="auto"/>
              <w:bottom w:val="single" w:sz="4" w:space="0" w:color="auto"/>
            </w:tcBorders>
            <w:shd w:val="clear" w:color="auto" w:fill="D9D9D9" w:themeFill="background1" w:themeFillShade="D9"/>
            <w:vAlign w:val="center"/>
          </w:tcPr>
          <w:p w14:paraId="2D43D56A" w14:textId="77777777" w:rsidR="002C533B" w:rsidRPr="00D87355" w:rsidRDefault="002C533B" w:rsidP="00B07F51">
            <w:pPr>
              <w:spacing w:after="0"/>
              <w:jc w:val="center"/>
              <w:rPr>
                <w:b/>
              </w:rPr>
            </w:pPr>
            <w:r w:rsidRPr="00D87355">
              <w:rPr>
                <w:b/>
              </w:rPr>
              <w:t>Level of Impact</w:t>
            </w:r>
          </w:p>
        </w:tc>
      </w:tr>
      <w:tr w:rsidR="002C533B" w:rsidRPr="00D87355" w14:paraId="2D43D572" w14:textId="77777777" w:rsidTr="00B07F51">
        <w:trPr>
          <w:cantSplit/>
          <w:trHeight w:val="360"/>
          <w:jc w:val="center"/>
        </w:trPr>
        <w:tc>
          <w:tcPr>
            <w:tcW w:w="2453" w:type="dxa"/>
            <w:vMerge/>
            <w:tcBorders>
              <w:top w:val="nil"/>
              <w:left w:val="single" w:sz="8" w:space="0" w:color="auto"/>
              <w:bottom w:val="single" w:sz="4" w:space="0" w:color="auto"/>
              <w:right w:val="single" w:sz="18" w:space="0" w:color="auto"/>
            </w:tcBorders>
            <w:vAlign w:val="center"/>
          </w:tcPr>
          <w:p w14:paraId="2D43D56C" w14:textId="77777777" w:rsidR="002C533B" w:rsidRPr="00D87355" w:rsidRDefault="002C533B" w:rsidP="00B07F51">
            <w:pPr>
              <w:spacing w:after="0"/>
              <w:jc w:val="center"/>
            </w:pPr>
          </w:p>
        </w:tc>
        <w:tc>
          <w:tcPr>
            <w:tcW w:w="1471" w:type="dxa"/>
            <w:tcBorders>
              <w:left w:val="single" w:sz="18" w:space="0" w:color="auto"/>
              <w:bottom w:val="single" w:sz="18" w:space="0" w:color="auto"/>
            </w:tcBorders>
            <w:shd w:val="clear" w:color="auto" w:fill="DEEAF6" w:themeFill="accent1" w:themeFillTint="33"/>
            <w:vAlign w:val="center"/>
          </w:tcPr>
          <w:p w14:paraId="2D43D56D" w14:textId="77777777" w:rsidR="002C533B" w:rsidRPr="00D87355" w:rsidRDefault="002C533B" w:rsidP="00B07F51">
            <w:pPr>
              <w:spacing w:after="0"/>
              <w:jc w:val="center"/>
            </w:pPr>
            <w:r w:rsidRPr="00D87355">
              <w:t>Very Low</w:t>
            </w:r>
          </w:p>
        </w:tc>
        <w:tc>
          <w:tcPr>
            <w:tcW w:w="1471" w:type="dxa"/>
            <w:tcBorders>
              <w:bottom w:val="single" w:sz="18" w:space="0" w:color="auto"/>
            </w:tcBorders>
            <w:shd w:val="clear" w:color="auto" w:fill="DEEAF6" w:themeFill="accent1" w:themeFillTint="33"/>
            <w:vAlign w:val="center"/>
          </w:tcPr>
          <w:p w14:paraId="2D43D56E" w14:textId="77777777" w:rsidR="002C533B" w:rsidRPr="00D87355" w:rsidRDefault="002C533B" w:rsidP="00B07F51">
            <w:pPr>
              <w:spacing w:after="0"/>
              <w:jc w:val="center"/>
            </w:pPr>
            <w:r w:rsidRPr="00D87355">
              <w:t>Low</w:t>
            </w:r>
          </w:p>
        </w:tc>
        <w:tc>
          <w:tcPr>
            <w:tcW w:w="1472" w:type="dxa"/>
            <w:tcBorders>
              <w:bottom w:val="single" w:sz="18" w:space="0" w:color="auto"/>
            </w:tcBorders>
            <w:shd w:val="clear" w:color="auto" w:fill="DEEAF6" w:themeFill="accent1" w:themeFillTint="33"/>
            <w:vAlign w:val="center"/>
          </w:tcPr>
          <w:p w14:paraId="2D43D56F" w14:textId="77777777" w:rsidR="002C533B" w:rsidRPr="00D87355" w:rsidRDefault="002C533B" w:rsidP="00B07F51">
            <w:pPr>
              <w:spacing w:after="0"/>
              <w:jc w:val="center"/>
            </w:pPr>
            <w:r w:rsidRPr="00D87355">
              <w:t>Moderate</w:t>
            </w:r>
          </w:p>
        </w:tc>
        <w:tc>
          <w:tcPr>
            <w:tcW w:w="1471" w:type="dxa"/>
            <w:tcBorders>
              <w:bottom w:val="single" w:sz="18" w:space="0" w:color="auto"/>
            </w:tcBorders>
            <w:shd w:val="clear" w:color="auto" w:fill="DEEAF6" w:themeFill="accent1" w:themeFillTint="33"/>
            <w:vAlign w:val="center"/>
          </w:tcPr>
          <w:p w14:paraId="2D43D570" w14:textId="77777777" w:rsidR="002C533B" w:rsidRPr="00D87355" w:rsidRDefault="002C533B" w:rsidP="00B07F51">
            <w:pPr>
              <w:spacing w:after="0"/>
              <w:jc w:val="center"/>
            </w:pPr>
            <w:r w:rsidRPr="00D87355">
              <w:t>High</w:t>
            </w:r>
          </w:p>
        </w:tc>
        <w:tc>
          <w:tcPr>
            <w:tcW w:w="1472" w:type="dxa"/>
            <w:tcBorders>
              <w:bottom w:val="single" w:sz="18" w:space="0" w:color="auto"/>
            </w:tcBorders>
            <w:shd w:val="clear" w:color="auto" w:fill="DEEAF6" w:themeFill="accent1" w:themeFillTint="33"/>
            <w:vAlign w:val="center"/>
          </w:tcPr>
          <w:p w14:paraId="2D43D571" w14:textId="77777777" w:rsidR="002C533B" w:rsidRPr="00D87355" w:rsidRDefault="002C533B" w:rsidP="00B07F51">
            <w:pPr>
              <w:spacing w:after="0"/>
              <w:jc w:val="center"/>
            </w:pPr>
            <w:r w:rsidRPr="00D87355">
              <w:t>Very High</w:t>
            </w:r>
          </w:p>
        </w:tc>
      </w:tr>
      <w:tr w:rsidR="002C533B" w:rsidRPr="00D87355" w14:paraId="2D43D579" w14:textId="77777777" w:rsidTr="00B07F51">
        <w:trPr>
          <w:cantSplit/>
          <w:trHeight w:val="360"/>
          <w:jc w:val="center"/>
        </w:trPr>
        <w:tc>
          <w:tcPr>
            <w:tcW w:w="2453" w:type="dxa"/>
            <w:tcBorders>
              <w:top w:val="single" w:sz="4" w:space="0" w:color="auto"/>
              <w:left w:val="single" w:sz="8" w:space="0" w:color="auto"/>
              <w:bottom w:val="single" w:sz="4" w:space="0" w:color="auto"/>
              <w:right w:val="single" w:sz="18" w:space="0" w:color="auto"/>
            </w:tcBorders>
            <w:shd w:val="clear" w:color="auto" w:fill="DEEAF6" w:themeFill="accent1" w:themeFillTint="33"/>
            <w:vAlign w:val="center"/>
          </w:tcPr>
          <w:p w14:paraId="2D43D573" w14:textId="77777777" w:rsidR="002C533B" w:rsidRPr="00D87355" w:rsidRDefault="002C533B" w:rsidP="00B07F51">
            <w:pPr>
              <w:spacing w:after="0"/>
              <w:jc w:val="center"/>
            </w:pPr>
            <w:r w:rsidRPr="00D87355">
              <w:t>Very High</w:t>
            </w:r>
          </w:p>
        </w:tc>
        <w:tc>
          <w:tcPr>
            <w:tcW w:w="1471" w:type="dxa"/>
            <w:tcBorders>
              <w:top w:val="single" w:sz="18" w:space="0" w:color="auto"/>
              <w:left w:val="single" w:sz="18" w:space="0" w:color="auto"/>
            </w:tcBorders>
            <w:shd w:val="clear" w:color="auto" w:fill="auto"/>
            <w:vAlign w:val="center"/>
          </w:tcPr>
          <w:p w14:paraId="2D43D574" w14:textId="77777777" w:rsidR="002C533B" w:rsidRPr="00D87355" w:rsidRDefault="002C533B" w:rsidP="00B07F51">
            <w:pPr>
              <w:spacing w:after="0"/>
              <w:jc w:val="center"/>
            </w:pPr>
            <w:r w:rsidRPr="00D87355">
              <w:t>Very Low</w:t>
            </w:r>
          </w:p>
        </w:tc>
        <w:tc>
          <w:tcPr>
            <w:tcW w:w="1471" w:type="dxa"/>
            <w:tcBorders>
              <w:top w:val="single" w:sz="18" w:space="0" w:color="auto"/>
            </w:tcBorders>
            <w:shd w:val="clear" w:color="auto" w:fill="auto"/>
            <w:vAlign w:val="center"/>
          </w:tcPr>
          <w:p w14:paraId="2D43D575" w14:textId="77777777" w:rsidR="002C533B" w:rsidRPr="00D87355" w:rsidRDefault="002C533B" w:rsidP="00B07F51">
            <w:pPr>
              <w:spacing w:after="0"/>
              <w:jc w:val="center"/>
            </w:pPr>
            <w:r w:rsidRPr="00D87355">
              <w:t>Low</w:t>
            </w:r>
          </w:p>
        </w:tc>
        <w:tc>
          <w:tcPr>
            <w:tcW w:w="1472" w:type="dxa"/>
            <w:tcBorders>
              <w:top w:val="single" w:sz="18" w:space="0" w:color="auto"/>
            </w:tcBorders>
            <w:shd w:val="clear" w:color="auto" w:fill="auto"/>
            <w:vAlign w:val="center"/>
          </w:tcPr>
          <w:p w14:paraId="2D43D576" w14:textId="77777777" w:rsidR="002C533B" w:rsidRPr="00D87355" w:rsidRDefault="002C533B" w:rsidP="00B07F51">
            <w:pPr>
              <w:spacing w:after="0"/>
              <w:jc w:val="center"/>
            </w:pPr>
            <w:r w:rsidRPr="00D87355">
              <w:t>Moderate</w:t>
            </w:r>
          </w:p>
        </w:tc>
        <w:tc>
          <w:tcPr>
            <w:tcW w:w="1471" w:type="dxa"/>
            <w:tcBorders>
              <w:top w:val="single" w:sz="18" w:space="0" w:color="auto"/>
            </w:tcBorders>
            <w:shd w:val="clear" w:color="auto" w:fill="auto"/>
            <w:vAlign w:val="center"/>
          </w:tcPr>
          <w:p w14:paraId="2D43D577" w14:textId="77777777" w:rsidR="002C533B" w:rsidRPr="00D87355" w:rsidRDefault="002C533B" w:rsidP="00B07F51">
            <w:pPr>
              <w:spacing w:after="0"/>
              <w:jc w:val="center"/>
            </w:pPr>
            <w:r w:rsidRPr="00D87355">
              <w:t>High</w:t>
            </w:r>
          </w:p>
        </w:tc>
        <w:tc>
          <w:tcPr>
            <w:tcW w:w="1472" w:type="dxa"/>
            <w:tcBorders>
              <w:top w:val="single" w:sz="18" w:space="0" w:color="auto"/>
            </w:tcBorders>
            <w:shd w:val="clear" w:color="auto" w:fill="auto"/>
            <w:vAlign w:val="center"/>
          </w:tcPr>
          <w:p w14:paraId="2D43D578" w14:textId="77777777" w:rsidR="002C533B" w:rsidRPr="00D87355" w:rsidRDefault="002C533B" w:rsidP="00B07F51">
            <w:pPr>
              <w:spacing w:after="0"/>
              <w:jc w:val="center"/>
            </w:pPr>
            <w:r w:rsidRPr="00D87355">
              <w:t>Very High</w:t>
            </w:r>
          </w:p>
        </w:tc>
      </w:tr>
      <w:tr w:rsidR="002C533B" w:rsidRPr="00D87355" w14:paraId="2D43D580" w14:textId="77777777" w:rsidTr="00B07F51">
        <w:trPr>
          <w:cantSplit/>
          <w:trHeight w:val="360"/>
          <w:jc w:val="center"/>
        </w:trPr>
        <w:tc>
          <w:tcPr>
            <w:tcW w:w="2453" w:type="dxa"/>
            <w:tcBorders>
              <w:top w:val="single" w:sz="4" w:space="0" w:color="auto"/>
              <w:left w:val="single" w:sz="8" w:space="0" w:color="auto"/>
              <w:bottom w:val="single" w:sz="4" w:space="0" w:color="auto"/>
              <w:right w:val="single" w:sz="18" w:space="0" w:color="auto"/>
            </w:tcBorders>
            <w:shd w:val="clear" w:color="auto" w:fill="DEEAF6" w:themeFill="accent1" w:themeFillTint="33"/>
            <w:vAlign w:val="center"/>
          </w:tcPr>
          <w:p w14:paraId="2D43D57A" w14:textId="77777777" w:rsidR="002C533B" w:rsidRPr="00D87355" w:rsidRDefault="002C533B" w:rsidP="00B07F51">
            <w:pPr>
              <w:spacing w:after="0"/>
              <w:jc w:val="center"/>
            </w:pPr>
            <w:r w:rsidRPr="00D87355">
              <w:t>High</w:t>
            </w:r>
          </w:p>
        </w:tc>
        <w:tc>
          <w:tcPr>
            <w:tcW w:w="1471" w:type="dxa"/>
            <w:tcBorders>
              <w:left w:val="single" w:sz="18" w:space="0" w:color="auto"/>
            </w:tcBorders>
            <w:shd w:val="clear" w:color="auto" w:fill="auto"/>
            <w:vAlign w:val="center"/>
          </w:tcPr>
          <w:p w14:paraId="2D43D57B" w14:textId="77777777" w:rsidR="002C533B" w:rsidRPr="00D87355" w:rsidRDefault="002C533B" w:rsidP="00B07F51">
            <w:pPr>
              <w:spacing w:after="0"/>
              <w:jc w:val="center"/>
            </w:pPr>
            <w:r w:rsidRPr="00D87355">
              <w:t>Very Low</w:t>
            </w:r>
          </w:p>
        </w:tc>
        <w:tc>
          <w:tcPr>
            <w:tcW w:w="1471" w:type="dxa"/>
            <w:shd w:val="clear" w:color="auto" w:fill="auto"/>
            <w:vAlign w:val="center"/>
          </w:tcPr>
          <w:p w14:paraId="2D43D57C" w14:textId="77777777" w:rsidR="002C533B" w:rsidRPr="00D87355" w:rsidRDefault="002C533B" w:rsidP="00B07F51">
            <w:pPr>
              <w:spacing w:after="0"/>
              <w:jc w:val="center"/>
            </w:pPr>
            <w:r w:rsidRPr="00D87355">
              <w:t>Low</w:t>
            </w:r>
          </w:p>
        </w:tc>
        <w:tc>
          <w:tcPr>
            <w:tcW w:w="1472" w:type="dxa"/>
            <w:shd w:val="clear" w:color="auto" w:fill="auto"/>
            <w:vAlign w:val="center"/>
          </w:tcPr>
          <w:p w14:paraId="2D43D57D" w14:textId="77777777" w:rsidR="002C533B" w:rsidRPr="00D87355" w:rsidRDefault="002C533B" w:rsidP="00B07F51">
            <w:pPr>
              <w:spacing w:after="0"/>
              <w:jc w:val="center"/>
            </w:pPr>
            <w:r w:rsidRPr="00D87355">
              <w:t>Moderate</w:t>
            </w:r>
          </w:p>
        </w:tc>
        <w:tc>
          <w:tcPr>
            <w:tcW w:w="1471" w:type="dxa"/>
            <w:shd w:val="clear" w:color="auto" w:fill="auto"/>
            <w:vAlign w:val="center"/>
          </w:tcPr>
          <w:p w14:paraId="2D43D57E" w14:textId="77777777" w:rsidR="002C533B" w:rsidRPr="00D87355" w:rsidRDefault="002C533B" w:rsidP="00B07F51">
            <w:pPr>
              <w:spacing w:after="0"/>
              <w:jc w:val="center"/>
            </w:pPr>
            <w:r w:rsidRPr="00D87355">
              <w:t>High</w:t>
            </w:r>
          </w:p>
        </w:tc>
        <w:tc>
          <w:tcPr>
            <w:tcW w:w="1472" w:type="dxa"/>
            <w:shd w:val="clear" w:color="auto" w:fill="auto"/>
            <w:vAlign w:val="center"/>
          </w:tcPr>
          <w:p w14:paraId="2D43D57F" w14:textId="77777777" w:rsidR="002C533B" w:rsidRPr="00D87355" w:rsidRDefault="002C533B" w:rsidP="00B07F51">
            <w:pPr>
              <w:spacing w:after="0"/>
              <w:jc w:val="center"/>
            </w:pPr>
            <w:r w:rsidRPr="00D87355">
              <w:t>Very High</w:t>
            </w:r>
          </w:p>
        </w:tc>
      </w:tr>
      <w:tr w:rsidR="002C533B" w:rsidRPr="00D87355" w14:paraId="2D43D587" w14:textId="77777777" w:rsidTr="00B07F51">
        <w:trPr>
          <w:cantSplit/>
          <w:trHeight w:val="433"/>
          <w:jc w:val="center"/>
        </w:trPr>
        <w:tc>
          <w:tcPr>
            <w:tcW w:w="2453" w:type="dxa"/>
            <w:tcBorders>
              <w:top w:val="single" w:sz="4" w:space="0" w:color="auto"/>
              <w:left w:val="single" w:sz="8" w:space="0" w:color="auto"/>
              <w:bottom w:val="single" w:sz="4" w:space="0" w:color="auto"/>
              <w:right w:val="single" w:sz="18" w:space="0" w:color="auto"/>
            </w:tcBorders>
            <w:shd w:val="clear" w:color="auto" w:fill="DEEAF6" w:themeFill="accent1" w:themeFillTint="33"/>
            <w:vAlign w:val="center"/>
          </w:tcPr>
          <w:p w14:paraId="2D43D581" w14:textId="77777777" w:rsidR="002C533B" w:rsidRPr="00D87355" w:rsidRDefault="002C533B" w:rsidP="00B07F51">
            <w:pPr>
              <w:spacing w:after="0"/>
              <w:jc w:val="center"/>
            </w:pPr>
            <w:r w:rsidRPr="00D87355">
              <w:t>Moderate</w:t>
            </w:r>
          </w:p>
        </w:tc>
        <w:tc>
          <w:tcPr>
            <w:tcW w:w="1471" w:type="dxa"/>
            <w:tcBorders>
              <w:left w:val="single" w:sz="18" w:space="0" w:color="auto"/>
            </w:tcBorders>
            <w:shd w:val="clear" w:color="auto" w:fill="auto"/>
            <w:vAlign w:val="center"/>
          </w:tcPr>
          <w:p w14:paraId="2D43D582" w14:textId="77777777" w:rsidR="002C533B" w:rsidRPr="00D87355" w:rsidRDefault="002C533B" w:rsidP="00B07F51">
            <w:pPr>
              <w:spacing w:after="0"/>
              <w:jc w:val="center"/>
            </w:pPr>
            <w:r w:rsidRPr="00D87355">
              <w:t>Very Low</w:t>
            </w:r>
          </w:p>
        </w:tc>
        <w:tc>
          <w:tcPr>
            <w:tcW w:w="1471" w:type="dxa"/>
            <w:shd w:val="clear" w:color="auto" w:fill="auto"/>
            <w:vAlign w:val="center"/>
          </w:tcPr>
          <w:p w14:paraId="2D43D583" w14:textId="77777777" w:rsidR="002C533B" w:rsidRPr="00D87355" w:rsidRDefault="002C533B" w:rsidP="00B07F51">
            <w:pPr>
              <w:spacing w:after="0"/>
              <w:jc w:val="center"/>
            </w:pPr>
            <w:r w:rsidRPr="00D87355">
              <w:t>Low</w:t>
            </w:r>
          </w:p>
        </w:tc>
        <w:tc>
          <w:tcPr>
            <w:tcW w:w="1472" w:type="dxa"/>
            <w:shd w:val="clear" w:color="auto" w:fill="auto"/>
            <w:vAlign w:val="center"/>
          </w:tcPr>
          <w:p w14:paraId="2D43D584" w14:textId="77777777" w:rsidR="002C533B" w:rsidRPr="00D87355" w:rsidRDefault="002C533B" w:rsidP="00B07F51">
            <w:pPr>
              <w:spacing w:after="0"/>
              <w:jc w:val="center"/>
            </w:pPr>
            <w:r w:rsidRPr="00D87355">
              <w:t>Moderate</w:t>
            </w:r>
          </w:p>
        </w:tc>
        <w:tc>
          <w:tcPr>
            <w:tcW w:w="1471" w:type="dxa"/>
            <w:shd w:val="clear" w:color="auto" w:fill="auto"/>
            <w:vAlign w:val="center"/>
          </w:tcPr>
          <w:p w14:paraId="2D43D585" w14:textId="77777777" w:rsidR="002C533B" w:rsidRPr="00D87355" w:rsidRDefault="002C533B" w:rsidP="00B07F51">
            <w:pPr>
              <w:spacing w:after="0"/>
              <w:jc w:val="center"/>
            </w:pPr>
            <w:r w:rsidRPr="00D87355">
              <w:t>Moderate</w:t>
            </w:r>
          </w:p>
        </w:tc>
        <w:tc>
          <w:tcPr>
            <w:tcW w:w="1472" w:type="dxa"/>
            <w:shd w:val="clear" w:color="auto" w:fill="auto"/>
            <w:vAlign w:val="center"/>
          </w:tcPr>
          <w:p w14:paraId="2D43D586" w14:textId="77777777" w:rsidR="002C533B" w:rsidRPr="00D87355" w:rsidRDefault="002C533B" w:rsidP="00B07F51">
            <w:pPr>
              <w:spacing w:after="0"/>
              <w:jc w:val="center"/>
            </w:pPr>
            <w:r w:rsidRPr="00D87355">
              <w:t>High</w:t>
            </w:r>
          </w:p>
        </w:tc>
      </w:tr>
      <w:tr w:rsidR="002C533B" w:rsidRPr="00D87355" w14:paraId="2D43D58E" w14:textId="77777777" w:rsidTr="00B07F51">
        <w:trPr>
          <w:cantSplit/>
          <w:trHeight w:val="360"/>
          <w:jc w:val="center"/>
        </w:trPr>
        <w:tc>
          <w:tcPr>
            <w:tcW w:w="2453" w:type="dxa"/>
            <w:tcBorders>
              <w:top w:val="single" w:sz="4" w:space="0" w:color="auto"/>
              <w:left w:val="single" w:sz="8" w:space="0" w:color="auto"/>
              <w:bottom w:val="single" w:sz="4" w:space="0" w:color="auto"/>
              <w:right w:val="single" w:sz="18" w:space="0" w:color="auto"/>
            </w:tcBorders>
            <w:shd w:val="clear" w:color="auto" w:fill="DEEAF6" w:themeFill="accent1" w:themeFillTint="33"/>
            <w:vAlign w:val="center"/>
          </w:tcPr>
          <w:p w14:paraId="2D43D588" w14:textId="77777777" w:rsidR="002C533B" w:rsidRPr="00D87355" w:rsidRDefault="002C533B" w:rsidP="00B07F51">
            <w:pPr>
              <w:spacing w:after="0"/>
              <w:jc w:val="center"/>
            </w:pPr>
            <w:r w:rsidRPr="00D87355">
              <w:t>Low</w:t>
            </w:r>
          </w:p>
        </w:tc>
        <w:tc>
          <w:tcPr>
            <w:tcW w:w="1471" w:type="dxa"/>
            <w:tcBorders>
              <w:left w:val="single" w:sz="18" w:space="0" w:color="auto"/>
            </w:tcBorders>
            <w:shd w:val="clear" w:color="auto" w:fill="auto"/>
            <w:vAlign w:val="center"/>
          </w:tcPr>
          <w:p w14:paraId="2D43D589" w14:textId="77777777" w:rsidR="002C533B" w:rsidRPr="00D87355" w:rsidRDefault="002C533B" w:rsidP="00B07F51">
            <w:pPr>
              <w:spacing w:after="0"/>
              <w:jc w:val="center"/>
            </w:pPr>
            <w:r w:rsidRPr="00D87355">
              <w:t>Very Low</w:t>
            </w:r>
          </w:p>
        </w:tc>
        <w:tc>
          <w:tcPr>
            <w:tcW w:w="1471" w:type="dxa"/>
            <w:shd w:val="clear" w:color="auto" w:fill="auto"/>
            <w:vAlign w:val="center"/>
          </w:tcPr>
          <w:p w14:paraId="2D43D58A" w14:textId="77777777" w:rsidR="002C533B" w:rsidRPr="00D87355" w:rsidRDefault="002C533B" w:rsidP="00B07F51">
            <w:pPr>
              <w:spacing w:after="0"/>
              <w:jc w:val="center"/>
            </w:pPr>
            <w:r w:rsidRPr="00D87355">
              <w:t>Low</w:t>
            </w:r>
          </w:p>
        </w:tc>
        <w:tc>
          <w:tcPr>
            <w:tcW w:w="1472" w:type="dxa"/>
            <w:shd w:val="clear" w:color="auto" w:fill="auto"/>
            <w:vAlign w:val="center"/>
          </w:tcPr>
          <w:p w14:paraId="2D43D58B" w14:textId="77777777" w:rsidR="002C533B" w:rsidRPr="00D87355" w:rsidRDefault="002C533B" w:rsidP="00B07F51">
            <w:pPr>
              <w:spacing w:after="0"/>
              <w:jc w:val="center"/>
            </w:pPr>
            <w:r w:rsidRPr="00D87355">
              <w:t>Low</w:t>
            </w:r>
          </w:p>
        </w:tc>
        <w:tc>
          <w:tcPr>
            <w:tcW w:w="1471" w:type="dxa"/>
            <w:shd w:val="clear" w:color="auto" w:fill="auto"/>
            <w:vAlign w:val="center"/>
          </w:tcPr>
          <w:p w14:paraId="2D43D58C" w14:textId="77777777" w:rsidR="002C533B" w:rsidRPr="00D87355" w:rsidRDefault="002C533B" w:rsidP="00B07F51">
            <w:pPr>
              <w:spacing w:after="0"/>
              <w:jc w:val="center"/>
            </w:pPr>
            <w:r w:rsidRPr="00D87355">
              <w:t>Low</w:t>
            </w:r>
          </w:p>
        </w:tc>
        <w:tc>
          <w:tcPr>
            <w:tcW w:w="1472" w:type="dxa"/>
            <w:shd w:val="clear" w:color="auto" w:fill="auto"/>
            <w:vAlign w:val="center"/>
          </w:tcPr>
          <w:p w14:paraId="2D43D58D" w14:textId="77777777" w:rsidR="002C533B" w:rsidRPr="00D87355" w:rsidRDefault="002C533B" w:rsidP="00B07F51">
            <w:pPr>
              <w:spacing w:after="0"/>
              <w:jc w:val="center"/>
            </w:pPr>
            <w:r w:rsidRPr="00D87355">
              <w:t>Moderate</w:t>
            </w:r>
          </w:p>
        </w:tc>
      </w:tr>
      <w:tr w:rsidR="002C533B" w:rsidRPr="00D87355" w14:paraId="2D43D595" w14:textId="77777777" w:rsidTr="00B07F51">
        <w:trPr>
          <w:cantSplit/>
          <w:trHeight w:val="360"/>
          <w:jc w:val="center"/>
        </w:trPr>
        <w:tc>
          <w:tcPr>
            <w:tcW w:w="2453" w:type="dxa"/>
            <w:tcBorders>
              <w:top w:val="single" w:sz="4" w:space="0" w:color="auto"/>
              <w:left w:val="single" w:sz="8" w:space="0" w:color="auto"/>
              <w:bottom w:val="single" w:sz="8" w:space="0" w:color="auto"/>
              <w:right w:val="single" w:sz="18" w:space="0" w:color="auto"/>
            </w:tcBorders>
            <w:shd w:val="clear" w:color="auto" w:fill="DEEAF6" w:themeFill="accent1" w:themeFillTint="33"/>
            <w:vAlign w:val="center"/>
          </w:tcPr>
          <w:p w14:paraId="2D43D58F" w14:textId="77777777" w:rsidR="002C533B" w:rsidRPr="00D87355" w:rsidRDefault="002C533B" w:rsidP="00B07F51">
            <w:pPr>
              <w:spacing w:after="0"/>
              <w:jc w:val="center"/>
            </w:pPr>
            <w:r w:rsidRPr="00D87355">
              <w:t>Very Low</w:t>
            </w:r>
          </w:p>
        </w:tc>
        <w:tc>
          <w:tcPr>
            <w:tcW w:w="1471" w:type="dxa"/>
            <w:tcBorders>
              <w:left w:val="single" w:sz="18" w:space="0" w:color="auto"/>
            </w:tcBorders>
            <w:shd w:val="clear" w:color="auto" w:fill="auto"/>
            <w:vAlign w:val="center"/>
          </w:tcPr>
          <w:p w14:paraId="2D43D590" w14:textId="77777777" w:rsidR="002C533B" w:rsidRPr="00D87355" w:rsidRDefault="002C533B" w:rsidP="00B07F51">
            <w:pPr>
              <w:spacing w:after="0"/>
              <w:jc w:val="center"/>
            </w:pPr>
            <w:r w:rsidRPr="00D87355">
              <w:t>Very Low</w:t>
            </w:r>
          </w:p>
        </w:tc>
        <w:tc>
          <w:tcPr>
            <w:tcW w:w="1471" w:type="dxa"/>
            <w:shd w:val="clear" w:color="auto" w:fill="auto"/>
            <w:vAlign w:val="center"/>
          </w:tcPr>
          <w:p w14:paraId="2D43D591" w14:textId="77777777" w:rsidR="002C533B" w:rsidRPr="00D87355" w:rsidRDefault="002C533B" w:rsidP="00B07F51">
            <w:pPr>
              <w:spacing w:after="0"/>
              <w:jc w:val="center"/>
            </w:pPr>
            <w:r w:rsidRPr="00D87355">
              <w:t>Very Low</w:t>
            </w:r>
          </w:p>
        </w:tc>
        <w:tc>
          <w:tcPr>
            <w:tcW w:w="1472" w:type="dxa"/>
            <w:shd w:val="clear" w:color="auto" w:fill="auto"/>
            <w:vAlign w:val="center"/>
          </w:tcPr>
          <w:p w14:paraId="2D43D592" w14:textId="77777777" w:rsidR="002C533B" w:rsidRPr="00D87355" w:rsidRDefault="002C533B" w:rsidP="00B07F51">
            <w:pPr>
              <w:spacing w:after="0"/>
              <w:jc w:val="center"/>
            </w:pPr>
            <w:r w:rsidRPr="00D87355">
              <w:t>Very Low</w:t>
            </w:r>
          </w:p>
        </w:tc>
        <w:tc>
          <w:tcPr>
            <w:tcW w:w="1471" w:type="dxa"/>
            <w:shd w:val="clear" w:color="auto" w:fill="auto"/>
            <w:vAlign w:val="center"/>
          </w:tcPr>
          <w:p w14:paraId="2D43D593" w14:textId="77777777" w:rsidR="002C533B" w:rsidRPr="00D87355" w:rsidRDefault="002C533B" w:rsidP="00B07F51">
            <w:pPr>
              <w:spacing w:after="0"/>
              <w:jc w:val="center"/>
            </w:pPr>
            <w:r w:rsidRPr="00D87355">
              <w:t>Low</w:t>
            </w:r>
          </w:p>
        </w:tc>
        <w:tc>
          <w:tcPr>
            <w:tcW w:w="1472" w:type="dxa"/>
            <w:shd w:val="clear" w:color="auto" w:fill="auto"/>
            <w:vAlign w:val="center"/>
          </w:tcPr>
          <w:p w14:paraId="2D43D594" w14:textId="77777777" w:rsidR="002C533B" w:rsidRPr="00D87355" w:rsidRDefault="002C533B" w:rsidP="00B07F51">
            <w:pPr>
              <w:spacing w:after="0"/>
              <w:jc w:val="center"/>
            </w:pPr>
            <w:r w:rsidRPr="00D87355">
              <w:t>Low</w:t>
            </w:r>
          </w:p>
        </w:tc>
      </w:tr>
    </w:tbl>
    <w:p w14:paraId="2D43D596" w14:textId="77777777" w:rsidR="002C533B" w:rsidRPr="00D87355" w:rsidRDefault="002C533B" w:rsidP="002C533B">
      <w:pPr>
        <w:keepNext/>
        <w:tabs>
          <w:tab w:val="clear" w:pos="0"/>
          <w:tab w:val="clear" w:pos="540"/>
          <w:tab w:val="clear" w:pos="1440"/>
        </w:tabs>
        <w:kinsoku w:val="0"/>
        <w:overflowPunct w:val="0"/>
        <w:spacing w:before="240" w:after="240"/>
        <w:jc w:val="left"/>
      </w:pPr>
      <w:r w:rsidRPr="00D87355">
        <w:t>Risk Assessment Approach</w:t>
      </w:r>
    </w:p>
    <w:p w14:paraId="2D43D597" w14:textId="77777777" w:rsidR="002C533B" w:rsidRPr="00D87355" w:rsidRDefault="002C533B" w:rsidP="002C533B">
      <w:pPr>
        <w:keepNext/>
        <w:tabs>
          <w:tab w:val="clear" w:pos="0"/>
          <w:tab w:val="clear" w:pos="540"/>
          <w:tab w:val="clear" w:pos="1440"/>
        </w:tabs>
        <w:kinsoku w:val="0"/>
        <w:overflowPunct w:val="0"/>
        <w:spacing w:after="240"/>
        <w:jc w:val="left"/>
      </w:pPr>
      <w:r w:rsidRPr="00D87355">
        <w:t>Determine relevant threats to the IS. List the risks to the IS in the Risk Assessment Results table below and detail the relevant mitigating factors and controls. Refer to NIST SP 800-30 for further guidance, examples, and suggestions.</w:t>
      </w:r>
    </w:p>
    <w:p w14:paraId="2D43D598" w14:textId="77777777" w:rsidR="002C533B" w:rsidRPr="00D87355" w:rsidRDefault="002C533B" w:rsidP="002C533B">
      <w:pPr>
        <w:keepNext/>
        <w:tabs>
          <w:tab w:val="left" w:pos="936"/>
        </w:tabs>
        <w:suppressAutoHyphens w:val="0"/>
        <w:spacing w:after="240"/>
        <w:jc w:val="center"/>
        <w:rPr>
          <w:b/>
          <w:bCs/>
          <w:lang w:eastAsia="en-US"/>
        </w:rPr>
      </w:pPr>
      <w:r w:rsidRPr="00D87355">
        <w:rPr>
          <w:b/>
          <w:bCs/>
          <w:lang w:eastAsia="en-US"/>
        </w:rPr>
        <w:t>Risk Assessment Results</w:t>
      </w:r>
    </w:p>
    <w:tbl>
      <w:tblPr>
        <w:tblStyle w:val="TableGrid14"/>
        <w:tblW w:w="9792" w:type="dxa"/>
        <w:jc w:val="center"/>
        <w:tblCellMar>
          <w:top w:w="43" w:type="dxa"/>
          <w:left w:w="86" w:type="dxa"/>
          <w:bottom w:w="43" w:type="dxa"/>
          <w:right w:w="86" w:type="dxa"/>
        </w:tblCellMar>
        <w:tblLook w:val="04A0" w:firstRow="1" w:lastRow="0" w:firstColumn="1" w:lastColumn="0" w:noHBand="0" w:noVBand="1"/>
      </w:tblPr>
      <w:tblGrid>
        <w:gridCol w:w="1872"/>
        <w:gridCol w:w="1872"/>
        <w:gridCol w:w="2016"/>
        <w:gridCol w:w="1296"/>
        <w:gridCol w:w="1296"/>
        <w:gridCol w:w="1440"/>
      </w:tblGrid>
      <w:tr w:rsidR="002C533B" w:rsidRPr="00D87355" w14:paraId="2D43D5A0" w14:textId="77777777" w:rsidTr="00B07F51">
        <w:trPr>
          <w:cantSplit/>
          <w:tblHeader/>
          <w:jc w:val="center"/>
        </w:trPr>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9" w14:textId="77777777" w:rsidR="002C533B" w:rsidRPr="00D87355" w:rsidRDefault="002C533B" w:rsidP="00B07F51">
            <w:pPr>
              <w:keepNext/>
              <w:spacing w:after="0"/>
              <w:jc w:val="center"/>
            </w:pPr>
            <w:r w:rsidRPr="00D87355">
              <w:t>Threat Event</w:t>
            </w:r>
          </w:p>
        </w:tc>
        <w:tc>
          <w:tcPr>
            <w:tcW w:w="1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A" w14:textId="77777777" w:rsidR="002C533B" w:rsidRPr="00D87355" w:rsidRDefault="002C533B" w:rsidP="00B07F51">
            <w:pPr>
              <w:keepNext/>
              <w:spacing w:after="0"/>
              <w:jc w:val="center"/>
            </w:pPr>
            <w:r w:rsidRPr="00D87355">
              <w:t>Vulnerabilities / Predisposing Characteristics</w:t>
            </w:r>
          </w:p>
        </w:tc>
        <w:tc>
          <w:tcPr>
            <w:tcW w:w="20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B" w14:textId="77777777" w:rsidR="002C533B" w:rsidRPr="00D87355" w:rsidRDefault="002C533B" w:rsidP="00B07F51">
            <w:pPr>
              <w:keepNext/>
              <w:spacing w:after="0"/>
              <w:jc w:val="center"/>
            </w:pPr>
            <w:r w:rsidRPr="00D87355">
              <w:t>Mitigating Factors</w:t>
            </w:r>
          </w:p>
        </w:tc>
        <w:tc>
          <w:tcPr>
            <w:tcW w:w="129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C" w14:textId="77777777" w:rsidR="002C533B" w:rsidRPr="00D87355" w:rsidRDefault="002C533B" w:rsidP="00B07F51">
            <w:pPr>
              <w:keepNext/>
              <w:spacing w:after="0"/>
              <w:jc w:val="center"/>
            </w:pPr>
            <w:r w:rsidRPr="00D87355">
              <w:t>Likelihood (Tbl 2 or 3)</w:t>
            </w:r>
          </w:p>
        </w:tc>
        <w:tc>
          <w:tcPr>
            <w:tcW w:w="129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D" w14:textId="77777777" w:rsidR="002C533B" w:rsidRPr="00D87355" w:rsidRDefault="002C533B" w:rsidP="00B07F51">
            <w:pPr>
              <w:keepNext/>
              <w:spacing w:after="0"/>
              <w:jc w:val="center"/>
            </w:pPr>
            <w:r w:rsidRPr="00D87355">
              <w:t>Impact (Table 4)</w:t>
            </w:r>
          </w:p>
        </w:tc>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3D59E" w14:textId="77777777" w:rsidR="002C533B" w:rsidRPr="00D87355" w:rsidRDefault="002C533B" w:rsidP="00B07F51">
            <w:pPr>
              <w:keepNext/>
              <w:spacing w:after="0"/>
              <w:jc w:val="center"/>
            </w:pPr>
            <w:r w:rsidRPr="00D87355">
              <w:t xml:space="preserve">Risk </w:t>
            </w:r>
          </w:p>
          <w:p w14:paraId="2D43D59F" w14:textId="77777777" w:rsidR="002C533B" w:rsidRPr="00D87355" w:rsidRDefault="002C533B" w:rsidP="00B07F51">
            <w:pPr>
              <w:keepNext/>
              <w:spacing w:after="0"/>
              <w:jc w:val="center"/>
            </w:pPr>
            <w:r w:rsidRPr="00D87355">
              <w:t>(Tbls 5 &amp; 6)</w:t>
            </w:r>
          </w:p>
        </w:tc>
      </w:tr>
      <w:tr w:rsidR="002C533B" w:rsidRPr="00D87355" w14:paraId="2D43D5A7" w14:textId="77777777" w:rsidTr="00B07F51">
        <w:trPr>
          <w:cantSplit/>
          <w:jc w:val="center"/>
        </w:trPr>
        <w:tc>
          <w:tcPr>
            <w:tcW w:w="1872" w:type="dxa"/>
            <w:tcBorders>
              <w:top w:val="single" w:sz="4" w:space="0" w:color="auto"/>
              <w:left w:val="single" w:sz="4" w:space="0" w:color="auto"/>
              <w:bottom w:val="single" w:sz="4" w:space="0" w:color="auto"/>
              <w:right w:val="single" w:sz="4" w:space="0" w:color="auto"/>
            </w:tcBorders>
            <w:hideMark/>
          </w:tcPr>
          <w:p w14:paraId="2D43D5A1" w14:textId="77777777" w:rsidR="002C533B" w:rsidRPr="00D87355" w:rsidRDefault="002C533B" w:rsidP="00B07F51">
            <w:pPr>
              <w:keepNext/>
              <w:spacing w:after="0"/>
              <w:rPr>
                <w:i/>
              </w:rPr>
            </w:pPr>
            <w:r w:rsidRPr="00D87355">
              <w:rPr>
                <w:i/>
              </w:rPr>
              <w:t>e.g. Hurricane</w:t>
            </w:r>
          </w:p>
        </w:tc>
        <w:tc>
          <w:tcPr>
            <w:tcW w:w="1872" w:type="dxa"/>
            <w:tcBorders>
              <w:top w:val="single" w:sz="4" w:space="0" w:color="auto"/>
              <w:left w:val="single" w:sz="4" w:space="0" w:color="auto"/>
              <w:bottom w:val="single" w:sz="4" w:space="0" w:color="auto"/>
              <w:right w:val="single" w:sz="4" w:space="0" w:color="auto"/>
            </w:tcBorders>
            <w:hideMark/>
          </w:tcPr>
          <w:p w14:paraId="2D43D5A2" w14:textId="77777777" w:rsidR="002C533B" w:rsidRPr="00D87355" w:rsidRDefault="002C533B" w:rsidP="00B07F51">
            <w:pPr>
              <w:keepNext/>
              <w:spacing w:after="0"/>
              <w:rPr>
                <w:i/>
              </w:rPr>
            </w:pPr>
            <w:r w:rsidRPr="00D87355">
              <w:rPr>
                <w:i/>
              </w:rPr>
              <w:t>Power Outage</w:t>
            </w:r>
          </w:p>
        </w:tc>
        <w:tc>
          <w:tcPr>
            <w:tcW w:w="2016" w:type="dxa"/>
            <w:tcBorders>
              <w:top w:val="single" w:sz="4" w:space="0" w:color="auto"/>
              <w:left w:val="single" w:sz="4" w:space="0" w:color="auto"/>
              <w:bottom w:val="single" w:sz="4" w:space="0" w:color="auto"/>
              <w:right w:val="single" w:sz="4" w:space="0" w:color="auto"/>
            </w:tcBorders>
            <w:hideMark/>
          </w:tcPr>
          <w:p w14:paraId="2D43D5A3" w14:textId="77777777" w:rsidR="002C533B" w:rsidRPr="00D87355" w:rsidRDefault="002C533B" w:rsidP="00B07F51">
            <w:pPr>
              <w:keepNext/>
              <w:spacing w:after="0"/>
              <w:rPr>
                <w:i/>
              </w:rPr>
            </w:pPr>
            <w:r w:rsidRPr="00D87355">
              <w:rPr>
                <w:i/>
              </w:rPr>
              <w:t>Backup generators</w:t>
            </w:r>
          </w:p>
        </w:tc>
        <w:tc>
          <w:tcPr>
            <w:tcW w:w="1296" w:type="dxa"/>
            <w:tcBorders>
              <w:top w:val="single" w:sz="4" w:space="0" w:color="auto"/>
              <w:left w:val="single" w:sz="4" w:space="0" w:color="auto"/>
              <w:bottom w:val="single" w:sz="4" w:space="0" w:color="auto"/>
              <w:right w:val="single" w:sz="4" w:space="0" w:color="auto"/>
            </w:tcBorders>
            <w:hideMark/>
          </w:tcPr>
          <w:p w14:paraId="2D43D5A4" w14:textId="77777777" w:rsidR="002C533B" w:rsidRPr="00D87355" w:rsidRDefault="002C533B" w:rsidP="00B07F51">
            <w:pPr>
              <w:keepNext/>
              <w:spacing w:after="0"/>
              <w:rPr>
                <w:i/>
              </w:rPr>
            </w:pPr>
            <w:r w:rsidRPr="00D87355">
              <w:rPr>
                <w:i/>
              </w:rPr>
              <w:t>Moderate</w:t>
            </w:r>
          </w:p>
        </w:tc>
        <w:tc>
          <w:tcPr>
            <w:tcW w:w="1296" w:type="dxa"/>
            <w:tcBorders>
              <w:top w:val="single" w:sz="4" w:space="0" w:color="auto"/>
              <w:left w:val="single" w:sz="4" w:space="0" w:color="auto"/>
              <w:bottom w:val="single" w:sz="4" w:space="0" w:color="auto"/>
              <w:right w:val="single" w:sz="4" w:space="0" w:color="auto"/>
            </w:tcBorders>
            <w:hideMark/>
          </w:tcPr>
          <w:p w14:paraId="2D43D5A5" w14:textId="77777777" w:rsidR="002C533B" w:rsidRPr="00D87355" w:rsidRDefault="002C533B" w:rsidP="00B07F51">
            <w:pPr>
              <w:keepNext/>
              <w:spacing w:after="0"/>
              <w:rPr>
                <w:i/>
              </w:rPr>
            </w:pPr>
            <w:r w:rsidRPr="00D87355">
              <w:rPr>
                <w:i/>
              </w:rPr>
              <w:t>Low</w:t>
            </w:r>
          </w:p>
        </w:tc>
        <w:tc>
          <w:tcPr>
            <w:tcW w:w="1440" w:type="dxa"/>
            <w:tcBorders>
              <w:top w:val="single" w:sz="4" w:space="0" w:color="auto"/>
              <w:left w:val="single" w:sz="4" w:space="0" w:color="auto"/>
              <w:bottom w:val="single" w:sz="4" w:space="0" w:color="auto"/>
              <w:right w:val="single" w:sz="4" w:space="0" w:color="auto"/>
            </w:tcBorders>
            <w:hideMark/>
          </w:tcPr>
          <w:p w14:paraId="2D43D5A6" w14:textId="77777777" w:rsidR="002C533B" w:rsidRPr="00D87355" w:rsidRDefault="002C533B" w:rsidP="00B07F51">
            <w:pPr>
              <w:keepNext/>
              <w:spacing w:after="0"/>
              <w:rPr>
                <w:i/>
              </w:rPr>
            </w:pPr>
            <w:r w:rsidRPr="00D87355">
              <w:rPr>
                <w:i/>
              </w:rPr>
              <w:t>Low</w:t>
            </w:r>
          </w:p>
        </w:tc>
      </w:tr>
      <w:tr w:rsidR="002C533B" w:rsidRPr="00D87355" w14:paraId="2D43D5AE" w14:textId="77777777" w:rsidTr="00B07F51">
        <w:trPr>
          <w:cantSplit/>
          <w:jc w:val="center"/>
        </w:trPr>
        <w:tc>
          <w:tcPr>
            <w:tcW w:w="1872" w:type="dxa"/>
            <w:tcBorders>
              <w:top w:val="single" w:sz="4" w:space="0" w:color="auto"/>
              <w:left w:val="single" w:sz="4" w:space="0" w:color="auto"/>
              <w:bottom w:val="single" w:sz="4" w:space="0" w:color="auto"/>
              <w:right w:val="single" w:sz="4" w:space="0" w:color="auto"/>
            </w:tcBorders>
          </w:tcPr>
          <w:p w14:paraId="2D43D5A8" w14:textId="77777777" w:rsidR="002C533B" w:rsidRPr="00D87355" w:rsidRDefault="002C533B" w:rsidP="00B07F51">
            <w:pPr>
              <w:spacing w:after="0"/>
            </w:pPr>
          </w:p>
        </w:tc>
        <w:tc>
          <w:tcPr>
            <w:tcW w:w="1872" w:type="dxa"/>
            <w:tcBorders>
              <w:top w:val="single" w:sz="4" w:space="0" w:color="auto"/>
              <w:left w:val="single" w:sz="4" w:space="0" w:color="auto"/>
              <w:bottom w:val="single" w:sz="4" w:space="0" w:color="auto"/>
              <w:right w:val="single" w:sz="4" w:space="0" w:color="auto"/>
            </w:tcBorders>
          </w:tcPr>
          <w:p w14:paraId="2D43D5A9" w14:textId="77777777" w:rsidR="002C533B" w:rsidRPr="00D87355" w:rsidRDefault="002C533B" w:rsidP="00B07F51">
            <w:pPr>
              <w:spacing w:after="0"/>
            </w:pPr>
          </w:p>
        </w:tc>
        <w:tc>
          <w:tcPr>
            <w:tcW w:w="2016" w:type="dxa"/>
            <w:tcBorders>
              <w:top w:val="single" w:sz="4" w:space="0" w:color="auto"/>
              <w:left w:val="single" w:sz="4" w:space="0" w:color="auto"/>
              <w:bottom w:val="single" w:sz="4" w:space="0" w:color="auto"/>
              <w:right w:val="single" w:sz="4" w:space="0" w:color="auto"/>
            </w:tcBorders>
          </w:tcPr>
          <w:p w14:paraId="2D43D5AA" w14:textId="77777777" w:rsidR="002C533B" w:rsidRPr="00D87355" w:rsidRDefault="002C533B" w:rsidP="00B07F51">
            <w:pPr>
              <w:spacing w:after="0"/>
            </w:pPr>
          </w:p>
        </w:tc>
        <w:tc>
          <w:tcPr>
            <w:tcW w:w="1296" w:type="dxa"/>
            <w:tcBorders>
              <w:top w:val="single" w:sz="4" w:space="0" w:color="auto"/>
              <w:left w:val="single" w:sz="4" w:space="0" w:color="auto"/>
              <w:bottom w:val="single" w:sz="4" w:space="0" w:color="auto"/>
              <w:right w:val="single" w:sz="4" w:space="0" w:color="auto"/>
            </w:tcBorders>
          </w:tcPr>
          <w:p w14:paraId="2D43D5AB" w14:textId="77777777" w:rsidR="002C533B" w:rsidRPr="00D87355" w:rsidRDefault="002C533B" w:rsidP="00B07F51">
            <w:pPr>
              <w:spacing w:after="0"/>
            </w:pPr>
          </w:p>
        </w:tc>
        <w:tc>
          <w:tcPr>
            <w:tcW w:w="1296" w:type="dxa"/>
            <w:tcBorders>
              <w:top w:val="single" w:sz="4" w:space="0" w:color="auto"/>
              <w:left w:val="single" w:sz="4" w:space="0" w:color="auto"/>
              <w:bottom w:val="single" w:sz="4" w:space="0" w:color="auto"/>
              <w:right w:val="single" w:sz="4" w:space="0" w:color="auto"/>
            </w:tcBorders>
          </w:tcPr>
          <w:p w14:paraId="2D43D5AC" w14:textId="77777777" w:rsidR="002C533B" w:rsidRPr="00D87355" w:rsidRDefault="002C533B" w:rsidP="00B07F51">
            <w:pPr>
              <w:spacing w:after="0"/>
            </w:pPr>
          </w:p>
        </w:tc>
        <w:tc>
          <w:tcPr>
            <w:tcW w:w="1440" w:type="dxa"/>
            <w:tcBorders>
              <w:top w:val="single" w:sz="4" w:space="0" w:color="auto"/>
              <w:left w:val="single" w:sz="4" w:space="0" w:color="auto"/>
              <w:bottom w:val="single" w:sz="4" w:space="0" w:color="auto"/>
              <w:right w:val="single" w:sz="4" w:space="0" w:color="auto"/>
            </w:tcBorders>
          </w:tcPr>
          <w:p w14:paraId="2D43D5AD" w14:textId="77777777" w:rsidR="002C533B" w:rsidRPr="00D87355" w:rsidRDefault="002C533B" w:rsidP="00B07F51">
            <w:pPr>
              <w:spacing w:after="0"/>
            </w:pPr>
          </w:p>
        </w:tc>
      </w:tr>
      <w:tr w:rsidR="002C533B" w:rsidRPr="00D87355" w14:paraId="2D43D5B5" w14:textId="77777777" w:rsidTr="00B07F51">
        <w:trPr>
          <w:cantSplit/>
          <w:jc w:val="center"/>
        </w:trPr>
        <w:tc>
          <w:tcPr>
            <w:tcW w:w="1872" w:type="dxa"/>
            <w:tcBorders>
              <w:top w:val="single" w:sz="4" w:space="0" w:color="auto"/>
              <w:left w:val="single" w:sz="4" w:space="0" w:color="auto"/>
              <w:bottom w:val="single" w:sz="4" w:space="0" w:color="auto"/>
              <w:right w:val="single" w:sz="4" w:space="0" w:color="auto"/>
            </w:tcBorders>
          </w:tcPr>
          <w:p w14:paraId="2D43D5AF" w14:textId="77777777" w:rsidR="002C533B" w:rsidRPr="00D87355" w:rsidRDefault="002C533B" w:rsidP="00B07F51">
            <w:pPr>
              <w:spacing w:after="0"/>
            </w:pPr>
          </w:p>
        </w:tc>
        <w:tc>
          <w:tcPr>
            <w:tcW w:w="1872" w:type="dxa"/>
            <w:tcBorders>
              <w:top w:val="single" w:sz="4" w:space="0" w:color="auto"/>
              <w:left w:val="single" w:sz="4" w:space="0" w:color="auto"/>
              <w:bottom w:val="single" w:sz="4" w:space="0" w:color="auto"/>
              <w:right w:val="single" w:sz="4" w:space="0" w:color="auto"/>
            </w:tcBorders>
          </w:tcPr>
          <w:p w14:paraId="2D43D5B0" w14:textId="77777777" w:rsidR="002C533B" w:rsidRPr="00D87355" w:rsidRDefault="002C533B" w:rsidP="00B07F51">
            <w:pPr>
              <w:spacing w:after="0"/>
            </w:pPr>
          </w:p>
        </w:tc>
        <w:tc>
          <w:tcPr>
            <w:tcW w:w="2016" w:type="dxa"/>
            <w:tcBorders>
              <w:top w:val="single" w:sz="4" w:space="0" w:color="auto"/>
              <w:left w:val="single" w:sz="4" w:space="0" w:color="auto"/>
              <w:bottom w:val="single" w:sz="4" w:space="0" w:color="auto"/>
              <w:right w:val="single" w:sz="4" w:space="0" w:color="auto"/>
            </w:tcBorders>
          </w:tcPr>
          <w:p w14:paraId="2D43D5B1" w14:textId="77777777" w:rsidR="002C533B" w:rsidRPr="00D87355" w:rsidRDefault="002C533B" w:rsidP="00B07F51">
            <w:pPr>
              <w:spacing w:after="0"/>
            </w:pPr>
          </w:p>
        </w:tc>
        <w:tc>
          <w:tcPr>
            <w:tcW w:w="1296" w:type="dxa"/>
            <w:tcBorders>
              <w:top w:val="single" w:sz="4" w:space="0" w:color="auto"/>
              <w:left w:val="single" w:sz="4" w:space="0" w:color="auto"/>
              <w:bottom w:val="single" w:sz="4" w:space="0" w:color="auto"/>
              <w:right w:val="single" w:sz="4" w:space="0" w:color="auto"/>
            </w:tcBorders>
          </w:tcPr>
          <w:p w14:paraId="2D43D5B2" w14:textId="77777777" w:rsidR="002C533B" w:rsidRPr="00D87355" w:rsidRDefault="002C533B" w:rsidP="00B07F51">
            <w:pPr>
              <w:spacing w:after="0"/>
            </w:pPr>
          </w:p>
        </w:tc>
        <w:tc>
          <w:tcPr>
            <w:tcW w:w="1296" w:type="dxa"/>
            <w:tcBorders>
              <w:top w:val="single" w:sz="4" w:space="0" w:color="auto"/>
              <w:left w:val="single" w:sz="4" w:space="0" w:color="auto"/>
              <w:bottom w:val="single" w:sz="4" w:space="0" w:color="auto"/>
              <w:right w:val="single" w:sz="4" w:space="0" w:color="auto"/>
            </w:tcBorders>
          </w:tcPr>
          <w:p w14:paraId="2D43D5B3" w14:textId="77777777" w:rsidR="002C533B" w:rsidRPr="00D87355" w:rsidRDefault="002C533B" w:rsidP="00B07F51">
            <w:pPr>
              <w:spacing w:after="0"/>
            </w:pPr>
          </w:p>
        </w:tc>
        <w:tc>
          <w:tcPr>
            <w:tcW w:w="1440" w:type="dxa"/>
            <w:tcBorders>
              <w:top w:val="single" w:sz="4" w:space="0" w:color="auto"/>
              <w:left w:val="single" w:sz="4" w:space="0" w:color="auto"/>
              <w:bottom w:val="single" w:sz="4" w:space="0" w:color="auto"/>
              <w:right w:val="single" w:sz="4" w:space="0" w:color="auto"/>
            </w:tcBorders>
          </w:tcPr>
          <w:p w14:paraId="2D43D5B4" w14:textId="77777777" w:rsidR="002C533B" w:rsidRPr="00D87355" w:rsidRDefault="002C533B" w:rsidP="00B07F51">
            <w:pPr>
              <w:spacing w:after="0"/>
            </w:pPr>
          </w:p>
        </w:tc>
      </w:tr>
    </w:tbl>
    <w:p w14:paraId="2D43D5B6" w14:textId="77777777" w:rsidR="00F733CD" w:rsidRDefault="002C533B" w:rsidP="002C533B">
      <w:pPr>
        <w:tabs>
          <w:tab w:val="clear" w:pos="0"/>
          <w:tab w:val="clear" w:pos="540"/>
          <w:tab w:val="clear" w:pos="1440"/>
        </w:tabs>
        <w:kinsoku w:val="0"/>
        <w:overflowPunct w:val="0"/>
        <w:spacing w:before="120" w:after="240"/>
        <w:jc w:val="left"/>
      </w:pPr>
      <w:r w:rsidRPr="00D87355">
        <w:t>* Likelihood / Impact / Risk = Very High, High, Moderate, Low, or Very Low</w:t>
      </w:r>
    </w:p>
    <w:sectPr w:rsidR="00F733C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3D5B9" w14:textId="77777777" w:rsidR="00AD5801" w:rsidRDefault="00AD5801" w:rsidP="002C533B">
      <w:pPr>
        <w:spacing w:after="0"/>
      </w:pPr>
      <w:r>
        <w:separator/>
      </w:r>
    </w:p>
  </w:endnote>
  <w:endnote w:type="continuationSeparator" w:id="0">
    <w:p w14:paraId="2D43D5BA" w14:textId="77777777" w:rsidR="00AD5801" w:rsidRDefault="00AD5801" w:rsidP="002C53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392062"/>
      <w:docPartObj>
        <w:docPartGallery w:val="Page Numbers (Bottom of Page)"/>
        <w:docPartUnique/>
      </w:docPartObj>
    </w:sdtPr>
    <w:sdtEndPr>
      <w:rPr>
        <w:noProof/>
      </w:rPr>
    </w:sdtEndPr>
    <w:sdtContent>
      <w:p w14:paraId="2D43D5BB" w14:textId="77777777" w:rsidR="002C533B" w:rsidRDefault="002C533B">
        <w:pPr>
          <w:pStyle w:val="Footer"/>
          <w:jc w:val="center"/>
        </w:pPr>
        <w:r>
          <w:fldChar w:fldCharType="begin"/>
        </w:r>
        <w:r>
          <w:instrText xml:space="preserve"> PAGE   \* MERGEFORMAT </w:instrText>
        </w:r>
        <w:r>
          <w:fldChar w:fldCharType="separate"/>
        </w:r>
        <w:r w:rsidR="008F4D0F">
          <w:rPr>
            <w:noProof/>
          </w:rPr>
          <w:t>1</w:t>
        </w:r>
        <w:r>
          <w:rPr>
            <w:noProof/>
          </w:rPr>
          <w:fldChar w:fldCharType="end"/>
        </w:r>
      </w:p>
    </w:sdtContent>
  </w:sdt>
  <w:p w14:paraId="2D43D5BC" w14:textId="77777777" w:rsidR="002C533B" w:rsidRDefault="002C5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3D5B7" w14:textId="77777777" w:rsidR="00AD5801" w:rsidRDefault="00AD5801" w:rsidP="002C533B">
      <w:pPr>
        <w:spacing w:after="0"/>
      </w:pPr>
      <w:r>
        <w:separator/>
      </w:r>
    </w:p>
  </w:footnote>
  <w:footnote w:type="continuationSeparator" w:id="0">
    <w:p w14:paraId="2D43D5B8" w14:textId="77777777" w:rsidR="00AD5801" w:rsidRDefault="00AD5801" w:rsidP="002C533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7AC0A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E0937"/>
    <w:multiLevelType w:val="hybridMultilevel"/>
    <w:tmpl w:val="48F2DEEC"/>
    <w:lvl w:ilvl="0" w:tplc="82FA4582">
      <w:start w:val="1"/>
      <w:numFmt w:val="upperLetter"/>
      <w:lvlText w:val="APPENDIX %1:"/>
      <w:lvlJc w:val="left"/>
      <w:pPr>
        <w:ind w:left="2610" w:hanging="360"/>
      </w:pPr>
      <w:rPr>
        <w:rFonts w:ascii="Times New Roman" w:hAnsi="Times New Roman" w:cs="Times New Roman"/>
        <w:b w:val="0"/>
        <w:bCs w:val="0"/>
        <w:i w:val="0"/>
        <w:iCs w:val="0"/>
        <w:caps/>
        <w:smallCaps w:val="0"/>
        <w:strike w:val="0"/>
        <w:dstrike w:val="0"/>
        <w:noProof w:val="0"/>
        <w:vanish w:val="0"/>
        <w:color w:val="0099CC"/>
        <w:spacing w:val="0"/>
        <w:kern w:val="0"/>
        <w:position w:val="0"/>
        <w:sz w:val="24"/>
        <w:u w:val="none"/>
        <w:vertAlign w:val="baseline"/>
        <w:em w:val="none"/>
      </w:rPr>
    </w:lvl>
    <w:lvl w:ilvl="1" w:tplc="421EC3F6">
      <w:start w:val="1"/>
      <w:numFmt w:val="lowerLetter"/>
      <w:lvlText w:val="%2."/>
      <w:lvlJc w:val="left"/>
      <w:pPr>
        <w:ind w:left="1080" w:hanging="360"/>
      </w:pPr>
    </w:lvl>
    <w:lvl w:ilvl="2" w:tplc="66AC387E">
      <w:start w:val="1"/>
      <w:numFmt w:val="lowerRoman"/>
      <w:lvlText w:val="%3."/>
      <w:lvlJc w:val="right"/>
      <w:pPr>
        <w:ind w:left="1800" w:hanging="180"/>
      </w:pPr>
    </w:lvl>
    <w:lvl w:ilvl="3" w:tplc="7932F19A">
      <w:start w:val="1"/>
      <w:numFmt w:val="lowerLetter"/>
      <w:lvlText w:val="(%4)"/>
      <w:lvlJc w:val="left"/>
      <w:pPr>
        <w:ind w:left="2520" w:hanging="360"/>
      </w:pPr>
      <w:rPr>
        <w:rFonts w:hint="default"/>
        <w:b/>
        <w:sz w:val="19"/>
      </w:rPr>
    </w:lvl>
    <w:lvl w:ilvl="4" w:tplc="231C40B6" w:tentative="1">
      <w:start w:val="1"/>
      <w:numFmt w:val="lowerLetter"/>
      <w:lvlText w:val="%5."/>
      <w:lvlJc w:val="left"/>
      <w:pPr>
        <w:ind w:left="3240" w:hanging="360"/>
      </w:pPr>
    </w:lvl>
    <w:lvl w:ilvl="5" w:tplc="EBDE326E" w:tentative="1">
      <w:start w:val="1"/>
      <w:numFmt w:val="lowerRoman"/>
      <w:lvlText w:val="%6."/>
      <w:lvlJc w:val="right"/>
      <w:pPr>
        <w:ind w:left="3960" w:hanging="180"/>
      </w:pPr>
    </w:lvl>
    <w:lvl w:ilvl="6" w:tplc="175431C6" w:tentative="1">
      <w:start w:val="1"/>
      <w:numFmt w:val="decimal"/>
      <w:lvlText w:val="%7."/>
      <w:lvlJc w:val="left"/>
      <w:pPr>
        <w:ind w:left="4680" w:hanging="360"/>
      </w:pPr>
    </w:lvl>
    <w:lvl w:ilvl="7" w:tplc="D42640FA" w:tentative="1">
      <w:start w:val="1"/>
      <w:numFmt w:val="lowerLetter"/>
      <w:lvlText w:val="%8."/>
      <w:lvlJc w:val="left"/>
      <w:pPr>
        <w:ind w:left="5400" w:hanging="360"/>
      </w:pPr>
    </w:lvl>
    <w:lvl w:ilvl="8" w:tplc="261A29E0" w:tentative="1">
      <w:start w:val="1"/>
      <w:numFmt w:val="lowerRoman"/>
      <w:lvlText w:val="%9."/>
      <w:lvlJc w:val="right"/>
      <w:pPr>
        <w:ind w:left="6120" w:hanging="180"/>
      </w:pPr>
    </w:lvl>
  </w:abstractNum>
  <w:abstractNum w:abstractNumId="2" w15:restartNumberingAfterBreak="0">
    <w:nsid w:val="766D07F4"/>
    <w:multiLevelType w:val="hybridMultilevel"/>
    <w:tmpl w:val="A70020B6"/>
    <w:lvl w:ilvl="0" w:tplc="28800FC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3B"/>
    <w:rsid w:val="002C533B"/>
    <w:rsid w:val="008F4D0F"/>
    <w:rsid w:val="00AD5801"/>
    <w:rsid w:val="00F7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D495"/>
  <w15:chartTrackingRefBased/>
  <w15:docId w15:val="{23D2A999-27E4-411B-B772-FC3FDDDB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33B"/>
    <w:pPr>
      <w:tabs>
        <w:tab w:val="left" w:pos="0"/>
        <w:tab w:val="left" w:pos="540"/>
        <w:tab w:val="left" w:pos="1440"/>
      </w:tabs>
      <w:suppressAutoHyphens/>
      <w:spacing w:after="120" w:line="240" w:lineRule="auto"/>
      <w:jc w:val="both"/>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2C53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2C533B"/>
    <w:pPr>
      <w:tabs>
        <w:tab w:val="clear" w:pos="0"/>
        <w:tab w:val="clear" w:pos="540"/>
        <w:tab w:val="clear" w:pos="1440"/>
      </w:tabs>
      <w:kinsoku w:val="0"/>
      <w:overflowPunct w:val="0"/>
      <w:ind w:right="115"/>
      <w:jc w:val="left"/>
    </w:pPr>
    <w:rPr>
      <w:spacing w:val="-1"/>
    </w:rPr>
  </w:style>
  <w:style w:type="character" w:customStyle="1" w:styleId="BodyTextChar">
    <w:name w:val="Body Text Char"/>
    <w:basedOn w:val="DefaultParagraphFont"/>
    <w:link w:val="BodyText"/>
    <w:uiPriority w:val="1"/>
    <w:rsid w:val="002C533B"/>
    <w:rPr>
      <w:rFonts w:ascii="Times New Roman" w:eastAsia="Times New Roman" w:hAnsi="Times New Roman" w:cs="Times New Roman"/>
      <w:spacing w:val="-1"/>
      <w:sz w:val="24"/>
      <w:szCs w:val="24"/>
      <w:lang w:eastAsia="ar-SA"/>
    </w:rPr>
  </w:style>
  <w:style w:type="paragraph" w:styleId="ListBullet">
    <w:name w:val="List Bullet"/>
    <w:basedOn w:val="Normal"/>
    <w:link w:val="ListBulletChar"/>
    <w:unhideWhenUsed/>
    <w:rsid w:val="002C533B"/>
    <w:pPr>
      <w:numPr>
        <w:numId w:val="1"/>
      </w:numPr>
      <w:tabs>
        <w:tab w:val="clear" w:pos="0"/>
        <w:tab w:val="clear" w:pos="360"/>
        <w:tab w:val="clear" w:pos="540"/>
        <w:tab w:val="clear" w:pos="1440"/>
      </w:tabs>
      <w:spacing w:before="60"/>
      <w:ind w:left="720" w:hanging="533"/>
      <w:contextualSpacing/>
      <w:jc w:val="left"/>
    </w:pPr>
    <w:rPr>
      <w:szCs w:val="20"/>
    </w:rPr>
  </w:style>
  <w:style w:type="paragraph" w:customStyle="1" w:styleId="APPENDIX">
    <w:name w:val="APPENDIX"/>
    <w:basedOn w:val="Heading1"/>
    <w:next w:val="Normal"/>
    <w:link w:val="APPENDIXChar"/>
    <w:autoRedefine/>
    <w:qFormat/>
    <w:rsid w:val="002C533B"/>
    <w:pPr>
      <w:keepLines w:val="0"/>
      <w:tabs>
        <w:tab w:val="clear" w:pos="0"/>
        <w:tab w:val="clear" w:pos="540"/>
        <w:tab w:val="clear" w:pos="1440"/>
      </w:tabs>
      <w:spacing w:before="0" w:after="180"/>
      <w:jc w:val="center"/>
    </w:pPr>
    <w:rPr>
      <w:rFonts w:ascii="Times New Roman" w:eastAsia="Times New Roman" w:hAnsi="Times New Roman" w:cs="Times New Roman"/>
      <w:caps/>
      <w:color w:val="0099CC"/>
      <w:sz w:val="24"/>
      <w:szCs w:val="24"/>
    </w:rPr>
  </w:style>
  <w:style w:type="character" w:customStyle="1" w:styleId="APPENDIXChar">
    <w:name w:val="APPENDIX Char"/>
    <w:link w:val="APPENDIX"/>
    <w:rsid w:val="002C533B"/>
    <w:rPr>
      <w:rFonts w:ascii="Times New Roman" w:eastAsia="Times New Roman" w:hAnsi="Times New Roman" w:cs="Times New Roman"/>
      <w:caps/>
      <w:color w:val="0099CC"/>
      <w:sz w:val="24"/>
      <w:szCs w:val="24"/>
      <w:lang w:eastAsia="ar-SA"/>
    </w:rPr>
  </w:style>
  <w:style w:type="character" w:customStyle="1" w:styleId="ListBulletChar">
    <w:name w:val="List Bullet Char"/>
    <w:link w:val="ListBullet"/>
    <w:locked/>
    <w:rsid w:val="002C533B"/>
    <w:rPr>
      <w:rFonts w:ascii="Times New Roman" w:eastAsia="Times New Roman" w:hAnsi="Times New Roman" w:cs="Times New Roman"/>
      <w:sz w:val="24"/>
      <w:szCs w:val="20"/>
      <w:lang w:eastAsia="ar-SA"/>
    </w:rPr>
  </w:style>
  <w:style w:type="table" w:customStyle="1" w:styleId="TableGrid13">
    <w:name w:val="Table Grid13"/>
    <w:basedOn w:val="TableNormal"/>
    <w:next w:val="TableGrid"/>
    <w:uiPriority w:val="59"/>
    <w:rsid w:val="002C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2C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533B"/>
    <w:rPr>
      <w:rFonts w:asciiTheme="majorHAnsi" w:eastAsiaTheme="majorEastAsia" w:hAnsiTheme="majorHAnsi" w:cstheme="majorBidi"/>
      <w:color w:val="2E74B5" w:themeColor="accent1" w:themeShade="BF"/>
      <w:sz w:val="32"/>
      <w:szCs w:val="32"/>
      <w:lang w:eastAsia="ar-SA"/>
    </w:rPr>
  </w:style>
  <w:style w:type="table" w:styleId="TableGrid">
    <w:name w:val="Table Grid"/>
    <w:basedOn w:val="TableNormal"/>
    <w:uiPriority w:val="39"/>
    <w:rsid w:val="002C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533B"/>
    <w:pPr>
      <w:tabs>
        <w:tab w:val="clear" w:pos="0"/>
        <w:tab w:val="clear" w:pos="540"/>
        <w:tab w:val="clear" w:pos="1440"/>
        <w:tab w:val="center" w:pos="4680"/>
        <w:tab w:val="right" w:pos="9360"/>
      </w:tabs>
      <w:spacing w:after="0"/>
    </w:pPr>
  </w:style>
  <w:style w:type="character" w:customStyle="1" w:styleId="HeaderChar">
    <w:name w:val="Header Char"/>
    <w:basedOn w:val="DefaultParagraphFont"/>
    <w:link w:val="Header"/>
    <w:uiPriority w:val="99"/>
    <w:rsid w:val="002C533B"/>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2C533B"/>
    <w:pPr>
      <w:tabs>
        <w:tab w:val="clear" w:pos="0"/>
        <w:tab w:val="clear" w:pos="540"/>
        <w:tab w:val="clear" w:pos="1440"/>
        <w:tab w:val="center" w:pos="4680"/>
        <w:tab w:val="right" w:pos="9360"/>
      </w:tabs>
      <w:spacing w:after="0"/>
    </w:pPr>
  </w:style>
  <w:style w:type="character" w:customStyle="1" w:styleId="FooterChar">
    <w:name w:val="Footer Char"/>
    <w:basedOn w:val="DefaultParagraphFont"/>
    <w:link w:val="Footer"/>
    <w:uiPriority w:val="99"/>
    <w:rsid w:val="002C533B"/>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4FC3A490F3964BA60486A5D4FC08EE" ma:contentTypeVersion="0" ma:contentTypeDescription="Create a new document." ma:contentTypeScope="" ma:versionID="ef3adae51a63033e75018dfeee111bb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6BA5B6-6F1A-4E04-B4F0-BBCC5AE78EC2}">
  <ds:schemaRefs>
    <ds:schemaRef ds:uri="http://purl.org/dc/term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28C6C674-9E5D-4CEF-AC8E-0D219BB32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007C85-4479-43D8-85CB-E233F4F490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Dyson, India, CIV, DSS</dc:creator>
  <cp:keywords/>
  <dc:description/>
  <cp:lastModifiedBy>Dyson, India, CIV, DSS</cp:lastModifiedBy>
  <cp:revision>2</cp:revision>
  <dcterms:created xsi:type="dcterms:W3CDTF">2017-11-16T15:48:00Z</dcterms:created>
  <dcterms:modified xsi:type="dcterms:W3CDTF">2017-11-16T15:48:00Z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0x010100C14FC3A490F3964BA60486A5D4FC08EE</vt:lpwstr>
  </property>
</Properties>
</file>