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FE06F" w14:textId="14D1C5FD" w:rsidR="009330A4" w:rsidRDefault="009330A4" w:rsidP="009330A4">
      <w:pPr>
        <w:jc w:val="center"/>
        <w:rPr>
          <w:rFonts w:ascii="Times New Roman" w:hAnsi="Times New Roman" w:cs="Times New Roman"/>
        </w:rPr>
      </w:pPr>
      <w:r w:rsidRPr="009330A4">
        <w:rPr>
          <w:rFonts w:ascii="Times New Roman" w:hAnsi="Times New Roman" w:cs="Times New Roman"/>
        </w:rPr>
        <w:t>Lab</w:t>
      </w:r>
      <w:r>
        <w:rPr>
          <w:rFonts w:ascii="Times New Roman" w:hAnsi="Times New Roman" w:cs="Times New Roman"/>
        </w:rPr>
        <w:t xml:space="preserve"> 7: Linear Regression Lab Trends</w:t>
      </w:r>
    </w:p>
    <w:p w14:paraId="3210FC37" w14:textId="77777777" w:rsidR="009330A4" w:rsidRDefault="009330A4" w:rsidP="009330A4">
      <w:pPr>
        <w:rPr>
          <w:rFonts w:ascii="Times New Roman" w:hAnsi="Times New Roman" w:cs="Times New Roman"/>
        </w:rPr>
      </w:pPr>
    </w:p>
    <w:p w14:paraId="23E78F24" w14:textId="085B3A90" w:rsidR="00FC05BF" w:rsidRDefault="009330A4" w:rsidP="00F76F20">
      <w:pPr>
        <w:ind w:firstLine="720"/>
        <w:rPr>
          <w:rFonts w:ascii="Times New Roman" w:hAnsi="Times New Roman" w:cs="Times New Roman"/>
        </w:rPr>
      </w:pPr>
      <w:r>
        <w:rPr>
          <w:rFonts w:ascii="Times New Roman" w:hAnsi="Times New Roman" w:cs="Times New Roman"/>
        </w:rPr>
        <w:t xml:space="preserve">For figures 1 and 2 </w:t>
      </w:r>
      <w:r w:rsidR="00F76F20">
        <w:rPr>
          <w:rFonts w:ascii="Times New Roman" w:hAnsi="Times New Roman" w:cs="Times New Roman"/>
        </w:rPr>
        <w:t xml:space="preserve">dealing with the birthweight and the mother’s weight, the mother’s weight is the independent variable measured in pounds. The birthweight measured in grams is the dependent variable. </w:t>
      </w:r>
      <w:r w:rsidR="00FC05BF">
        <w:rPr>
          <w:rFonts w:ascii="Times New Roman" w:hAnsi="Times New Roman" w:cs="Times New Roman"/>
        </w:rPr>
        <w:t xml:space="preserve">The </w:t>
      </w:r>
      <w:r w:rsidR="00FC05BF" w:rsidRPr="00FC05BF">
        <w:rPr>
          <w:rFonts w:ascii="Times New Roman" w:hAnsi="Times New Roman" w:cs="Times New Roman"/>
        </w:rPr>
        <w:t>β</w:t>
      </w:r>
      <w:r w:rsidR="00FC05BF" w:rsidRPr="00FC05BF">
        <w:rPr>
          <w:rFonts w:ascii="Times New Roman" w:hAnsi="Times New Roman" w:cs="Times New Roman"/>
          <w:vertAlign w:val="subscript"/>
        </w:rPr>
        <w:t>0</w:t>
      </w:r>
      <w:r w:rsidR="00FC05BF" w:rsidRPr="00FC05BF">
        <w:rPr>
          <w:rFonts w:ascii="Times New Roman" w:hAnsi="Times New Roman" w:cs="Times New Roman"/>
        </w:rPr>
        <w:t xml:space="preserve"> value (intercept)</w:t>
      </w:r>
      <w:r w:rsidR="00FC05BF">
        <w:rPr>
          <w:rFonts w:ascii="Times New Roman" w:hAnsi="Times New Roman" w:cs="Times New Roman"/>
        </w:rPr>
        <w:t xml:space="preserve"> is 2369.6235. The </w:t>
      </w:r>
      <w:r w:rsidR="00FC05BF" w:rsidRPr="00FC05BF">
        <w:rPr>
          <w:rFonts w:ascii="Times New Roman" w:hAnsi="Times New Roman" w:cs="Times New Roman"/>
        </w:rPr>
        <w:t>β</w:t>
      </w:r>
      <w:r w:rsidR="00FC05BF" w:rsidRPr="00FC05BF">
        <w:rPr>
          <w:rFonts w:ascii="Times New Roman" w:hAnsi="Times New Roman" w:cs="Times New Roman"/>
          <w:vertAlign w:val="subscript"/>
        </w:rPr>
        <w:t>1</w:t>
      </w:r>
      <w:r w:rsidR="00FC05BF" w:rsidRPr="00FC05BF">
        <w:rPr>
          <w:rFonts w:ascii="Times New Roman" w:hAnsi="Times New Roman" w:cs="Times New Roman"/>
        </w:rPr>
        <w:t xml:space="preserve"> value (slope coefficient)</w:t>
      </w:r>
      <w:r w:rsidR="00FC05BF">
        <w:rPr>
          <w:rFonts w:ascii="Times New Roman" w:hAnsi="Times New Roman" w:cs="Times New Roman"/>
        </w:rPr>
        <w:t xml:space="preserve"> is 4.4291. The R</w:t>
      </w:r>
      <w:r w:rsidR="00FC05BF">
        <w:rPr>
          <w:rFonts w:ascii="Times New Roman" w:hAnsi="Times New Roman" w:cs="Times New Roman"/>
          <w:vertAlign w:val="superscript"/>
        </w:rPr>
        <w:t>2</w:t>
      </w:r>
      <w:r w:rsidR="00FC05BF">
        <w:rPr>
          <w:rFonts w:ascii="Times New Roman" w:hAnsi="Times New Roman" w:cs="Times New Roman"/>
        </w:rPr>
        <w:t xml:space="preserve"> value is 0.034. </w:t>
      </w:r>
      <w:r w:rsidR="0066082C">
        <w:rPr>
          <w:rFonts w:ascii="Times New Roman" w:hAnsi="Times New Roman" w:cs="Times New Roman"/>
        </w:rPr>
        <w:t>The scatterplot and the regression display a weak positive relationship between the mother’s weight and birthweight measured in pounds and grams, respectively. The birthweight appears to have a gradual increase of 4.4 grams for every 1 pound increase in the mother’s weight.</w:t>
      </w:r>
    </w:p>
    <w:p w14:paraId="25065599" w14:textId="5B748716" w:rsidR="00D75058" w:rsidRDefault="00FC05BF" w:rsidP="00FC05BF">
      <w:pPr>
        <w:ind w:firstLine="720"/>
        <w:rPr>
          <w:rFonts w:ascii="Times New Roman" w:hAnsi="Times New Roman" w:cs="Times New Roman"/>
        </w:rPr>
      </w:pPr>
      <w:r>
        <w:rPr>
          <w:rFonts w:ascii="Times New Roman" w:hAnsi="Times New Roman" w:cs="Times New Roman"/>
        </w:rPr>
        <w:t xml:space="preserve">For figures </w:t>
      </w:r>
      <w:r>
        <w:rPr>
          <w:rFonts w:ascii="Times New Roman" w:hAnsi="Times New Roman" w:cs="Times New Roman"/>
        </w:rPr>
        <w:t>3</w:t>
      </w:r>
      <w:r>
        <w:rPr>
          <w:rFonts w:ascii="Times New Roman" w:hAnsi="Times New Roman" w:cs="Times New Roman"/>
        </w:rPr>
        <w:t xml:space="preserve"> and </w:t>
      </w:r>
      <w:r w:rsidR="00D75058">
        <w:rPr>
          <w:rFonts w:ascii="Times New Roman" w:hAnsi="Times New Roman" w:cs="Times New Roman"/>
        </w:rPr>
        <w:t>4, dealing</w:t>
      </w:r>
      <w:r>
        <w:rPr>
          <w:rFonts w:ascii="Times New Roman" w:hAnsi="Times New Roman" w:cs="Times New Roman"/>
        </w:rPr>
        <w:t xml:space="preserve"> with the</w:t>
      </w:r>
      <w:r w:rsidR="00D75058">
        <w:rPr>
          <w:rFonts w:ascii="Times New Roman" w:hAnsi="Times New Roman" w:cs="Times New Roman"/>
        </w:rPr>
        <w:t xml:space="preserve"> crude prevalence of housing insecurity</w:t>
      </w:r>
      <w:r>
        <w:rPr>
          <w:rFonts w:ascii="Times New Roman" w:hAnsi="Times New Roman" w:cs="Times New Roman"/>
        </w:rPr>
        <w:t xml:space="preserve"> and the</w:t>
      </w:r>
      <w:r w:rsidR="00D75058">
        <w:rPr>
          <w:rFonts w:ascii="Times New Roman" w:hAnsi="Times New Roman" w:cs="Times New Roman"/>
        </w:rPr>
        <w:t xml:space="preserve"> total population</w:t>
      </w:r>
      <w:r>
        <w:rPr>
          <w:rFonts w:ascii="Times New Roman" w:hAnsi="Times New Roman" w:cs="Times New Roman"/>
        </w:rPr>
        <w:t xml:space="preserve">, the </w:t>
      </w:r>
      <w:r w:rsidR="00D75058">
        <w:rPr>
          <w:rFonts w:ascii="Times New Roman" w:hAnsi="Times New Roman" w:cs="Times New Roman"/>
        </w:rPr>
        <w:t>total population</w:t>
      </w:r>
      <w:r>
        <w:rPr>
          <w:rFonts w:ascii="Times New Roman" w:hAnsi="Times New Roman" w:cs="Times New Roman"/>
        </w:rPr>
        <w:t xml:space="preserve"> is the independent variable. The </w:t>
      </w:r>
      <w:r w:rsidR="00D75058">
        <w:rPr>
          <w:rFonts w:ascii="Times New Roman" w:hAnsi="Times New Roman" w:cs="Times New Roman"/>
        </w:rPr>
        <w:t xml:space="preserve">crude prevalence of housing insecurity </w:t>
      </w:r>
      <w:r>
        <w:rPr>
          <w:rFonts w:ascii="Times New Roman" w:hAnsi="Times New Roman" w:cs="Times New Roman"/>
        </w:rPr>
        <w:t xml:space="preserve">is the dependent variable. The </w:t>
      </w:r>
      <w:r w:rsidRPr="00FC05BF">
        <w:rPr>
          <w:rFonts w:ascii="Times New Roman" w:hAnsi="Times New Roman" w:cs="Times New Roman"/>
        </w:rPr>
        <w:t>β</w:t>
      </w:r>
      <w:r w:rsidRPr="00FC05BF">
        <w:rPr>
          <w:rFonts w:ascii="Times New Roman" w:hAnsi="Times New Roman" w:cs="Times New Roman"/>
          <w:vertAlign w:val="subscript"/>
        </w:rPr>
        <w:t>0</w:t>
      </w:r>
      <w:r w:rsidRPr="00FC05BF">
        <w:rPr>
          <w:rFonts w:ascii="Times New Roman" w:hAnsi="Times New Roman" w:cs="Times New Roman"/>
        </w:rPr>
        <w:t xml:space="preserve"> value (intercept)</w:t>
      </w:r>
      <w:r>
        <w:rPr>
          <w:rFonts w:ascii="Times New Roman" w:hAnsi="Times New Roman" w:cs="Times New Roman"/>
        </w:rPr>
        <w:t xml:space="preserve"> is</w:t>
      </w:r>
      <w:r w:rsidR="00D75058">
        <w:rPr>
          <w:rFonts w:ascii="Times New Roman" w:hAnsi="Times New Roman" w:cs="Times New Roman"/>
        </w:rPr>
        <w:t xml:space="preserve"> 12.4181</w:t>
      </w:r>
      <w:r>
        <w:rPr>
          <w:rFonts w:ascii="Times New Roman" w:hAnsi="Times New Roman" w:cs="Times New Roman"/>
        </w:rPr>
        <w:t xml:space="preserve">. The </w:t>
      </w:r>
      <w:r w:rsidRPr="00FC05BF">
        <w:rPr>
          <w:rFonts w:ascii="Times New Roman" w:hAnsi="Times New Roman" w:cs="Times New Roman"/>
        </w:rPr>
        <w:t>β</w:t>
      </w:r>
      <w:r w:rsidRPr="00FC05BF">
        <w:rPr>
          <w:rFonts w:ascii="Times New Roman" w:hAnsi="Times New Roman" w:cs="Times New Roman"/>
          <w:vertAlign w:val="subscript"/>
        </w:rPr>
        <w:t>1</w:t>
      </w:r>
      <w:r w:rsidRPr="00FC05BF">
        <w:rPr>
          <w:rFonts w:ascii="Times New Roman" w:hAnsi="Times New Roman" w:cs="Times New Roman"/>
        </w:rPr>
        <w:t xml:space="preserve"> value (slope coefficient)</w:t>
      </w:r>
      <w:r>
        <w:rPr>
          <w:rFonts w:ascii="Times New Roman" w:hAnsi="Times New Roman" w:cs="Times New Roman"/>
        </w:rPr>
        <w:t xml:space="preserve"> is </w:t>
      </w:r>
      <w:r w:rsidR="00D75058">
        <w:rPr>
          <w:rFonts w:ascii="Times New Roman" w:hAnsi="Times New Roman" w:cs="Times New Roman"/>
        </w:rPr>
        <w:t>4.45e-07</w:t>
      </w:r>
      <w:r>
        <w:rPr>
          <w:rFonts w:ascii="Times New Roman" w:hAnsi="Times New Roman" w:cs="Times New Roman"/>
        </w:rPr>
        <w:t>. The R</w:t>
      </w:r>
      <w:r>
        <w:rPr>
          <w:rFonts w:ascii="Times New Roman" w:hAnsi="Times New Roman" w:cs="Times New Roman"/>
          <w:vertAlign w:val="superscript"/>
        </w:rPr>
        <w:t>2</w:t>
      </w:r>
      <w:r>
        <w:rPr>
          <w:rFonts w:ascii="Times New Roman" w:hAnsi="Times New Roman" w:cs="Times New Roman"/>
        </w:rPr>
        <w:t xml:space="preserve"> value is 0.0</w:t>
      </w:r>
      <w:r w:rsidR="00D75058">
        <w:rPr>
          <w:rFonts w:ascii="Times New Roman" w:hAnsi="Times New Roman" w:cs="Times New Roman"/>
        </w:rPr>
        <w:t>01</w:t>
      </w:r>
      <w:r>
        <w:rPr>
          <w:rFonts w:ascii="Times New Roman" w:hAnsi="Times New Roman" w:cs="Times New Roman"/>
        </w:rPr>
        <w:t xml:space="preserve">. </w:t>
      </w:r>
      <w:r w:rsidR="0066082C">
        <w:rPr>
          <w:rFonts w:ascii="Times New Roman" w:hAnsi="Times New Roman" w:cs="Times New Roman"/>
        </w:rPr>
        <w:t>There appears to be no linear relationship between the total population and crude prevalence of housing insecurity. The graph shows that the relationship shows no variation with the crude prevalence of housing insecurity.</w:t>
      </w:r>
    </w:p>
    <w:p w14:paraId="34EB4235" w14:textId="754AAF1C" w:rsidR="00FC05BF" w:rsidRPr="00FC05BF" w:rsidRDefault="00D75058" w:rsidP="00F76F20">
      <w:pPr>
        <w:ind w:firstLine="720"/>
        <w:rPr>
          <w:rFonts w:ascii="Times New Roman" w:hAnsi="Times New Roman" w:cs="Times New Roman"/>
        </w:rPr>
      </w:pPr>
      <w:r>
        <w:rPr>
          <w:rFonts w:ascii="Times New Roman" w:hAnsi="Times New Roman" w:cs="Times New Roman"/>
        </w:rPr>
        <w:t xml:space="preserve">Figures 5 and 6 deal with the crude prevalence of obesity and crude prevalence of mental health disorders. The independent variable is the crude prevalence of obesity. The dependent variable is the crude prevalence of mental health disorders. </w:t>
      </w:r>
      <w:r>
        <w:rPr>
          <w:rFonts w:ascii="Times New Roman" w:hAnsi="Times New Roman" w:cs="Times New Roman"/>
        </w:rPr>
        <w:t xml:space="preserve">The </w:t>
      </w:r>
      <w:r w:rsidRPr="00FC05BF">
        <w:rPr>
          <w:rFonts w:ascii="Times New Roman" w:hAnsi="Times New Roman" w:cs="Times New Roman"/>
        </w:rPr>
        <w:t>β</w:t>
      </w:r>
      <w:r w:rsidRPr="00FC05BF">
        <w:rPr>
          <w:rFonts w:ascii="Times New Roman" w:hAnsi="Times New Roman" w:cs="Times New Roman"/>
          <w:vertAlign w:val="subscript"/>
        </w:rPr>
        <w:t>0</w:t>
      </w:r>
      <w:r w:rsidRPr="00FC05BF">
        <w:rPr>
          <w:rFonts w:ascii="Times New Roman" w:hAnsi="Times New Roman" w:cs="Times New Roman"/>
        </w:rPr>
        <w:t xml:space="preserve"> value (intercept)</w:t>
      </w:r>
      <w:r>
        <w:rPr>
          <w:rFonts w:ascii="Times New Roman" w:hAnsi="Times New Roman" w:cs="Times New Roman"/>
        </w:rPr>
        <w:t xml:space="preserve"> is </w:t>
      </w:r>
      <w:r>
        <w:rPr>
          <w:rFonts w:ascii="Times New Roman" w:hAnsi="Times New Roman" w:cs="Times New Roman"/>
        </w:rPr>
        <w:t>9.3830.</w:t>
      </w:r>
      <w:r>
        <w:rPr>
          <w:rFonts w:ascii="Times New Roman" w:hAnsi="Times New Roman" w:cs="Times New Roman"/>
        </w:rPr>
        <w:t xml:space="preserve"> The </w:t>
      </w:r>
      <w:r w:rsidRPr="00FC05BF">
        <w:rPr>
          <w:rFonts w:ascii="Times New Roman" w:hAnsi="Times New Roman" w:cs="Times New Roman"/>
        </w:rPr>
        <w:t>β</w:t>
      </w:r>
      <w:r w:rsidRPr="00FC05BF">
        <w:rPr>
          <w:rFonts w:ascii="Times New Roman" w:hAnsi="Times New Roman" w:cs="Times New Roman"/>
          <w:vertAlign w:val="subscript"/>
        </w:rPr>
        <w:t>1</w:t>
      </w:r>
      <w:r w:rsidRPr="00FC05BF">
        <w:rPr>
          <w:rFonts w:ascii="Times New Roman" w:hAnsi="Times New Roman" w:cs="Times New Roman"/>
        </w:rPr>
        <w:t xml:space="preserve"> value (slope coefficient)</w:t>
      </w:r>
      <w:r>
        <w:rPr>
          <w:rFonts w:ascii="Times New Roman" w:hAnsi="Times New Roman" w:cs="Times New Roman"/>
        </w:rPr>
        <w:t xml:space="preserve"> is </w:t>
      </w:r>
      <w:r>
        <w:rPr>
          <w:rFonts w:ascii="Times New Roman" w:hAnsi="Times New Roman" w:cs="Times New Roman"/>
        </w:rPr>
        <w:t>0.2069</w:t>
      </w:r>
      <w:r>
        <w:rPr>
          <w:rFonts w:ascii="Times New Roman" w:hAnsi="Times New Roman" w:cs="Times New Roman"/>
        </w:rPr>
        <w:t>. The R</w:t>
      </w:r>
      <w:r>
        <w:rPr>
          <w:rFonts w:ascii="Times New Roman" w:hAnsi="Times New Roman" w:cs="Times New Roman"/>
          <w:vertAlign w:val="superscript"/>
        </w:rPr>
        <w:t>2</w:t>
      </w:r>
      <w:r>
        <w:rPr>
          <w:rFonts w:ascii="Times New Roman" w:hAnsi="Times New Roman" w:cs="Times New Roman"/>
        </w:rPr>
        <w:t xml:space="preserve"> value is 0.</w:t>
      </w:r>
      <w:r>
        <w:rPr>
          <w:rFonts w:ascii="Times New Roman" w:hAnsi="Times New Roman" w:cs="Times New Roman"/>
        </w:rPr>
        <w:t>242</w:t>
      </w:r>
      <w:r>
        <w:rPr>
          <w:rFonts w:ascii="Times New Roman" w:hAnsi="Times New Roman" w:cs="Times New Roman"/>
        </w:rPr>
        <w:t xml:space="preserve">. </w:t>
      </w:r>
      <w:r w:rsidR="0066082C">
        <w:rPr>
          <w:rFonts w:ascii="Times New Roman" w:hAnsi="Times New Roman" w:cs="Times New Roman"/>
        </w:rPr>
        <w:t>The scatterplot for the crude prevalence of obesity and crude prevalence of mental health disorders appears to have a moderate positive relationship. The crude prevalence of mental health appears to increase about a 0.21 percentage point for every 1 percentage point increase in the crude prevalence of obesity.</w:t>
      </w:r>
    </w:p>
    <w:sectPr w:rsidR="00FC05BF" w:rsidRPr="00FC0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8B7"/>
    <w:rsid w:val="00180E08"/>
    <w:rsid w:val="00215CBB"/>
    <w:rsid w:val="002348B7"/>
    <w:rsid w:val="0066082C"/>
    <w:rsid w:val="009330A4"/>
    <w:rsid w:val="00B70C1E"/>
    <w:rsid w:val="00D75058"/>
    <w:rsid w:val="00F07AA4"/>
    <w:rsid w:val="00F76F20"/>
    <w:rsid w:val="00FC05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62768"/>
  <w15:chartTrackingRefBased/>
  <w15:docId w15:val="{6783F3B7-DD5B-43F0-8D14-E809D103C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058"/>
  </w:style>
  <w:style w:type="paragraph" w:styleId="Heading1">
    <w:name w:val="heading 1"/>
    <w:basedOn w:val="Normal"/>
    <w:next w:val="Normal"/>
    <w:link w:val="Heading1Char"/>
    <w:uiPriority w:val="9"/>
    <w:qFormat/>
    <w:rsid w:val="00234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8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8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8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8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8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8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8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8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8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8B7"/>
    <w:rPr>
      <w:rFonts w:eastAsiaTheme="majorEastAsia" w:cstheme="majorBidi"/>
      <w:color w:val="272727" w:themeColor="text1" w:themeTint="D8"/>
    </w:rPr>
  </w:style>
  <w:style w:type="paragraph" w:styleId="Title">
    <w:name w:val="Title"/>
    <w:basedOn w:val="Normal"/>
    <w:next w:val="Normal"/>
    <w:link w:val="TitleChar"/>
    <w:uiPriority w:val="10"/>
    <w:qFormat/>
    <w:rsid w:val="00234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8B7"/>
    <w:pPr>
      <w:spacing w:before="160"/>
      <w:jc w:val="center"/>
    </w:pPr>
    <w:rPr>
      <w:i/>
      <w:iCs/>
      <w:color w:val="404040" w:themeColor="text1" w:themeTint="BF"/>
    </w:rPr>
  </w:style>
  <w:style w:type="character" w:customStyle="1" w:styleId="QuoteChar">
    <w:name w:val="Quote Char"/>
    <w:basedOn w:val="DefaultParagraphFont"/>
    <w:link w:val="Quote"/>
    <w:uiPriority w:val="29"/>
    <w:rsid w:val="002348B7"/>
    <w:rPr>
      <w:i/>
      <w:iCs/>
      <w:color w:val="404040" w:themeColor="text1" w:themeTint="BF"/>
    </w:rPr>
  </w:style>
  <w:style w:type="paragraph" w:styleId="ListParagraph">
    <w:name w:val="List Paragraph"/>
    <w:basedOn w:val="Normal"/>
    <w:uiPriority w:val="34"/>
    <w:qFormat/>
    <w:rsid w:val="002348B7"/>
    <w:pPr>
      <w:ind w:left="720"/>
      <w:contextualSpacing/>
    </w:pPr>
  </w:style>
  <w:style w:type="character" w:styleId="IntenseEmphasis">
    <w:name w:val="Intense Emphasis"/>
    <w:basedOn w:val="DefaultParagraphFont"/>
    <w:uiPriority w:val="21"/>
    <w:qFormat/>
    <w:rsid w:val="002348B7"/>
    <w:rPr>
      <w:i/>
      <w:iCs/>
      <w:color w:val="0F4761" w:themeColor="accent1" w:themeShade="BF"/>
    </w:rPr>
  </w:style>
  <w:style w:type="paragraph" w:styleId="IntenseQuote">
    <w:name w:val="Intense Quote"/>
    <w:basedOn w:val="Normal"/>
    <w:next w:val="Normal"/>
    <w:link w:val="IntenseQuoteChar"/>
    <w:uiPriority w:val="30"/>
    <w:qFormat/>
    <w:rsid w:val="00234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8B7"/>
    <w:rPr>
      <w:i/>
      <w:iCs/>
      <w:color w:val="0F4761" w:themeColor="accent1" w:themeShade="BF"/>
    </w:rPr>
  </w:style>
  <w:style w:type="character" w:styleId="IntenseReference">
    <w:name w:val="Intense Reference"/>
    <w:basedOn w:val="DefaultParagraphFont"/>
    <w:uiPriority w:val="32"/>
    <w:qFormat/>
    <w:rsid w:val="002348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Remington Bland</dc:creator>
  <cp:keywords/>
  <dc:description/>
  <cp:lastModifiedBy>Remington Bland</cp:lastModifiedBy>
  <cp:revision>2</cp:revision>
  <dcterms:created xsi:type="dcterms:W3CDTF">2026-10-11T19:15:00Z</dcterms:created>
  <dcterms:modified xsi:type="dcterms:W3CDTF">2026-10-11T20:58:00Z</dcterms:modified>
</cp:coreProperties>
</file>