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Access Control Policy</w:t>
      </w:r>
    </w:p>
    <w:p>
      <w:pPr>
        <w:pStyle w:val="Heading1"/>
      </w:pPr>
      <w:r>
        <w:t>Purpose</w:t>
      </w:r>
    </w:p>
    <w:p>
      <w:r>
        <w:t>Ensure access to systems and information is authorized, appropriate and reviewed.</w:t>
      </w:r>
    </w:p>
    <w:p>
      <w:pPr>
        <w:pStyle w:val="Heading1"/>
      </w:pPr>
      <w:r>
        <w:t>Requirements</w:t>
      </w:r>
    </w:p>
    <w:p>
      <w:pPr>
        <w:pStyle w:val="ListBullet"/>
      </w:pPr>
      <w:r>
        <w:t>Unique user identities shall be used.</w:t>
      </w:r>
    </w:p>
    <w:p>
      <w:pPr>
        <w:pStyle w:val="ListBullet"/>
      </w:pPr>
      <w:r>
        <w:t>MFA shall be enabled for privileged and risk-sensitive access.</w:t>
      </w:r>
    </w:p>
    <w:p>
      <w:pPr>
        <w:pStyle w:val="ListBullet"/>
      </w:pPr>
      <w:r>
        <w:t>Privileges shall follow least privilege.</w:t>
      </w:r>
    </w:p>
    <w:p>
      <w:pPr>
        <w:pStyle w:val="ListBullet"/>
      </w:pPr>
      <w:r>
        <w:t>Access shall be removed promptly when employment or access requirements end.</w:t>
      </w:r>
    </w:p>
    <w:p>
      <w:pPr>
        <w:pStyle w:val="ListBullet"/>
      </w:pPr>
      <w:r>
        <w:t>Privileged and high-risk access shall be reviewed periodically.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