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Policy</w:t>
      </w:r>
    </w:p>
    <w:p>
      <w:pPr>
        <w:pStyle w:val="Heading1"/>
      </w:pPr>
      <w:r>
        <w:t>Purpose</w:t>
      </w:r>
    </w:p>
    <w:p>
      <w:r>
        <w:t>Provide a consistent approach to identifying, reporting, containing, investigating and recovering from information-security incidents.</w:t>
      </w:r>
    </w:p>
    <w:p>
      <w:pPr>
        <w:pStyle w:val="Heading1"/>
      </w:pPr>
      <w:r>
        <w:t>Requirements</w:t>
      </w:r>
    </w:p>
    <w:p>
      <w:pPr>
        <w:pStyle w:val="ListBullet"/>
      </w:pPr>
      <w:r>
        <w:t>Employees shall report suspected incidents immediately.</w:t>
      </w:r>
    </w:p>
    <w:p>
      <w:pPr>
        <w:pStyle w:val="ListBullet"/>
      </w:pPr>
      <w:r>
        <w:t>Incidents shall be classified by severity.</w:t>
      </w:r>
    </w:p>
    <w:p>
      <w:pPr>
        <w:pStyle w:val="ListBullet"/>
      </w:pPr>
      <w:r>
        <w:t>Evidence shall be preserved where appropriate.</w:t>
      </w:r>
    </w:p>
    <w:p>
      <w:pPr>
        <w:pStyle w:val="ListBullet"/>
      </w:pPr>
      <w:r>
        <w:t>Containment, eradication and recovery actions shall be documented.</w:t>
      </w:r>
    </w:p>
    <w:p>
      <w:pPr>
        <w:pStyle w:val="ListBullet"/>
      </w:pPr>
      <w:r>
        <w:t>Lessons learned shall feed risk and control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