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Security Policy</w:t>
      </w:r>
    </w:p>
    <w:p>
      <w:pPr>
        <w:pStyle w:val="Heading1"/>
      </w:pPr>
      <w:r>
        <w:t>Purpose</w:t>
      </w:r>
    </w:p>
    <w:p>
      <w:r>
        <w:t>Define management commitment to protecting confidentiality, integrity and availability of information.</w:t>
      </w:r>
    </w:p>
    <w:p>
      <w:pPr>
        <w:pStyle w:val="Heading1"/>
      </w:pPr>
      <w:r>
        <w:t>Requirements</w:t>
      </w:r>
    </w:p>
    <w:p>
      <w:pPr>
        <w:pStyle w:val="ListBullet"/>
      </w:pPr>
      <w:r>
        <w:t>Information assets shall be identified and protected according to risk.</w:t>
      </w:r>
    </w:p>
    <w:p>
      <w:pPr>
        <w:pStyle w:val="ListBullet"/>
      </w:pPr>
      <w:r>
        <w:t>Access shall be authorized according to business need and least privilege.</w:t>
      </w:r>
    </w:p>
    <w:p>
      <w:pPr>
        <w:pStyle w:val="ListBullet"/>
      </w:pPr>
      <w:r>
        <w:t>Security incidents shall be reported and handled through an approved process.</w:t>
      </w:r>
    </w:p>
    <w:p>
      <w:pPr>
        <w:pStyle w:val="ListBullet"/>
      </w:pPr>
      <w:r>
        <w:t>Employees shall complete security awareness training.</w:t>
      </w:r>
    </w:p>
    <w:p>
      <w:pPr>
        <w:pStyle w:val="ListBullet"/>
      </w:pPr>
      <w:r>
        <w:t>Security controls shall be reviewed periodically and improved based on risk.</w:t>
      </w:r>
    </w:p>
    <w:p>
      <w:pPr>
        <w:pStyle w:val="Heading1"/>
      </w:pPr>
      <w:r>
        <w:t>Review</w:t>
      </w:r>
    </w:p>
    <w:p>
      <w:r>
        <w:t>The policy should be reviewed at least annually or after significant organizational or regulatory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