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 27001:2022 ISMS Implementation &amp; Compliance Readiness Report</w:t>
      </w:r>
    </w:p>
    <w:p>
      <w:pPr>
        <w:pStyle w:val="Heading1"/>
      </w:pPr>
      <w:r>
        <w:t>Executive Summary</w:t>
      </w:r>
    </w:p>
    <w:p>
      <w:r>
        <w:t>This simulated portfolio project demonstrates a risk-based approach to establishing an ISO 27001:2022-aligned ISMS for FinSecure Technologies. The assessment identified critical and high-priority risks involving identity, application security, cloud access, vulnerability management, logging, awareness and incident readiness.</w:t>
      </w:r>
    </w:p>
    <w:p>
      <w:pPr>
        <w:pStyle w:val="Heading1"/>
      </w:pPr>
      <w:r>
        <w:t>Assessment Method</w:t>
      </w:r>
    </w:p>
    <w:p>
      <w:r>
        <w:t>The project used an asset inventory, 1-5 likelihood and impact scoring, risk treatment planning, selected Annex A controls, a Statement of Applicability, evidence review, internal audit testing, gap assessment and corrective-action tracking.</w:t>
      </w:r>
    </w:p>
    <w:p>
      <w:pPr>
        <w:pStyle w:val="Heading1"/>
      </w:pPr>
      <w:r>
        <w:t>Key Findings</w:t>
      </w:r>
    </w:p>
    <w:p>
      <w:pPr>
        <w:pStyle w:val="ListBullet"/>
      </w:pPr>
      <w:r>
        <w:t>MFA coverage requires completion for privileged and risk-sensitive access.</w:t>
      </w:r>
    </w:p>
    <w:p>
      <w:pPr>
        <w:pStyle w:val="ListBullet"/>
      </w:pPr>
      <w:r>
        <w:t>Access reviews require consistent periodic evidence.</w:t>
      </w:r>
    </w:p>
    <w:p>
      <w:pPr>
        <w:pStyle w:val="ListBullet"/>
      </w:pPr>
      <w:r>
        <w:t>Security awareness needs a formal annual program.</w:t>
      </w:r>
    </w:p>
    <w:p>
      <w:pPr>
        <w:pStyle w:val="ListBullet"/>
      </w:pPr>
      <w:r>
        <w:t>Vulnerability remediation needs an approved SLA.</w:t>
      </w:r>
    </w:p>
    <w:p>
      <w:pPr>
        <w:pStyle w:val="ListBullet"/>
      </w:pPr>
      <w:r>
        <w:t>Logging retention needs formal documentation.</w:t>
      </w:r>
    </w:p>
    <w:p>
      <w:pPr>
        <w:pStyle w:val="ListBullet"/>
      </w:pPr>
      <w:r>
        <w:t>Incident response should be validated through a tabletop exercise.</w:t>
      </w:r>
    </w:p>
    <w:p>
      <w:pPr>
        <w:pStyle w:val="ListBullet"/>
      </w:pPr>
      <w:r>
        <w:t>Secure development security gates should be standardized.</w:t>
      </w:r>
    </w:p>
    <w:p>
      <w:pPr>
        <w:pStyle w:val="Heading1"/>
      </w:pPr>
      <w:r>
        <w:t>Conclusion</w:t>
      </w:r>
    </w:p>
    <w:p>
      <w:r>
        <w:t>The simulated organization has a foundational control environment but is not represented as certification-ready. Priority remediation should address critical identity/access risks first, followed by governance, evidence and operational control improvements.</w:t>
      </w:r>
    </w:p>
    <w:p>
      <w:pPr>
        <w:pStyle w:val="Heading1"/>
      </w:pPr>
      <w:r>
        <w:t>Important Disclaimer</w:t>
      </w:r>
    </w:p>
    <w:p>
      <w:r>
        <w:t>This is a fictional portfolio exercise. It is not an actual ISO/IEC 27001 certification audit, certification, or assessment of a real company's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