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BRS50 — Predictive Lifecycle Anomaly Mapping</w:t>
      </w:r>
    </w:p>
    <w:p>
      <w:pPr>
        <w:jc w:val="center"/>
      </w:pPr>
      <w:r>
        <w:rPr>
          <w:i/>
        </w:rPr>
        <w:t>Use Case 8: Predictive Lifecycle Intelligence &amp; Autonomous Technology Refresh Planning</w:t>
      </w:r>
    </w:p>
    <w:p>
      <w:r>
        <w:t>Target product code supplied: BRS50-00122Q2Q-SFCZ99HHSEA</w:t>
      </w:r>
    </w:p>
    <w:p>
      <w:pPr>
        <w:pStyle w:val="Heading1"/>
      </w:pPr>
      <w:r>
        <w:t>Scope correction</w:t>
      </w:r>
    </w:p>
    <w:p>
      <w:r>
        <w:t>This document focuses on lifecycle risks and technology-refresh indicators—not ordinary network faults such as link flap, CRC errors, or duplex mismatch. A lifecycle warning is generally derived by combining switch identity/firmware data with vendor lifecycle notices, asset inventory, warranty/contract records, and service history. A switch manual alone does not establish the exact EOL/EOS date or remaining useful life.</w:t>
      </w:r>
    </w:p>
    <w:p>
      <w:pPr>
        <w:pStyle w:val="Heading1"/>
      </w:pPr>
      <w:r>
        <w:t>Official source links</w:t>
      </w:r>
    </w:p>
    <w:p>
      <w:pPr>
        <w:pStyle w:val="ListBullet"/>
      </w:pPr>
      <w:r>
        <w:t>S1 — Belden BRS50 product page / configurable product family (the indexed example is a related BRS50 configuration, not an exact confirmed match for the full suffix)</w:t>
        <w:br/>
      </w:r>
      <w:r>
        <w:t>https://catalog.belden.com/index.cfm?configProduct=BRS50-00122Q2Q-STCY99HHSESXX.X.XX&amp;event=generateTDS</w:t>
      </w:r>
    </w:p>
    <w:p>
      <w:pPr>
        <w:pStyle w:val="ListBullet"/>
      </w:pPr>
      <w:r>
        <w:t>S2 — Official Hirschmann/BRS documentation portal (select the matching BRS/HiOS version)</w:t>
        <w:br/>
      </w:r>
      <w:r>
        <w:t>https://www.doc.hirschmann.com/</w:t>
      </w:r>
    </w:p>
    <w:p>
      <w:pPr>
        <w:pStyle w:val="ListBullet"/>
      </w:pPr>
      <w:r>
        <w:t>S3 — Official Belden/Hirschmann Support Center; search product notices and software release notes</w:t>
        <w:br/>
      </w:r>
      <w:r>
        <w:t>https://hirschmann-support.belden.com/</w:t>
      </w:r>
    </w:p>
    <w:p>
      <w:pPr>
        <w:pStyle w:val="ListBullet"/>
      </w:pPr>
      <w:r>
        <w:t>S4 — Example official BRS HiOS release notice (shows release notes are published by supported hardware family; verify exact version applicability)</w:t>
        <w:br/>
      </w:r>
      <w:r>
        <w:t>https://hirschmann-support.belden.com/en/news/posts/hios-v07-4-01-brs-released</w:t>
      </w:r>
    </w:p>
    <w:p>
      <w:pPr>
        <w:pStyle w:val="ListBullet"/>
      </w:pPr>
      <w:r>
        <w:t>S5 — Official Belden Bobcat/BRS product family page</w:t>
        <w:br/>
      </w:r>
      <w:r>
        <w:t>https://www.belden.com/products/industrial-networking-cybersecurity/managed-switches/din-rail-compact/bobcat</w:t>
      </w:r>
    </w:p>
    <w:p>
      <w:pPr>
        <w:pStyle w:val="Heading1"/>
      </w:pPr>
      <w:r>
        <w:t>Lifecycle anomaly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  <w:sz w:val="16"/>
              </w:rPr>
              <w:t>Lifecycle anomaly / risk</w:t>
            </w:r>
          </w:p>
        </w:tc>
        <w:tc>
          <w:tcPr>
            <w:tcW w:type="dxa" w:w="2664"/>
          </w:tcPr>
          <w:p>
            <w:r>
              <w:rPr>
                <w:b/>
                <w:sz w:val="16"/>
              </w:rPr>
              <w:t>Data required</w:t>
            </w:r>
          </w:p>
        </w:tc>
        <w:tc>
          <w:tcPr>
            <w:tcW w:type="dxa" w:w="2664"/>
          </w:tcPr>
          <w:p>
            <w:r>
              <w:rPr>
                <w:b/>
                <w:sz w:val="16"/>
              </w:rPr>
              <w:t>Data source (proper link)</w:t>
            </w:r>
          </w:p>
        </w:tc>
        <w:tc>
          <w:tcPr>
            <w:tcW w:type="dxa" w:w="2664"/>
          </w:tcPr>
          <w:p>
            <w:r>
              <w:rPr>
                <w:b/>
                <w:sz w:val="16"/>
              </w:rPr>
              <w:t>Section / rationale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EOL (End-of-Life) approaching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Exact product code; serial number; official EOL/last-order/last-ship date; notice publication date.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S1 + S3 (vendor product notices); asset inventory for product code/serial.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Vendor product discontinuation / product notice for the exact product family/SKU. This is the authoritative evidence for EOL; do not infer EOL from an installation manual or product age alone.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EOS (End-of-Support) approaching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Official support-end date; support entitlement/contract; product code and firmware family.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S3 + S4 (support notices/release notes) + contract records.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Support policy / product notice. An old firmware release date is not proof that the product is unsupported; verify the vendor's stated support status.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Firmware version at risk / no longer receiving updates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Installed HiOS version; hardware family; latest applicable release; release notes/security advisories; support status.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S2 + S3 + S4.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Matching BRS HiOS software release notes and support notices. Compare installed version with releases that explicitly list the target hardware and software level.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Replacement forecast falls within 24/12/6 months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Exact model; installation/commissioning date; vendor EOL/EOS date; service history; utilization/environment history; replacement lead time.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S1 + S3 + asset inventory/CMDB + maintenance records.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This is a derived forecast, not a field necessarily exposed by the switch. Calculate time-to-EOL/EOS and combine with documented asset/service history; label assumptions clearly.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Warranty expiry approaching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Purchase/ship date; warranty start/end; serial number; warranty terms; service contract/SLA end date.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Belden product page for product identification (S1) + purchase/warranty/contract records; contact S3 if terms need confirmation.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Warranty/contract records are authoritative. Product datasheets may state a general guarantee period but cannot determine the warranty end date for an individual installed device.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Repeated repairs / rising maintenance burden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Work orders; failure/repair dates; replaced components; downtime; repeat incident count; maintenance cost.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Customer CMMS/service desk records + S3 for vendor service/support history if available.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Service history and maintenance records. The switch manual describes operation and diagnostics, but it does not provide the customer's historical repair record.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Environmental exposure may shorten service life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Site ambient temperature history; rated operating/storage limits for exact device variant; time spent outside range; installation location.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S1 + S2 (matching installation manual and product technical data) + site sensor/environment logs.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Installation manual section titled 'Ambient conditions' / technical data. Compare measured site conditions against the exact variant's rated range. This is an exposure risk indicator, not proof that remaining life can be predicted precisely.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Installed base contains aging/obsolete product variants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Inventory of model/product code, serial number, installation date, firmware version, vendor lifecycle status.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S1 + S3 + customer asset inventory/CMDB.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Installed-base inventory correlated with official lifecycle notices. Device age by itself is not sufficient to declare a product obsolete.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Replacement parts / technology transition risk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Product code; module/part numbers; official product notices; replacement/successor model; supply/lead-time status.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S1 + S3 + procurement/supplier records.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Vendor product notices and replacement guidance plus procurement availability. Do not assume spare parts are unavailable unless a source confirms it.</w:t>
            </w:r>
          </w:p>
        </w:tc>
      </w:tr>
    </w:tbl>
    <w:p>
      <w:pPr>
        <w:pStyle w:val="Heading1"/>
      </w:pPr>
      <w:r>
        <w:t>Suggested lifecycle rules (initial hypotheses)</w:t>
      </w:r>
    </w:p>
    <w:p>
      <w:pPr>
        <w:pStyle w:val="ListBullet"/>
      </w:pPr>
      <w:r>
        <w:t>EOL/EOS horizon = official vendor milestone date minus current date. Trigger the 24-, 12-, 6-month, 90-day and 30-day notices described in the Use Case 8 screenshot, where dates are available.</w:t>
      </w:r>
    </w:p>
    <w:p>
      <w:pPr>
        <w:pStyle w:val="ListBullet"/>
      </w:pPr>
      <w:r>
        <w:t>Firmware support risk = installed firmware not covered by the currently applicable vendor support/release guidance. Confirm hardware family and software level before alerting.</w:t>
      </w:r>
    </w:p>
    <w:p>
      <w:pPr>
        <w:pStyle w:val="ListBullet"/>
      </w:pPr>
      <w:r>
        <w:t>Warranty/SLA risk = warranty or contract end date falls inside the chosen notification horizon.</w:t>
      </w:r>
    </w:p>
    <w:p>
      <w:pPr>
        <w:pStyle w:val="ListBullet"/>
      </w:pPr>
      <w:r>
        <w:t>Maintenance risk = repeat repair count, downtime, or maintenance cost exceeds a threshold agreed with operations. Thresholds must come from customer baseline/policy, not be invented from the manual.</w:t>
      </w:r>
    </w:p>
    <w:p>
      <w:pPr>
        <w:pStyle w:val="ListBullet"/>
      </w:pPr>
      <w:r>
        <w:t>Environmental exposure risk = measured site conditions breach the exact variant's documented operating limits for a configured duration. This flags exposure, not a guaranteed remaining-life estimate.</w:t>
      </w:r>
    </w:p>
    <w:p>
      <w:pPr>
        <w:pStyle w:val="ListBullet"/>
      </w:pPr>
      <w:r>
        <w:t>Replacement recommendation = combine EOL/EOS horizon, support status, service history, environment, utilization and replacement lead time; show the reasons and source fields behind the recommendation.</w:t>
      </w:r>
    </w:p>
    <w:p>
      <w:pPr>
        <w:pStyle w:val="Heading1"/>
      </w:pPr>
      <w:r>
        <w:t>Validation caveats</w:t>
      </w:r>
    </w:p>
    <w:p>
      <w:pPr>
        <w:pStyle w:val="ListBullet"/>
      </w:pPr>
      <w:r>
        <w:t>The exact full SKU BRS50-00122Q2Q-SFCZ99HHSEA was supplied by the user. The linked Belden catalog example is a related BRS50-00122Q2Q configuration, not a verified exact suffix match.</w:t>
      </w:r>
    </w:p>
    <w:p>
      <w:pPr>
        <w:pStyle w:val="ListBullet"/>
      </w:pPr>
      <w:r>
        <w:t>Exact manual page numbers are not asserted here because the correct document/HiOS variant and release must first be matched to the device. Use the official portal and check the product code on the switch label.</w:t>
      </w:r>
    </w:p>
    <w:p>
      <w:pPr>
        <w:pStyle w:val="ListBullet"/>
      </w:pPr>
      <w:r>
        <w:t>EOL/EOS dates, warranty dates, install date, service history, and replacement-part availability are typically external data sources—not ordinary live switch telemetry.</w:t>
      </w:r>
    </w:p>
    <w:p>
      <w:pPr>
        <w:pStyle w:val="ListBullet"/>
      </w:pPr>
      <w:r>
        <w:t>This document deliberately excludes network-fault anomalies (link flap, CRC, duplex mismatch, cable faults) except where their accumulated service history is used as a lifecycle input.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