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0088 : Dotaz =&gt; číselník kódů položek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column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(int)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(int) FK to A00C1200 column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(int) FK to A00C0440 column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Vzorový select: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(int) FK to A00D8021 column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(numeric(19,2))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(numeric(19,2))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(int) FK to A00C1000 column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Lékaře (int)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lastRenderedPageBreak/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(int)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(int)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(int)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defWSDL</w:t>
      </w:r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defURL</w:t>
      </w:r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defSvc</w:t>
      </w:r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defPrt</w:t>
      </w:r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ms</w:t>
      </w:r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select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(int)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(varchar(100))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Doplňek</w:t>
      </w:r>
      <w:r w:rsidR="00E04A4A">
        <w:rPr>
          <w:rFonts w:ascii="Consolas" w:hAnsi="Consolas" w:cs="Consolas"/>
          <w:kern w:val="0"/>
          <w:sz w:val="19"/>
          <w:szCs w:val="19"/>
        </w:rPr>
        <w:t xml:space="preserve"> (varchar(10))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(varchar(30))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(varchar(40))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(varchar(10))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(varchar(40))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(varchar(40))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(numeric(19,3))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(varchar(30))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(varchar(15))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(varchar(100))1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(varchar(3))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(numeric(9,3))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(numeric(9,3))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(varchar(2))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rp, 0 =&gt; suroviny, F =&gt; PZT?, Rx =&gt; Rx, Rb =&gt; Rb</w:t>
      </w:r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ZNC1114 – Registrace na ŠUKLu (char(1))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(varchar(2))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(int)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(varchar(100))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(numeric(19,3))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(numeric(19,3))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(numeric(19,3))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T9.KOC2970 – Kód jednotky (varchar(15))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KCS.KOC2900 – Celní sazebník (varchar(40))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ZNB1147 – Planning Wizard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HON1114 – Taxa laborum (numeric(19,2))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VyrK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(int)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(varchar(15))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(varchar(50))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(varchar(50))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lastRenderedPageBreak/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723EEF05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</w:t>
      </w:r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(int)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(varchar(30))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(int)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(varchar(30))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(int)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(varchar(</w:t>
      </w:r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(int)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74912E67" w14:textId="77777777" w:rsidR="005763DD" w:rsidRDefault="005763DD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9DA68" w14:textId="5BE4D666" w:rsidR="005763DD" w:rsidRDefault="005763DD" w:rsidP="005763DD">
      <w:pPr>
        <w:pStyle w:val="Nadpis1"/>
      </w:pPr>
      <w:r>
        <w:t>Dodavatelské kódy</w:t>
      </w:r>
    </w:p>
    <w:p w14:paraId="537387D9" w14:textId="73F88C12" w:rsidR="005763DD" w:rsidRDefault="005763DD" w:rsidP="005763D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C29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– Tabulka 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dodavatelských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(IK)</w:t>
      </w:r>
    </w:p>
    <w:p w14:paraId="122F7091" w14:textId="77777777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48B92E40" w14:textId="77777777" w:rsidR="00C7197C" w:rsidRPr="00C7197C" w:rsidRDefault="00C7197C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121171" w14:textId="79148E4B" w:rsidR="005763DD" w:rsidRPr="008D025B" w:rsidRDefault="004F3731" w:rsidP="004F3731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CP.ICI0000 – Id zboží (int)</w:t>
      </w:r>
    </w:p>
    <w:p w14:paraId="30648966" w14:textId="40F51BB5" w:rsidR="005763DD" w:rsidRDefault="004F3731" w:rsidP="004F373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KOC2930 – dodavatelský kód (varchar(30))</w:t>
      </w:r>
    </w:p>
    <w:p w14:paraId="1BF7E2F3" w14:textId="38F99151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 – Id 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dodavatele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</w:p>
    <w:p w14:paraId="70DC0CB9" w14:textId="6C6580FD" w:rsidR="00F463A8" w:rsidRDefault="00F463A8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ZNB2930 – 0 =&gt; neplatný, 1 =&gt; platný (int)</w:t>
      </w:r>
    </w:p>
    <w:p w14:paraId="0FCA5667" w14:textId="77777777" w:rsidR="005763DD" w:rsidRDefault="005763DD" w:rsidP="005763DD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63E4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1341FDB1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FD6E4" w14:textId="66AD8436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ICI00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, IK.ZNB2930</w:t>
      </w:r>
    </w:p>
    <w:p w14:paraId="6D53BE2B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P00C2930 IK</w:t>
      </w:r>
    </w:p>
    <w:p w14:paraId="40B3738E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7A049" w14:textId="32BFE51E" w:rsidR="005763DD" w:rsidRDefault="00C7197C" w:rsidP="004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30A6D3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6D8D" w14:textId="77777777" w:rsidR="005763DD" w:rsidRPr="005763DD" w:rsidRDefault="005763DD" w:rsidP="005763DD"/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(int)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(varchar(30))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(varchar(1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(numeric(19,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TXC1150 – šarže (varhar(20))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(datetime)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(numeric(19,4))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(numeric(19,4))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(numeric(9,3))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(datetime)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(datetime)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(varchar(15))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(varchar(50))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(int)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(numeric(9,2)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(numeric(9,2))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(numeric(9,3))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(numeric(9,2))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Vzorový select: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P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sectPr w:rsidR="008738F4" w:rsidRPr="00873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27CA31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94D69"/>
    <w:rsid w:val="002C3E56"/>
    <w:rsid w:val="002F50F0"/>
    <w:rsid w:val="0032641D"/>
    <w:rsid w:val="00351797"/>
    <w:rsid w:val="00352B4E"/>
    <w:rsid w:val="00353747"/>
    <w:rsid w:val="003707C9"/>
    <w:rsid w:val="003737F5"/>
    <w:rsid w:val="00375F49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3731"/>
    <w:rsid w:val="004F5C61"/>
    <w:rsid w:val="00527432"/>
    <w:rsid w:val="0054698B"/>
    <w:rsid w:val="00552540"/>
    <w:rsid w:val="005727A7"/>
    <w:rsid w:val="005763DD"/>
    <w:rsid w:val="00597812"/>
    <w:rsid w:val="005D16AF"/>
    <w:rsid w:val="005E740D"/>
    <w:rsid w:val="00645DA1"/>
    <w:rsid w:val="00660A61"/>
    <w:rsid w:val="00664492"/>
    <w:rsid w:val="00666F73"/>
    <w:rsid w:val="0067378A"/>
    <w:rsid w:val="00676D57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C4E93"/>
    <w:rsid w:val="007D102A"/>
    <w:rsid w:val="007E04AF"/>
    <w:rsid w:val="00803FDB"/>
    <w:rsid w:val="00826980"/>
    <w:rsid w:val="008372D8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1334A"/>
    <w:rsid w:val="00914C9D"/>
    <w:rsid w:val="009157CF"/>
    <w:rsid w:val="00925913"/>
    <w:rsid w:val="0093504E"/>
    <w:rsid w:val="00944C0F"/>
    <w:rsid w:val="00954AE2"/>
    <w:rsid w:val="009943D8"/>
    <w:rsid w:val="009A3286"/>
    <w:rsid w:val="009B740C"/>
    <w:rsid w:val="009C6250"/>
    <w:rsid w:val="009D24B0"/>
    <w:rsid w:val="00A02D76"/>
    <w:rsid w:val="00A465F4"/>
    <w:rsid w:val="00A5345A"/>
    <w:rsid w:val="00A72076"/>
    <w:rsid w:val="00A86A35"/>
    <w:rsid w:val="00AB4ADB"/>
    <w:rsid w:val="00AC5999"/>
    <w:rsid w:val="00B174A7"/>
    <w:rsid w:val="00B371F6"/>
    <w:rsid w:val="00B46C27"/>
    <w:rsid w:val="00B5539B"/>
    <w:rsid w:val="00BA70EF"/>
    <w:rsid w:val="00BD372F"/>
    <w:rsid w:val="00BD6B01"/>
    <w:rsid w:val="00BF2091"/>
    <w:rsid w:val="00BF7999"/>
    <w:rsid w:val="00C17CED"/>
    <w:rsid w:val="00C17F32"/>
    <w:rsid w:val="00C37B5E"/>
    <w:rsid w:val="00C41A62"/>
    <w:rsid w:val="00C631FB"/>
    <w:rsid w:val="00C640B1"/>
    <w:rsid w:val="00C7197C"/>
    <w:rsid w:val="00C76D1F"/>
    <w:rsid w:val="00CF2AAB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F6D96"/>
    <w:rsid w:val="00F1580A"/>
    <w:rsid w:val="00F2059B"/>
    <w:rsid w:val="00F24E82"/>
    <w:rsid w:val="00F31027"/>
    <w:rsid w:val="00F34A17"/>
    <w:rsid w:val="00F362B4"/>
    <w:rsid w:val="00F42264"/>
    <w:rsid w:val="00F463A8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14501</TotalTime>
  <Pages>7</Pages>
  <Words>2133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Švub</dc:creator>
  <cp:keywords/>
  <dc:description/>
  <cp:lastModifiedBy>Radek Švub</cp:lastModifiedBy>
  <cp:revision>163</cp:revision>
  <dcterms:created xsi:type="dcterms:W3CDTF">2023-04-14T09:44:00Z</dcterms:created>
  <dcterms:modified xsi:type="dcterms:W3CDTF">2023-06-22T13:01:00Z</dcterms:modified>
</cp:coreProperties>
</file>