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lastRenderedPageBreak/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lastRenderedPageBreak/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KCS.KOC2900 – Celní sazebník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P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sectPr w:rsidR="008738F4" w:rsidRPr="00873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7B1EA32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94D69"/>
    <w:rsid w:val="0032641D"/>
    <w:rsid w:val="00351797"/>
    <w:rsid w:val="00352B4E"/>
    <w:rsid w:val="003707C9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F5C61"/>
    <w:rsid w:val="00527432"/>
    <w:rsid w:val="0054698B"/>
    <w:rsid w:val="00552540"/>
    <w:rsid w:val="005727A7"/>
    <w:rsid w:val="00597812"/>
    <w:rsid w:val="005D16AF"/>
    <w:rsid w:val="005E740D"/>
    <w:rsid w:val="00645DA1"/>
    <w:rsid w:val="00660A61"/>
    <w:rsid w:val="00664492"/>
    <w:rsid w:val="00666F73"/>
    <w:rsid w:val="00676D57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B1784"/>
    <w:rsid w:val="007C4E93"/>
    <w:rsid w:val="007D102A"/>
    <w:rsid w:val="007E04AF"/>
    <w:rsid w:val="00826980"/>
    <w:rsid w:val="008372D8"/>
    <w:rsid w:val="00845DF2"/>
    <w:rsid w:val="00850AB0"/>
    <w:rsid w:val="0085136F"/>
    <w:rsid w:val="008738F4"/>
    <w:rsid w:val="00881FD2"/>
    <w:rsid w:val="00891C29"/>
    <w:rsid w:val="008E2448"/>
    <w:rsid w:val="00914C9D"/>
    <w:rsid w:val="009157CF"/>
    <w:rsid w:val="00925913"/>
    <w:rsid w:val="0093504E"/>
    <w:rsid w:val="00944C0F"/>
    <w:rsid w:val="00954AE2"/>
    <w:rsid w:val="009943D8"/>
    <w:rsid w:val="009A3286"/>
    <w:rsid w:val="009B740C"/>
    <w:rsid w:val="009C6250"/>
    <w:rsid w:val="009D24B0"/>
    <w:rsid w:val="00A02D76"/>
    <w:rsid w:val="00A465F4"/>
    <w:rsid w:val="00A5345A"/>
    <w:rsid w:val="00A86A35"/>
    <w:rsid w:val="00AB4ADB"/>
    <w:rsid w:val="00AC5999"/>
    <w:rsid w:val="00B174A7"/>
    <w:rsid w:val="00B371F6"/>
    <w:rsid w:val="00B46C27"/>
    <w:rsid w:val="00B5539B"/>
    <w:rsid w:val="00BA70EF"/>
    <w:rsid w:val="00BD6B01"/>
    <w:rsid w:val="00BF2091"/>
    <w:rsid w:val="00C17CED"/>
    <w:rsid w:val="00C17F32"/>
    <w:rsid w:val="00C37B5E"/>
    <w:rsid w:val="00C41A62"/>
    <w:rsid w:val="00C631FB"/>
    <w:rsid w:val="00C640B1"/>
    <w:rsid w:val="00C76D1F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2059B"/>
    <w:rsid w:val="00F24E82"/>
    <w:rsid w:val="00F31027"/>
    <w:rsid w:val="00F34A17"/>
    <w:rsid w:val="00F362B4"/>
    <w:rsid w:val="00F42264"/>
    <w:rsid w:val="00F50D03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65F4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12333</TotalTime>
  <Pages>6</Pages>
  <Words>1831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Švub</dc:creator>
  <cp:keywords/>
  <dc:description/>
  <cp:lastModifiedBy>Radek Švub</cp:lastModifiedBy>
  <cp:revision>142</cp:revision>
  <dcterms:created xsi:type="dcterms:W3CDTF">2023-04-14T09:44:00Z</dcterms:created>
  <dcterms:modified xsi:type="dcterms:W3CDTF">2023-06-14T13:39:00Z</dcterms:modified>
</cp:coreProperties>
</file>