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89A" w:rsidP="0002489A" w:rsidRDefault="0002489A" w14:paraId="5C43E815" w14:textId="74051BA8">
      <w:pPr>
        <w:pStyle w:val="BpSTitle"/>
      </w:pPr>
      <w:r>
        <w:t>10350</w:t>
      </w:r>
    </w:p>
    <w:p w:rsidR="000549CE" w:rsidP="003355EB" w:rsidRDefault="000549CE" w14:paraId="65808765" w14:textId="60A4B193">
      <w:pPr>
        <w:rPr>
          <w:rFonts w:ascii="Arial" w:hAnsi="Arial" w:cs="Arial"/>
          <w:b/>
          <w:bCs/>
          <w:kern w:val="32"/>
          <w:sz w:val="28"/>
          <w:szCs w:val="32"/>
        </w:rPr>
      </w:pPr>
      <w:r w:rsidRPr="000549CE">
        <w:rPr>
          <w:rFonts w:ascii="Arial" w:hAnsi="Arial" w:cs="Arial"/>
          <w:b/>
          <w:bCs/>
          <w:kern w:val="32"/>
          <w:sz w:val="28"/>
          <w:szCs w:val="32"/>
        </w:rPr>
        <w:t>North Pacific Dry Douglas-fir(-Madrone) Forest and Woodland</w:t>
      </w:r>
      <w:r w:rsidR="003355EB">
        <w:rPr>
          <w:rFonts w:ascii="Arial" w:hAnsi="Arial" w:cs="Arial"/>
          <w:b/>
          <w:bCs/>
          <w:kern w:val="32"/>
          <w:sz w:val="28"/>
          <w:szCs w:val="32"/>
        </w:rPr>
        <w:tab/>
      </w:r>
    </w:p>
    <w:p w:rsidR="0002489A" w:rsidP="0002489A" w:rsidRDefault="0002489A" w14:paraId="7C758BD9" w14:textId="5FB12B49">
      <w:r>
        <w:t xmlns:w="http://schemas.openxmlformats.org/wordprocessingml/2006/main">BpS Model/Description Version: Aug. 2020</w:t>
      </w:r>
      <w:r>
        <w:tab/>
      </w:r>
      <w:r>
        <w:tab/>
      </w:r>
      <w:r>
        <w:tab/>
      </w:r>
      <w:r>
        <w:tab/>
      </w:r>
      <w:r>
        <w:tab/>
      </w:r>
      <w:r>
        <w:tab/>
      </w:r>
      <w:r>
        <w:tab/>
      </w:r>
    </w:p>
    <w:p w:rsidR="0002489A" w:rsidP="0002489A" w:rsidRDefault="0002489A" w14:paraId="4482F799"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2640"/>
        <w:gridCol w:w="2148"/>
        <w:gridCol w:w="2808"/>
      </w:tblGrid>
      <w:tr w:rsidRPr="0002489A" w:rsidR="0002489A" w:rsidTr="0002489A" w14:paraId="1D0CC23D" w14:textId="77777777">
        <w:tc>
          <w:tcPr>
            <w:tcW w:w="1752" w:type="dxa"/>
            <w:tcBorders>
              <w:top w:val="single" w:color="auto" w:sz="2" w:space="0"/>
              <w:left w:val="single" w:color="auto" w:sz="12" w:space="0"/>
              <w:bottom w:val="single" w:color="000000" w:sz="12" w:space="0"/>
            </w:tcBorders>
            <w:shd w:val="clear" w:color="auto" w:fill="auto"/>
          </w:tcPr>
          <w:p w:rsidRPr="0002489A" w:rsidR="0002489A" w:rsidP="009E3995" w:rsidRDefault="0002489A" w14:paraId="6F61747B" w14:textId="77777777">
            <w:pPr>
              <w:rPr>
                <w:b/>
                <w:bCs/>
              </w:rPr>
            </w:pPr>
            <w:r w:rsidRPr="0002489A">
              <w:rPr>
                <w:b/>
                <w:bCs/>
              </w:rPr>
              <w:t>Modelers</w:t>
            </w:r>
          </w:p>
        </w:tc>
        <w:tc>
          <w:tcPr>
            <w:tcW w:w="2640" w:type="dxa"/>
            <w:tcBorders>
              <w:top w:val="single" w:color="auto" w:sz="2" w:space="0"/>
              <w:bottom w:val="single" w:color="000000" w:sz="12" w:space="0"/>
              <w:right w:val="single" w:color="000000" w:sz="12" w:space="0"/>
            </w:tcBorders>
            <w:shd w:val="clear" w:color="auto" w:fill="auto"/>
          </w:tcPr>
          <w:p w:rsidRPr="0002489A" w:rsidR="0002489A" w:rsidP="009E3995" w:rsidRDefault="0002489A" w14:paraId="08BE92F7" w14:textId="77777777">
            <w:pPr>
              <w:rPr>
                <w:b/>
                <w:bCs/>
              </w:rPr>
            </w:pPr>
          </w:p>
        </w:tc>
        <w:tc>
          <w:tcPr>
            <w:tcW w:w="2148" w:type="dxa"/>
            <w:tcBorders>
              <w:top w:val="single" w:color="auto" w:sz="2" w:space="0"/>
              <w:left w:val="single" w:color="000000" w:sz="12" w:space="0"/>
              <w:bottom w:val="single" w:color="000000" w:sz="12" w:space="0"/>
            </w:tcBorders>
            <w:shd w:val="clear" w:color="auto" w:fill="auto"/>
          </w:tcPr>
          <w:p w:rsidRPr="0002489A" w:rsidR="0002489A" w:rsidP="009E3995" w:rsidRDefault="0002489A" w14:paraId="1218C003" w14:textId="77777777">
            <w:pPr>
              <w:rPr>
                <w:b/>
                <w:bCs/>
              </w:rPr>
            </w:pPr>
            <w:r w:rsidRPr="0002489A">
              <w:rPr>
                <w:b/>
                <w:bCs/>
              </w:rPr>
              <w:t>Reviewers</w:t>
            </w:r>
          </w:p>
        </w:tc>
        <w:tc>
          <w:tcPr>
            <w:tcW w:w="2808" w:type="dxa"/>
            <w:tcBorders>
              <w:top w:val="single" w:color="auto" w:sz="2" w:space="0"/>
              <w:bottom w:val="single" w:color="000000" w:sz="12" w:space="0"/>
            </w:tcBorders>
            <w:shd w:val="clear" w:color="auto" w:fill="auto"/>
          </w:tcPr>
          <w:p w:rsidRPr="0002489A" w:rsidR="0002489A" w:rsidP="009E3995" w:rsidRDefault="0002489A" w14:paraId="5A8AE1FE" w14:textId="77777777">
            <w:pPr>
              <w:rPr>
                <w:b/>
                <w:bCs/>
              </w:rPr>
            </w:pPr>
          </w:p>
        </w:tc>
      </w:tr>
      <w:tr w:rsidRPr="0002489A" w:rsidR="0002489A" w:rsidTr="0002489A" w14:paraId="601C92FB" w14:textId="77777777">
        <w:tc>
          <w:tcPr>
            <w:tcW w:w="1752" w:type="dxa"/>
            <w:tcBorders>
              <w:top w:val="single" w:color="000000" w:sz="12" w:space="0"/>
              <w:left w:val="single" w:color="auto" w:sz="12" w:space="0"/>
            </w:tcBorders>
            <w:shd w:val="clear" w:color="auto" w:fill="auto"/>
          </w:tcPr>
          <w:p w:rsidRPr="0002489A" w:rsidR="0002489A" w:rsidP="009E3995" w:rsidRDefault="0002489A" w14:paraId="0D846665" w14:textId="77777777">
            <w:pPr>
              <w:rPr>
                <w:bCs/>
              </w:rPr>
            </w:pPr>
            <w:r w:rsidRPr="0002489A">
              <w:rPr>
                <w:bCs/>
              </w:rPr>
              <w:t>Jane Kertis</w:t>
            </w:r>
          </w:p>
        </w:tc>
        <w:tc>
          <w:tcPr>
            <w:tcW w:w="2640" w:type="dxa"/>
            <w:tcBorders>
              <w:top w:val="single" w:color="000000" w:sz="12" w:space="0"/>
              <w:right w:val="single" w:color="000000" w:sz="12" w:space="0"/>
            </w:tcBorders>
            <w:shd w:val="clear" w:color="auto" w:fill="auto"/>
          </w:tcPr>
          <w:p w:rsidRPr="0002489A" w:rsidR="0002489A" w:rsidP="009E3995" w:rsidRDefault="0002489A" w14:paraId="2B58E811" w14:textId="77777777">
            <w:r w:rsidRPr="0002489A">
              <w:t>jkertis@fs.fed.us</w:t>
            </w:r>
          </w:p>
        </w:tc>
        <w:tc>
          <w:tcPr>
            <w:tcW w:w="2148" w:type="dxa"/>
            <w:tcBorders>
              <w:top w:val="single" w:color="000000" w:sz="12" w:space="0"/>
              <w:left w:val="single" w:color="000000" w:sz="12" w:space="0"/>
            </w:tcBorders>
            <w:shd w:val="clear" w:color="auto" w:fill="auto"/>
          </w:tcPr>
          <w:p w:rsidRPr="0002489A" w:rsidR="0002489A" w:rsidP="009E3995" w:rsidRDefault="0002489A" w14:paraId="0CCB9092" w14:textId="77777777">
            <w:r w:rsidRPr="0002489A">
              <w:t>Frank Price</w:t>
            </w:r>
          </w:p>
        </w:tc>
        <w:tc>
          <w:tcPr>
            <w:tcW w:w="2808" w:type="dxa"/>
            <w:tcBorders>
              <w:top w:val="single" w:color="000000" w:sz="12" w:space="0"/>
            </w:tcBorders>
            <w:shd w:val="clear" w:color="auto" w:fill="auto"/>
          </w:tcPr>
          <w:p w:rsidRPr="0002489A" w:rsidR="0002489A" w:rsidP="009E3995" w:rsidRDefault="0002489A" w14:paraId="7875F3F2" w14:textId="77777777">
            <w:r w:rsidRPr="0002489A">
              <w:t>Frank_Price@or.blm.gov</w:t>
            </w:r>
          </w:p>
        </w:tc>
      </w:tr>
      <w:tr w:rsidRPr="0002489A" w:rsidR="0002489A" w:rsidTr="0002489A" w14:paraId="2C4B18E7" w14:textId="77777777">
        <w:tc>
          <w:tcPr>
            <w:tcW w:w="1752" w:type="dxa"/>
            <w:tcBorders>
              <w:left w:val="single" w:color="auto" w:sz="12" w:space="0"/>
            </w:tcBorders>
            <w:shd w:val="clear" w:color="auto" w:fill="auto"/>
          </w:tcPr>
          <w:p w:rsidRPr="0002489A" w:rsidR="0002489A" w:rsidP="009E3995" w:rsidRDefault="0002489A" w14:paraId="433FA1FE" w14:textId="77777777">
            <w:pPr>
              <w:rPr>
                <w:bCs/>
              </w:rPr>
            </w:pPr>
            <w:r w:rsidRPr="0002489A">
              <w:rPr>
                <w:bCs/>
              </w:rPr>
              <w:t>Tom DeMeo</w:t>
            </w:r>
          </w:p>
        </w:tc>
        <w:tc>
          <w:tcPr>
            <w:tcW w:w="2640" w:type="dxa"/>
            <w:tcBorders>
              <w:right w:val="single" w:color="000000" w:sz="12" w:space="0"/>
            </w:tcBorders>
            <w:shd w:val="clear" w:color="auto" w:fill="auto"/>
          </w:tcPr>
          <w:p w:rsidRPr="0002489A" w:rsidR="0002489A" w:rsidP="009E3995" w:rsidRDefault="0002489A" w14:paraId="7B365BF2" w14:textId="77777777">
            <w:r w:rsidRPr="0002489A">
              <w:t>tdemeo@fs.fed.us</w:t>
            </w:r>
          </w:p>
        </w:tc>
        <w:tc>
          <w:tcPr>
            <w:tcW w:w="2148" w:type="dxa"/>
            <w:tcBorders>
              <w:left w:val="single" w:color="000000" w:sz="12" w:space="0"/>
            </w:tcBorders>
            <w:shd w:val="clear" w:color="auto" w:fill="auto"/>
          </w:tcPr>
          <w:p w:rsidRPr="0002489A" w:rsidR="0002489A" w:rsidP="009E3995" w:rsidRDefault="0002489A" w14:paraId="6F724879" w14:textId="77777777">
            <w:r w:rsidRPr="0002489A">
              <w:t>Bruce B. Hostetler</w:t>
            </w:r>
          </w:p>
        </w:tc>
        <w:tc>
          <w:tcPr>
            <w:tcW w:w="2808" w:type="dxa"/>
            <w:shd w:val="clear" w:color="auto" w:fill="auto"/>
          </w:tcPr>
          <w:p w:rsidRPr="0002489A" w:rsidR="0002489A" w:rsidP="009E3995" w:rsidRDefault="0002489A" w14:paraId="0E534A03" w14:textId="77777777">
            <w:r w:rsidRPr="0002489A">
              <w:t>bhostetler@fs.fed.us</w:t>
            </w:r>
          </w:p>
        </w:tc>
      </w:tr>
      <w:tr w:rsidRPr="0002489A" w:rsidR="0002489A" w:rsidTr="0002489A" w14:paraId="43C058EC" w14:textId="77777777">
        <w:tc>
          <w:tcPr>
            <w:tcW w:w="1752" w:type="dxa"/>
            <w:tcBorders>
              <w:left w:val="single" w:color="auto" w:sz="12" w:space="0"/>
              <w:bottom w:val="single" w:color="auto" w:sz="2" w:space="0"/>
            </w:tcBorders>
            <w:shd w:val="clear" w:color="auto" w:fill="auto"/>
          </w:tcPr>
          <w:p w:rsidRPr="0002489A" w:rsidR="0002489A" w:rsidP="009E3995" w:rsidRDefault="0002489A" w14:paraId="58071827" w14:textId="77777777">
            <w:pPr>
              <w:rPr>
                <w:bCs/>
              </w:rPr>
            </w:pPr>
            <w:r w:rsidRPr="0002489A">
              <w:rPr>
                <w:bCs/>
              </w:rPr>
              <w:t>Karen Kopper</w:t>
            </w:r>
          </w:p>
        </w:tc>
        <w:tc>
          <w:tcPr>
            <w:tcW w:w="2640" w:type="dxa"/>
            <w:tcBorders>
              <w:right w:val="single" w:color="000000" w:sz="12" w:space="0"/>
            </w:tcBorders>
            <w:shd w:val="clear" w:color="auto" w:fill="auto"/>
          </w:tcPr>
          <w:p w:rsidRPr="0002489A" w:rsidR="0002489A" w:rsidP="009E3995" w:rsidRDefault="0002489A" w14:paraId="23367FE3" w14:textId="77777777">
            <w:r w:rsidRPr="0002489A">
              <w:t>karen_kopper@nps.gov</w:t>
            </w:r>
          </w:p>
        </w:tc>
        <w:tc>
          <w:tcPr>
            <w:tcW w:w="2148" w:type="dxa"/>
            <w:tcBorders>
              <w:left w:val="single" w:color="000000" w:sz="12" w:space="0"/>
              <w:bottom w:val="single" w:color="auto" w:sz="2" w:space="0"/>
            </w:tcBorders>
            <w:shd w:val="clear" w:color="auto" w:fill="auto"/>
          </w:tcPr>
          <w:p w:rsidRPr="0002489A" w:rsidR="0002489A" w:rsidP="009E3995" w:rsidRDefault="0002489A" w14:paraId="7CD4FAA2" w14:textId="77777777">
            <w:r w:rsidRPr="0002489A">
              <w:t>Thomas Atzet</w:t>
            </w:r>
          </w:p>
        </w:tc>
        <w:tc>
          <w:tcPr>
            <w:tcW w:w="2808" w:type="dxa"/>
            <w:shd w:val="clear" w:color="auto" w:fill="auto"/>
          </w:tcPr>
          <w:p w:rsidRPr="0002489A" w:rsidR="0002489A" w:rsidP="009E3995" w:rsidRDefault="0002489A" w14:paraId="11A00A85" w14:textId="77777777">
            <w:r w:rsidRPr="0002489A">
              <w:t>jatzet@budget.net</w:t>
            </w:r>
          </w:p>
        </w:tc>
      </w:tr>
    </w:tbl>
    <w:p w:rsidR="0002489A" w:rsidP="0002489A" w:rsidRDefault="0002489A" w14:paraId="45202FF3" w14:textId="77777777"/>
    <w:p w:rsidR="00027A07" w:rsidP="0002489A" w:rsidRDefault="00027A07" w14:paraId="59B9BD37" w14:textId="506568FB">
      <w:pPr>
        <w:pStyle w:val="InfoPara"/>
      </w:pPr>
      <w:r>
        <w:t xml:space="preserve">Reviewer: </w:t>
      </w:r>
      <w:r w:rsidRPr="0053077D">
        <w:rPr>
          <w:b w:val="0"/>
        </w:rPr>
        <w:t>Miles Hemstrom, Pat Hochhalter, Jane Kertis, Amy Nathanson</w:t>
      </w:r>
    </w:p>
    <w:p w:rsidR="0002489A" w:rsidP="0002489A" w:rsidRDefault="0002489A" w14:paraId="7EDC4B6D" w14:textId="29165B4F">
      <w:pPr>
        <w:pStyle w:val="InfoPara"/>
      </w:pPr>
      <w:r>
        <w:t>Vegetation Type</w:t>
      </w:r>
    </w:p>
    <w:p w:rsidR="0002489A" w:rsidP="0002489A" w:rsidRDefault="0002489A" w14:paraId="64467FBE" w14:textId="77777777">
      <w:r>
        <w:t>Forest and Woodland</w:t>
      </w:r>
    </w:p>
    <w:p w:rsidR="0002489A" w:rsidP="0002489A" w:rsidRDefault="0002489A" w14:paraId="7F9F927B" w14:textId="77777777">
      <w:pPr>
        <w:pStyle w:val="InfoPara"/>
      </w:pPr>
      <w:r>
        <w:t>Map Zones</w:t>
      </w:r>
    </w:p>
    <w:p w:rsidR="0002489A" w:rsidP="0002489A" w:rsidRDefault="00E8108A" w14:paraId="27C37F8E" w14:textId="322833FD">
      <w:r>
        <w:t xml:space="preserve">1, </w:t>
      </w:r>
      <w:r w:rsidR="0002489A">
        <w:t>2</w:t>
      </w:r>
      <w:r w:rsidR="0008273B">
        <w:t>, 7</w:t>
      </w:r>
    </w:p>
    <w:p w:rsidR="0012420B" w:rsidP="0012420B" w:rsidRDefault="0012420B" w14:paraId="42C2F88A" w14:textId="7B311364">
      <w:pPr>
        <w:pStyle w:val="InfoPara"/>
      </w:pPr>
      <w:r>
        <w:t>Model Splits or Lumps</w:t>
      </w:r>
      <w:bookmarkStart w:name="_GoBack" w:id="0"/>
      <w:bookmarkEnd w:id="0"/>
    </w:p>
    <w:p w:rsidRPr="008C3080" w:rsidR="0012420B" w:rsidP="0012420B" w:rsidRDefault="0012420B" w14:paraId="4CC5A404" w14:textId="77777777">
      <w:pPr>
        <w:pStyle w:val="InfoPara"/>
        <w:rPr>
          <w:b w:val="0"/>
        </w:rPr>
      </w:pPr>
      <w:r>
        <w:rPr>
          <w:b w:val="0"/>
        </w:rPr>
        <w:t xml:space="preserve">This </w:t>
      </w:r>
      <w:r w:rsidRPr="0008273B">
        <w:rPr>
          <w:b w:val="0"/>
        </w:rPr>
        <w:t>Biophysical Setting (BpS)</w:t>
      </w:r>
      <w:r>
        <w:rPr>
          <w:b w:val="0"/>
        </w:rPr>
        <w:t xml:space="preserve"> is lumped into</w:t>
      </w:r>
      <w:r w:rsidRPr="0008273B">
        <w:rPr>
          <w:b w:val="0"/>
        </w:rPr>
        <w:t xml:space="preserve"> the Mediterranean California Dry-Mesic Mixed-Conifer Forest and Woodland (</w:t>
      </w:r>
      <w:r>
        <w:rPr>
          <w:b w:val="0"/>
        </w:rPr>
        <w:t>BpS 10270) in the Klamath ecoregion.</w:t>
      </w:r>
    </w:p>
    <w:p w:rsidR="0002489A" w:rsidP="0002489A" w:rsidRDefault="0002489A" w14:paraId="120142A1" w14:textId="77777777">
      <w:pPr>
        <w:pStyle w:val="InfoPara"/>
      </w:pPr>
      <w:r>
        <w:t>Geographic Range</w:t>
      </w:r>
    </w:p>
    <w:p w:rsidR="0002489A" w:rsidP="0002489A" w:rsidRDefault="0053077D" w14:paraId="5565DE5F" w14:textId="0D7700CB">
      <w:r>
        <w:t>The range of this BpS includes the</w:t>
      </w:r>
      <w:r w:rsidRPr="006D5CFA">
        <w:t xml:space="preserve"> Puget Lowland</w:t>
      </w:r>
      <w:r>
        <w:t>,</w:t>
      </w:r>
      <w:r w:rsidRPr="006D5CFA">
        <w:t xml:space="preserve"> Willamette Valley</w:t>
      </w:r>
      <w:r w:rsidR="00D765BE">
        <w:t>,</w:t>
      </w:r>
      <w:r w:rsidRPr="006D5CFA">
        <w:t xml:space="preserve"> and surrounding ecoregions</w:t>
      </w:r>
      <w:r>
        <w:t xml:space="preserve">. </w:t>
      </w:r>
      <w:r w:rsidR="0002489A">
        <w:t>Th</w:t>
      </w:r>
      <w:r>
        <w:t>e</w:t>
      </w:r>
      <w:r w:rsidR="0002489A">
        <w:t xml:space="preserve"> </w:t>
      </w:r>
      <w:r>
        <w:t xml:space="preserve">primary distribution is </w:t>
      </w:r>
      <w:r w:rsidR="0002489A">
        <w:t>in the foothills around the rim of the Willamette Valley, Oregon</w:t>
      </w:r>
      <w:r w:rsidR="00586B93">
        <w:t xml:space="preserve">, including parts of the </w:t>
      </w:r>
      <w:r w:rsidR="00D765BE">
        <w:t>v</w:t>
      </w:r>
      <w:r w:rsidR="00586B93">
        <w:t xml:space="preserve">alley in map zones </w:t>
      </w:r>
      <w:r w:rsidR="00E866E9">
        <w:t xml:space="preserve">(MZ) </w:t>
      </w:r>
      <w:r w:rsidR="00586B93">
        <w:t>2 and 7</w:t>
      </w:r>
      <w:r w:rsidR="0002489A">
        <w:t>. It is more abundant at the south</w:t>
      </w:r>
      <w:r w:rsidR="00D765BE">
        <w:t>ern</w:t>
      </w:r>
      <w:r w:rsidR="0002489A">
        <w:t xml:space="preserve"> end of the valley.</w:t>
      </w:r>
      <w:r w:rsidR="00641DED">
        <w:t xml:space="preserve"> A</w:t>
      </w:r>
      <w:r w:rsidR="00D765BE">
        <w:t>n</w:t>
      </w:r>
      <w:r w:rsidR="00641DED">
        <w:t xml:space="preserve"> </w:t>
      </w:r>
      <w:r w:rsidR="003212A5">
        <w:t>MZ</w:t>
      </w:r>
      <w:r w:rsidR="00E866E9">
        <w:t xml:space="preserve"> </w:t>
      </w:r>
      <w:r w:rsidR="003212A5">
        <w:t xml:space="preserve">1 </w:t>
      </w:r>
      <w:r w:rsidR="00641DED">
        <w:t>reviewer suggests that this type is much like the valley aprons around the rogue valleys</w:t>
      </w:r>
      <w:r w:rsidR="00D765BE">
        <w:t>,</w:t>
      </w:r>
      <w:r w:rsidR="00641DED">
        <w:t xml:space="preserve"> too, but is decidedly wetter as far as rainfall and species composition.</w:t>
      </w:r>
      <w:r w:rsidR="00586B93">
        <w:t xml:space="preserve"> (Note that this BpS in the Rogue Valley is covered by a different model</w:t>
      </w:r>
      <w:r w:rsidR="00D765BE">
        <w:t>.)</w:t>
      </w:r>
    </w:p>
    <w:p w:rsidR="0002489A" w:rsidP="0002489A" w:rsidRDefault="0002489A" w14:paraId="4010D215" w14:textId="77777777">
      <w:pPr>
        <w:pStyle w:val="InfoPara"/>
      </w:pPr>
      <w:r>
        <w:t>Biophysical Site Description</w:t>
      </w:r>
    </w:p>
    <w:p w:rsidR="0002489A" w:rsidP="0002489A" w:rsidRDefault="0002489A" w14:paraId="605834DC" w14:textId="2E510BCF">
      <w:r>
        <w:t xml:space="preserve">The type occurs in the lower hills of both the Coast </w:t>
      </w:r>
      <w:r w:rsidR="00D765BE">
        <w:t>R</w:t>
      </w:r>
      <w:r>
        <w:t>ange and Cascades. Pre</w:t>
      </w:r>
      <w:r w:rsidR="001A166B">
        <w:t>cipitation averages 50-55in/</w:t>
      </w:r>
      <w:r>
        <w:t>yr. Elevation 1</w:t>
      </w:r>
      <w:r w:rsidR="00A91BB3">
        <w:t>,</w:t>
      </w:r>
      <w:r>
        <w:t>000-1</w:t>
      </w:r>
      <w:r w:rsidR="00A91BB3">
        <w:t>,</w:t>
      </w:r>
      <w:r>
        <w:t>800ft.</w:t>
      </w:r>
    </w:p>
    <w:p w:rsidR="0002489A" w:rsidP="0002489A" w:rsidRDefault="0002489A" w14:paraId="32F0D5D5" w14:textId="77777777">
      <w:pPr>
        <w:pStyle w:val="InfoPara"/>
      </w:pPr>
      <w:r>
        <w:t>Vegetation Description</w:t>
      </w:r>
    </w:p>
    <w:p w:rsidR="0002489A" w:rsidP="0002489A" w:rsidRDefault="0002489A" w14:paraId="5C481429" w14:textId="63F8C164">
      <w:r>
        <w:t>These types commonly include Douglas-fir with grand fir, particularly in later seral stages. Willamette Valley grasses may be present in the post-replacement and open classes. Dry</w:t>
      </w:r>
      <w:r w:rsidR="003355EB">
        <w:t xml:space="preserve"> and southern</w:t>
      </w:r>
      <w:r>
        <w:t xml:space="preserve"> si</w:t>
      </w:r>
      <w:r w:rsidR="001A166B">
        <w:t xml:space="preserve">tes may contain </w:t>
      </w:r>
      <w:r w:rsidR="00D765BE">
        <w:t>i</w:t>
      </w:r>
      <w:r w:rsidR="001A166B">
        <w:t xml:space="preserve">ncense-cedar. </w:t>
      </w:r>
      <w:r w:rsidR="003355EB">
        <w:t>Incense</w:t>
      </w:r>
      <w:r w:rsidR="00D765BE">
        <w:t>-</w:t>
      </w:r>
      <w:r w:rsidR="003355EB">
        <w:t>cedar not found in the northern part of the range of this BpS. Western red cedar occurs in the northern portion of this BpS.</w:t>
      </w:r>
    </w:p>
    <w:p w:rsidR="0002489A" w:rsidP="0002489A" w:rsidRDefault="0002489A" w14:paraId="543A432F" w14:textId="77777777"/>
    <w:p w:rsidR="0002489A" w:rsidP="0002489A" w:rsidRDefault="0002489A" w14:paraId="06C239D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grandis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Grand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CADE27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Calocedrus decurrens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Incense cedar</w:t>
            </w:r>
          </w:p>
        </w:tc>
      </w:tr>
    </w:tbl>
    <w:p>
      <w:r>
        <w:rPr>
          <w:sz w:val="16"/>
        </w:rPr>
        <w:t>Species names are from the NRCS PLANTS database. Check species codes at http://plants.usda.gov.</w:t>
      </w:r>
    </w:p>
    <w:p w:rsidR="0002489A" w:rsidP="0002489A" w:rsidRDefault="0002489A" w14:paraId="02026BEC" w14:textId="5D873F8B">
      <w:pPr>
        <w:pStyle w:val="InfoPara"/>
      </w:pPr>
      <w:r>
        <w:t>Disturbance Description</w:t>
      </w:r>
    </w:p>
    <w:p w:rsidR="0002489A" w:rsidP="0002489A" w:rsidRDefault="001A166B" w14:paraId="31F2E426" w14:textId="59200141">
      <w:r>
        <w:lastRenderedPageBreak/>
        <w:t xml:space="preserve">Fire Regime III overall, mix of III and I. </w:t>
      </w:r>
      <w:r w:rsidR="0002489A">
        <w:t>Burns more frequently than</w:t>
      </w:r>
      <w:r w:rsidR="00C8149B">
        <w:t xml:space="preserve"> the North Pacific Maritime Dry-Mesic</w:t>
      </w:r>
      <w:r w:rsidR="0002489A">
        <w:t xml:space="preserve"> Douglas-</w:t>
      </w:r>
      <w:r w:rsidR="00D765BE">
        <w:t>F</w:t>
      </w:r>
      <w:r w:rsidR="0002489A">
        <w:t>ir-</w:t>
      </w:r>
      <w:r w:rsidR="00C8149B">
        <w:t xml:space="preserve">Western </w:t>
      </w:r>
      <w:r w:rsidR="0002489A">
        <w:t>Hemlock</w:t>
      </w:r>
      <w:r w:rsidR="00C8149B">
        <w:t xml:space="preserve"> Forest BpS</w:t>
      </w:r>
      <w:r w:rsidR="0002489A">
        <w:t>. Since the type spans between the frequent fires of the Willamette Valley grasslands and forested hills, the range of fire return is wide.</w:t>
      </w:r>
    </w:p>
    <w:p w:rsidR="0002489A" w:rsidP="0002489A" w:rsidRDefault="0002489A" w14:paraId="4E274E1D" w14:textId="77777777"/>
    <w:p w:rsidR="0002489A" w:rsidP="0002489A" w:rsidRDefault="0002489A" w14:paraId="54EC83E1" w14:textId="263BFC15">
      <w:r>
        <w:t>Native American burning may have increased the frequency of fire in certain locations, especially at lower elevations where the gr</w:t>
      </w:r>
      <w:r w:rsidR="001A166B">
        <w:t xml:space="preserve">asslands fire regime impinges. </w:t>
      </w:r>
      <w:r>
        <w:t>In areas where Native American burning may have increased fire frequency, the Dry Douglas-</w:t>
      </w:r>
      <w:r w:rsidR="00D765BE">
        <w:t>F</w:t>
      </w:r>
      <w:r>
        <w:t xml:space="preserve">ir Woodland </w:t>
      </w:r>
      <w:r w:rsidR="001A166B">
        <w:t>BpS</w:t>
      </w:r>
      <w:r>
        <w:t xml:space="preserve"> took on savanna-like conditions wi</w:t>
      </w:r>
      <w:r w:rsidR="001A166B">
        <w:t xml:space="preserve">th widely spaced Douglas-firs. </w:t>
      </w:r>
      <w:r>
        <w:t xml:space="preserve">These trees have a very coarse appearance, with very large limbs, in some cases persisting down nearly to the ground.  </w:t>
      </w:r>
    </w:p>
    <w:p w:rsidR="0002489A" w:rsidP="0002489A" w:rsidRDefault="0002489A" w14:paraId="108C244F" w14:textId="77777777"/>
    <w:p w:rsidR="0002489A" w:rsidP="0002489A" w:rsidRDefault="0002489A" w14:paraId="6B59AECF" w14:textId="33D6CA3A">
      <w:r>
        <w:t>The large persistent limbs on individual trees, along with proximity of the Douglas-fir savannas to oak savannas in near-valley locations, suggest a subset of the North Pacific Dry Douglas-</w:t>
      </w:r>
      <w:r w:rsidR="00D765BE">
        <w:t>F</w:t>
      </w:r>
      <w:r>
        <w:t>ir Forest and Woodland may have been subject to Fire Regime I conditions prior to cessation of Native American burning.</w:t>
      </w:r>
    </w:p>
    <w:p w:rsidR="0002489A" w:rsidP="0002489A" w:rsidRDefault="001A166B" w14:paraId="6A94194F" w14:textId="16B311FB">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370</w:t>
            </w:r>
          </w:p>
        </w:tc>
        <w:tc>
          <w:p>
            <w:pPr>
              <w:jc w:val="center"/>
            </w:pPr>
            <w:r>
              <w:t>10</w:t>
            </w:r>
          </w:p>
        </w:tc>
        <w:tc>
          <w:p>
            <w:pPr>
              <w:jc w:val="center"/>
            </w:pPr>
            <w:r>
              <w:t>100</w:t>
            </w:r>
          </w:p>
        </w:tc>
        <w:tc>
          <w:p>
            <w:pPr>
              <w:jc w:val="center"/>
            </w:pPr>
            <w:r>
              <w:t>400</w:t>
            </w:r>
          </w:p>
        </w:tc>
      </w:tr>
      <w:tr>
        <w:tc>
          <w:p>
            <w:pPr>
              <w:jc w:val="center"/>
            </w:pPr>
            <w:r>
              <w:t>Moderate (Mixed)</w:t>
            </w:r>
          </w:p>
        </w:tc>
        <w:tc>
          <w:p>
            <w:pPr>
              <w:jc w:val="center"/>
            </w:pPr>
            <w:r>
              <w:t>71</w:t>
            </w:r>
          </w:p>
        </w:tc>
        <w:tc>
          <w:p>
            <w:pPr>
              <w:jc w:val="center"/>
            </w:pPr>
            <w:r>
              <w:t>50</w:t>
            </w:r>
          </w:p>
        </w:tc>
        <w:tc>
          <w:p>
            <w:pPr>
              <w:jc w:val="center"/>
            </w:pPr>
            <w:r>
              <w:t>40</w:t>
            </w:r>
          </w:p>
        </w:tc>
        <w:tc>
          <w:p>
            <w:pPr>
              <w:jc w:val="center"/>
            </w:pPr>
            <w:r>
              <w:t>150</w:t>
            </w:r>
          </w:p>
        </w:tc>
      </w:tr>
      <w:tr>
        <w:tc>
          <w:p>
            <w:pPr>
              <w:jc w:val="center"/>
            </w:pPr>
            <w:r>
              <w:t>Low (Surface)</w:t>
            </w:r>
          </w:p>
        </w:tc>
        <w:tc>
          <w:p>
            <w:pPr>
              <w:jc w:val="center"/>
            </w:pPr>
            <w:r>
              <w:t>91</w:t>
            </w:r>
          </w:p>
        </w:tc>
        <w:tc>
          <w:p>
            <w:pPr>
              <w:jc w:val="center"/>
            </w:pPr>
            <w:r>
              <w:t>40</w:t>
            </w:r>
          </w:p>
        </w:tc>
        <w:tc>
          <w:p>
            <w:pPr>
              <w:jc w:val="center"/>
            </w:pPr>
            <w:r>
              <w:t/>
            </w:r>
          </w:p>
        </w:tc>
        <w:tc>
          <w:p>
            <w:pPr>
              <w:jc w:val="center"/>
            </w:pPr>
            <w:r>
              <w:t/>
            </w:r>
          </w:p>
        </w:tc>
      </w:tr>
      <w:tr>
        <w:tc>
          <w:p>
            <w:pPr>
              <w:jc w:val="center"/>
            </w:pPr>
            <w:r>
              <w:t>All Fires</w:t>
            </w:r>
          </w:p>
        </w:tc>
        <w:tc>
          <w:p>
            <w:pPr>
              <w:jc w:val="center"/>
            </w:pPr>
            <w:r>
              <w:t>36</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2489A" w:rsidP="0002489A" w:rsidRDefault="0002489A" w14:paraId="4A4F1420" w14:textId="77777777">
      <w:pPr>
        <w:pStyle w:val="InfoPara"/>
      </w:pPr>
      <w:r>
        <w:t>Scale Description</w:t>
      </w:r>
    </w:p>
    <w:p w:rsidR="0002489A" w:rsidP="0002489A" w:rsidRDefault="0002489A" w14:paraId="56C3EFAF" w14:textId="77777777">
      <w:r>
        <w:t>This type occurs in relatively small patches at low abundance.</w:t>
      </w:r>
    </w:p>
    <w:p w:rsidR="0002489A" w:rsidP="0002489A" w:rsidRDefault="0002489A" w14:paraId="2938C3C1" w14:textId="77777777">
      <w:pPr>
        <w:pStyle w:val="InfoPara"/>
      </w:pPr>
      <w:r>
        <w:t>Adjacency or Identification Concerns</w:t>
      </w:r>
    </w:p>
    <w:p w:rsidRPr="00C03E46" w:rsidR="00C03E46" w:rsidP="0002489A" w:rsidRDefault="0002489A" w14:paraId="7870803F" w14:textId="77777777">
      <w:pPr>
        <w:pStyle w:val="InfoPara"/>
        <w:rPr>
          <w:b w:val="0"/>
        </w:rPr>
      </w:pPr>
      <w:r w:rsidRPr="00C03E46">
        <w:rPr>
          <w:b w:val="0"/>
        </w:rPr>
        <w:t>This BpS is affected by fires from the adjacent oak woodland. It burns more frequently than the Douglas-fir-Hemlock type in the foothills.</w:t>
      </w:r>
    </w:p>
    <w:p w:rsidR="0002489A" w:rsidP="0002489A" w:rsidRDefault="0002489A" w14:paraId="6F382D68" w14:textId="7368040E">
      <w:pPr>
        <w:pStyle w:val="InfoPara"/>
      </w:pPr>
      <w:r>
        <w:t>Issues or Problems</w:t>
      </w:r>
    </w:p>
    <w:p w:rsidR="00586B93" w:rsidP="00586B93" w:rsidRDefault="00586B93" w14:paraId="4EEE2EC2" w14:textId="5218D47B">
      <w:r>
        <w:t>This BpS represents dry Douglas-fir forests. Madrone is not an indicator species for this BpS. We suggest that the name be changed to North Pacific Dry Douglas-</w:t>
      </w:r>
      <w:r w:rsidR="00D765BE">
        <w:t>F</w:t>
      </w:r>
      <w:r>
        <w:t xml:space="preserve">ir Forest.  </w:t>
      </w:r>
    </w:p>
    <w:p w:rsidR="0002489A" w:rsidP="0002489A" w:rsidRDefault="0002489A" w14:paraId="5932D1B0" w14:textId="77777777"/>
    <w:p w:rsidR="0002489A" w:rsidP="0002489A" w:rsidRDefault="0002489A" w14:paraId="0DA334B7" w14:textId="77777777">
      <w:pPr>
        <w:pStyle w:val="InfoPara"/>
      </w:pPr>
      <w:r>
        <w:t>Native Uncharacteristic Conditions</w:t>
      </w:r>
    </w:p>
    <w:p w:rsidR="0002489A" w:rsidP="0002489A" w:rsidRDefault="0002489A" w14:paraId="492A19E9" w14:textId="77777777"/>
    <w:p w:rsidR="0002489A" w:rsidP="0002489A" w:rsidRDefault="0002489A" w14:paraId="6F30D9C8" w14:textId="77777777">
      <w:pPr>
        <w:pStyle w:val="InfoPara"/>
      </w:pPr>
      <w:r>
        <w:t>Comments</w:t>
      </w:r>
    </w:p>
    <w:p w:rsidR="00C8149B" w:rsidP="00C8149B" w:rsidRDefault="00C8149B" w14:paraId="5E60932B" w14:textId="5B25E686">
      <w:r>
        <w:t>Miles Hemstrom, Pat Hochhalter, Jane Kertis</w:t>
      </w:r>
      <w:r w:rsidR="00D765BE">
        <w:t>,</w:t>
      </w:r>
      <w:r>
        <w:t xml:space="preserve"> and Amy Nathanson refined this model during the 2016 review period</w:t>
      </w:r>
      <w:r w:rsidRPr="002F1AFE">
        <w:t xml:space="preserve">. Changes include: </w:t>
      </w:r>
      <w:r w:rsidRPr="002F1AFE" w:rsidR="002F1AFE">
        <w:t xml:space="preserve">adjusting the geographic range to more clearly define the area to which this model applies and other </w:t>
      </w:r>
      <w:r w:rsidRPr="002F1AFE">
        <w:t xml:space="preserve">minor </w:t>
      </w:r>
      <w:r w:rsidRPr="002F1AFE" w:rsidR="002F1AFE">
        <w:t>revisions</w:t>
      </w:r>
      <w:r w:rsidRPr="002F1AFE">
        <w:t xml:space="preserve"> to the description</w:t>
      </w:r>
      <w:r w:rsidRPr="002F1AFE" w:rsidR="002F1AFE">
        <w:t>.</w:t>
      </w:r>
    </w:p>
    <w:p w:rsidR="00CB5625" w:rsidP="0002489A" w:rsidRDefault="00CB5625" w14:paraId="1F180F56" w14:textId="77777777"/>
    <w:p w:rsidR="0002489A" w:rsidP="0002489A" w:rsidRDefault="0002489A" w14:paraId="401FBB34" w14:textId="669CC20C">
      <w:r>
        <w:t xml:space="preserve">This BpS was influenced from the </w:t>
      </w:r>
      <w:r w:rsidR="001A166B">
        <w:t xml:space="preserve">R#DFWV Rapid Assessment model. </w:t>
      </w:r>
      <w:r>
        <w:t>Reviewers of that Rapid Assessment model thought that its fire frequency (all fire</w:t>
      </w:r>
      <w:r w:rsidR="00D765BE">
        <w:t xml:space="preserve"> </w:t>
      </w:r>
      <w:r>
        <w:t>=</w:t>
      </w:r>
      <w:r w:rsidR="00D765BE">
        <w:t xml:space="preserve"> </w:t>
      </w:r>
      <w:r>
        <w:t>26) was too high. The current model allows for less fire t</w:t>
      </w:r>
      <w:r w:rsidR="001A166B">
        <w:t xml:space="preserve">han the RA model. </w:t>
      </w:r>
      <w:r>
        <w:t xml:space="preserve">One thesis showed </w:t>
      </w:r>
      <w:r w:rsidR="00D765BE">
        <w:t>mean fire return internal (</w:t>
      </w:r>
      <w:r>
        <w:t>MFRI</w:t>
      </w:r>
      <w:r w:rsidR="00D765BE">
        <w:t xml:space="preserve">) </w:t>
      </w:r>
      <w:r>
        <w:t xml:space="preserve">= 28yrs (cross-dated) in the southern Willamette Valley foothills, while another showed 50-60yrs </w:t>
      </w:r>
      <w:r>
        <w:lastRenderedPageBreak/>
        <w:t>in the Coburg Hills (not cross-dated). The cross-dated fire history informed this model</w:t>
      </w:r>
      <w:r w:rsidR="00D765BE">
        <w:t xml:space="preserve"> (021035)</w:t>
      </w:r>
      <w:r>
        <w:t xml:space="preserve"> and may reflect the detection of lower</w:t>
      </w:r>
      <w:r w:rsidR="00D765BE">
        <w:t>-</w:t>
      </w:r>
      <w:r>
        <w:t>severity fires than those that non-cross-dated results may show. Due to comments from reviewers</w:t>
      </w:r>
      <w:r w:rsidR="00D765BE">
        <w:t>,</w:t>
      </w:r>
      <w:r>
        <w:t xml:space="preserve"> fir </w:t>
      </w:r>
      <w:r w:rsidR="001A166B">
        <w:t xml:space="preserve">beetle was added to the model. </w:t>
      </w:r>
      <w:r>
        <w:t>Also, reviewers felt that wind storms may be significant enough to be worth modeling.</w:t>
      </w:r>
    </w:p>
    <w:p w:rsidR="00CA3D76" w:rsidP="0002489A" w:rsidRDefault="00CA3D76" w14:paraId="2E85297D" w14:textId="77777777"/>
    <w:p w:rsidR="0002489A" w:rsidP="0002489A" w:rsidRDefault="0002489A" w14:paraId="36BA1E69" w14:textId="77777777">
      <w:pPr>
        <w:pStyle w:val="ReportSection"/>
      </w:pPr>
      <w:r>
        <w:t>Succession Classes</w:t>
      </w:r>
    </w:p>
    <w:p w:rsidR="0002489A" w:rsidP="0002489A" w:rsidRDefault="0002489A" w14:paraId="1D2D686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2489A" w:rsidP="0002489A" w:rsidRDefault="0002489A" w14:paraId="720C05F8" w14:textId="77777777">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2489A" w:rsidP="0002489A" w:rsidRDefault="0002489A" w14:paraId="1AF2D026" w14:textId="77777777"/>
    <w:p w:rsidR="0002489A" w:rsidP="0002489A" w:rsidRDefault="0002489A" w14:paraId="702814A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02489A" w:rsidR="0002489A" w:rsidTr="0002489A" w14:paraId="0C16BAAA" w14:textId="77777777">
        <w:tc>
          <w:tcPr>
            <w:tcW w:w="1056" w:type="dxa"/>
            <w:tcBorders>
              <w:top w:val="single" w:color="auto" w:sz="2" w:space="0"/>
              <w:bottom w:val="single" w:color="000000" w:sz="12" w:space="0"/>
            </w:tcBorders>
            <w:shd w:val="clear" w:color="auto" w:fill="auto"/>
          </w:tcPr>
          <w:p w:rsidRPr="0002489A" w:rsidR="0002489A" w:rsidP="00D55E0C" w:rsidRDefault="0002489A" w14:paraId="4CAE06A4" w14:textId="77777777">
            <w:pPr>
              <w:rPr>
                <w:b/>
                <w:bCs/>
              </w:rPr>
            </w:pPr>
            <w:r w:rsidRPr="0002489A">
              <w:rPr>
                <w:b/>
                <w:bCs/>
              </w:rPr>
              <w:t>Symbol</w:t>
            </w:r>
          </w:p>
        </w:tc>
        <w:tc>
          <w:tcPr>
            <w:tcW w:w="2556" w:type="dxa"/>
            <w:tcBorders>
              <w:top w:val="single" w:color="auto" w:sz="2" w:space="0"/>
              <w:bottom w:val="single" w:color="000000" w:sz="12" w:space="0"/>
            </w:tcBorders>
            <w:shd w:val="clear" w:color="auto" w:fill="auto"/>
          </w:tcPr>
          <w:p w:rsidRPr="0002489A" w:rsidR="0002489A" w:rsidP="00D55E0C" w:rsidRDefault="0002489A" w14:paraId="4B419AAB" w14:textId="77777777">
            <w:pPr>
              <w:rPr>
                <w:b/>
                <w:bCs/>
              </w:rPr>
            </w:pPr>
            <w:r w:rsidRPr="0002489A">
              <w:rPr>
                <w:b/>
                <w:bCs/>
              </w:rPr>
              <w:t>Scientific Name</w:t>
            </w:r>
          </w:p>
        </w:tc>
        <w:tc>
          <w:tcPr>
            <w:tcW w:w="1860" w:type="dxa"/>
            <w:tcBorders>
              <w:top w:val="single" w:color="auto" w:sz="2" w:space="0"/>
              <w:bottom w:val="single" w:color="000000" w:sz="12" w:space="0"/>
            </w:tcBorders>
            <w:shd w:val="clear" w:color="auto" w:fill="auto"/>
          </w:tcPr>
          <w:p w:rsidRPr="0002489A" w:rsidR="0002489A" w:rsidP="00D55E0C" w:rsidRDefault="0002489A" w14:paraId="2ED76AD6" w14:textId="77777777">
            <w:pPr>
              <w:rPr>
                <w:b/>
                <w:bCs/>
              </w:rPr>
            </w:pPr>
            <w:r w:rsidRPr="0002489A">
              <w:rPr>
                <w:b/>
                <w:bCs/>
              </w:rPr>
              <w:t>Common Name</w:t>
            </w:r>
          </w:p>
        </w:tc>
        <w:tc>
          <w:tcPr>
            <w:tcW w:w="1956" w:type="dxa"/>
            <w:tcBorders>
              <w:top w:val="single" w:color="auto" w:sz="2" w:space="0"/>
              <w:bottom w:val="single" w:color="000000" w:sz="12" w:space="0"/>
            </w:tcBorders>
            <w:shd w:val="clear" w:color="auto" w:fill="auto"/>
          </w:tcPr>
          <w:p w:rsidRPr="0002489A" w:rsidR="0002489A" w:rsidP="00D55E0C" w:rsidRDefault="0002489A" w14:paraId="192A6FFB" w14:textId="77777777">
            <w:pPr>
              <w:rPr>
                <w:b/>
                <w:bCs/>
              </w:rPr>
            </w:pPr>
            <w:r w:rsidRPr="0002489A">
              <w:rPr>
                <w:b/>
                <w:bCs/>
              </w:rPr>
              <w:t>Canopy Position</w:t>
            </w:r>
          </w:p>
        </w:tc>
      </w:tr>
      <w:tr w:rsidRPr="0002489A" w:rsidR="0002489A" w:rsidTr="0002489A" w14:paraId="2701D0BE" w14:textId="77777777">
        <w:tc>
          <w:tcPr>
            <w:tcW w:w="1056" w:type="dxa"/>
            <w:tcBorders>
              <w:top w:val="single" w:color="000000" w:sz="12" w:space="0"/>
            </w:tcBorders>
            <w:shd w:val="clear" w:color="auto" w:fill="auto"/>
          </w:tcPr>
          <w:p w:rsidRPr="0002489A" w:rsidR="0002489A" w:rsidP="00D55E0C" w:rsidRDefault="0002489A" w14:paraId="5F03D45D" w14:textId="77777777">
            <w:pPr>
              <w:rPr>
                <w:bCs/>
              </w:rPr>
            </w:pPr>
            <w:r w:rsidRPr="0002489A">
              <w:rPr>
                <w:bCs/>
              </w:rPr>
              <w:t>PSME</w:t>
            </w:r>
          </w:p>
        </w:tc>
        <w:tc>
          <w:tcPr>
            <w:tcW w:w="2556" w:type="dxa"/>
            <w:tcBorders>
              <w:top w:val="single" w:color="000000" w:sz="12" w:space="0"/>
            </w:tcBorders>
            <w:shd w:val="clear" w:color="auto" w:fill="auto"/>
          </w:tcPr>
          <w:p w:rsidRPr="0002489A" w:rsidR="0002489A" w:rsidP="00D55E0C" w:rsidRDefault="0002489A" w14:paraId="30F6CE00" w14:textId="77777777">
            <w:r w:rsidRPr="0002489A">
              <w:t>Pseudotsuga menziesii</w:t>
            </w:r>
          </w:p>
        </w:tc>
        <w:tc>
          <w:tcPr>
            <w:tcW w:w="1860" w:type="dxa"/>
            <w:tcBorders>
              <w:top w:val="single" w:color="000000" w:sz="12" w:space="0"/>
            </w:tcBorders>
            <w:shd w:val="clear" w:color="auto" w:fill="auto"/>
          </w:tcPr>
          <w:p w:rsidRPr="0002489A" w:rsidR="0002489A" w:rsidP="00D55E0C" w:rsidRDefault="0002489A" w14:paraId="0749A427" w14:textId="77777777">
            <w:r w:rsidRPr="0002489A">
              <w:t>Douglas-fir</w:t>
            </w:r>
          </w:p>
        </w:tc>
        <w:tc>
          <w:tcPr>
            <w:tcW w:w="1956" w:type="dxa"/>
            <w:tcBorders>
              <w:top w:val="single" w:color="000000" w:sz="12" w:space="0"/>
            </w:tcBorders>
            <w:shd w:val="clear" w:color="auto" w:fill="auto"/>
          </w:tcPr>
          <w:p w:rsidRPr="0002489A" w:rsidR="0002489A" w:rsidP="00D55E0C" w:rsidRDefault="0002489A" w14:paraId="2F2B30F4" w14:textId="77777777">
            <w:r w:rsidRPr="0002489A">
              <w:t>Upper</w:t>
            </w:r>
          </w:p>
        </w:tc>
      </w:tr>
    </w:tbl>
    <w:p w:rsidR="0002489A" w:rsidP="0002489A" w:rsidRDefault="0002489A" w14:paraId="0BB1C32C" w14:textId="77777777"/>
    <w:p w:rsidR="0002489A" w:rsidP="0002489A" w:rsidRDefault="0002489A" w14:paraId="3D9920AA" w14:textId="77777777">
      <w:pPr>
        <w:pStyle w:val="SClassInfoPara"/>
      </w:pPr>
      <w:r>
        <w:t>Description</w:t>
      </w:r>
    </w:p>
    <w:p w:rsidR="0002489A" w:rsidP="0002489A" w:rsidRDefault="0002489A" w14:paraId="3686DDA5" w14:textId="023A94B2">
      <w:r>
        <w:t xml:space="preserve">Grasses, forbs, and seedling to pole-sized Douglas-fir. Seedlings average &lt;1in </w:t>
      </w:r>
      <w:r w:rsidR="006D5CFA">
        <w:t>DBH</w:t>
      </w:r>
      <w:r w:rsidR="0057109A">
        <w:t xml:space="preserve"> and &lt;5m </w:t>
      </w:r>
      <w:r>
        <w:t xml:space="preserve">height, and pole trees average 5in </w:t>
      </w:r>
      <w:r w:rsidR="006D5CFA">
        <w:t xml:space="preserve">DBH </w:t>
      </w:r>
      <w:r>
        <w:t>and 13m height.</w:t>
      </w:r>
    </w:p>
    <w:p w:rsidR="0002489A" w:rsidP="0002489A" w:rsidRDefault="0002489A" w14:paraId="01E2BA2F" w14:textId="77777777"/>
    <w:p>
      <w:r>
        <w:rPr>
          <w:i/>
          <w:u w:val="single"/>
        </w:rPr>
        <w:t>Maximum Tree Size Class</w:t>
      </w:r>
      <w:br/>
      <w:r>
        <w:t>Sapling &gt;4.5ft; &lt;5" DBH</w:t>
      </w:r>
    </w:p>
    <w:p w:rsidR="0002489A" w:rsidP="0002489A" w:rsidRDefault="0002489A" w14:paraId="720D3E7D" w14:textId="77777777">
      <w:pPr>
        <w:pStyle w:val="InfoPara"/>
        <w:pBdr>
          <w:top w:val="single" w:color="auto" w:sz="4" w:space="1"/>
        </w:pBdr>
      </w:pPr>
      <w:r xmlns:w="http://schemas.openxmlformats.org/wordprocessingml/2006/main">
        <w:t>Class B</w:t>
      </w:r>
      <w:r xmlns:w="http://schemas.openxmlformats.org/wordprocessingml/2006/main">
        <w:tab/>
        <w:t>10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2489A" w:rsidP="0002489A" w:rsidRDefault="0002489A" w14:paraId="52422058" w14:textId="77777777"/>
    <w:p w:rsidR="0002489A" w:rsidP="0002489A" w:rsidRDefault="0002489A" w14:paraId="4DDFACC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0"/>
        <w:gridCol w:w="2556"/>
        <w:gridCol w:w="2052"/>
        <w:gridCol w:w="1956"/>
      </w:tblGrid>
      <w:tr w:rsidRPr="0002489A" w:rsidR="0002489A" w:rsidTr="0053077D" w14:paraId="7FCCA1E5" w14:textId="77777777">
        <w:tc>
          <w:tcPr>
            <w:tcW w:w="1230" w:type="dxa"/>
            <w:tcBorders>
              <w:top w:val="single" w:color="auto" w:sz="2" w:space="0"/>
              <w:bottom w:val="single" w:color="000000" w:sz="12" w:space="0"/>
            </w:tcBorders>
            <w:shd w:val="clear" w:color="auto" w:fill="auto"/>
          </w:tcPr>
          <w:p w:rsidRPr="0002489A" w:rsidR="0002489A" w:rsidP="008F532C" w:rsidRDefault="0002489A" w14:paraId="18F536B3" w14:textId="77777777">
            <w:pPr>
              <w:rPr>
                <w:b/>
                <w:bCs/>
              </w:rPr>
            </w:pPr>
            <w:r w:rsidRPr="0002489A">
              <w:rPr>
                <w:b/>
                <w:bCs/>
              </w:rPr>
              <w:t>Symbol</w:t>
            </w:r>
          </w:p>
        </w:tc>
        <w:tc>
          <w:tcPr>
            <w:tcW w:w="2556" w:type="dxa"/>
            <w:tcBorders>
              <w:top w:val="single" w:color="auto" w:sz="2" w:space="0"/>
              <w:bottom w:val="single" w:color="000000" w:sz="12" w:space="0"/>
            </w:tcBorders>
            <w:shd w:val="clear" w:color="auto" w:fill="auto"/>
          </w:tcPr>
          <w:p w:rsidRPr="0002489A" w:rsidR="0002489A" w:rsidP="008F532C" w:rsidRDefault="0002489A" w14:paraId="12403F08" w14:textId="77777777">
            <w:pPr>
              <w:rPr>
                <w:b/>
                <w:bCs/>
              </w:rPr>
            </w:pPr>
            <w:r w:rsidRPr="0002489A">
              <w:rPr>
                <w:b/>
                <w:bCs/>
              </w:rPr>
              <w:t>Scientific Name</w:t>
            </w:r>
          </w:p>
        </w:tc>
        <w:tc>
          <w:tcPr>
            <w:tcW w:w="2052" w:type="dxa"/>
            <w:tcBorders>
              <w:top w:val="single" w:color="auto" w:sz="2" w:space="0"/>
              <w:bottom w:val="single" w:color="000000" w:sz="12" w:space="0"/>
            </w:tcBorders>
            <w:shd w:val="clear" w:color="auto" w:fill="auto"/>
          </w:tcPr>
          <w:p w:rsidRPr="0002489A" w:rsidR="0002489A" w:rsidP="008F532C" w:rsidRDefault="0002489A" w14:paraId="45BECCC1" w14:textId="77777777">
            <w:pPr>
              <w:rPr>
                <w:b/>
                <w:bCs/>
              </w:rPr>
            </w:pPr>
            <w:r w:rsidRPr="0002489A">
              <w:rPr>
                <w:b/>
                <w:bCs/>
              </w:rPr>
              <w:t>Common Name</w:t>
            </w:r>
          </w:p>
        </w:tc>
        <w:tc>
          <w:tcPr>
            <w:tcW w:w="1956" w:type="dxa"/>
            <w:tcBorders>
              <w:top w:val="single" w:color="auto" w:sz="2" w:space="0"/>
              <w:bottom w:val="single" w:color="000000" w:sz="12" w:space="0"/>
            </w:tcBorders>
            <w:shd w:val="clear" w:color="auto" w:fill="auto"/>
          </w:tcPr>
          <w:p w:rsidRPr="0002489A" w:rsidR="0002489A" w:rsidP="008F532C" w:rsidRDefault="0002489A" w14:paraId="43C1E074" w14:textId="77777777">
            <w:pPr>
              <w:rPr>
                <w:b/>
                <w:bCs/>
              </w:rPr>
            </w:pPr>
            <w:r w:rsidRPr="0002489A">
              <w:rPr>
                <w:b/>
                <w:bCs/>
              </w:rPr>
              <w:t>Canopy Position</w:t>
            </w:r>
          </w:p>
        </w:tc>
      </w:tr>
      <w:tr w:rsidRPr="0002489A" w:rsidR="0002489A" w:rsidTr="0053077D" w14:paraId="0AC9A631" w14:textId="77777777">
        <w:tc>
          <w:tcPr>
            <w:tcW w:w="1230" w:type="dxa"/>
            <w:tcBorders>
              <w:top w:val="single" w:color="000000" w:sz="12" w:space="0"/>
            </w:tcBorders>
            <w:shd w:val="clear" w:color="auto" w:fill="auto"/>
          </w:tcPr>
          <w:p w:rsidRPr="0002489A" w:rsidR="0002489A" w:rsidP="008F532C" w:rsidRDefault="0002489A" w14:paraId="686BD3A3" w14:textId="77777777">
            <w:pPr>
              <w:rPr>
                <w:bCs/>
              </w:rPr>
            </w:pPr>
            <w:r w:rsidRPr="0002489A">
              <w:rPr>
                <w:bCs/>
              </w:rPr>
              <w:t>PSME</w:t>
            </w:r>
          </w:p>
        </w:tc>
        <w:tc>
          <w:tcPr>
            <w:tcW w:w="2556" w:type="dxa"/>
            <w:tcBorders>
              <w:top w:val="single" w:color="000000" w:sz="12" w:space="0"/>
            </w:tcBorders>
            <w:shd w:val="clear" w:color="auto" w:fill="auto"/>
          </w:tcPr>
          <w:p w:rsidRPr="0002489A" w:rsidR="0002489A" w:rsidP="008F532C" w:rsidRDefault="0002489A" w14:paraId="0BA30164" w14:textId="77777777">
            <w:r w:rsidRPr="0002489A">
              <w:t>Pseudotsuga menziesii</w:t>
            </w:r>
          </w:p>
        </w:tc>
        <w:tc>
          <w:tcPr>
            <w:tcW w:w="2052" w:type="dxa"/>
            <w:tcBorders>
              <w:top w:val="single" w:color="000000" w:sz="12" w:space="0"/>
            </w:tcBorders>
            <w:shd w:val="clear" w:color="auto" w:fill="auto"/>
          </w:tcPr>
          <w:p w:rsidRPr="0002489A" w:rsidR="0002489A" w:rsidP="008F532C" w:rsidRDefault="0002489A" w14:paraId="0778FF65" w14:textId="77777777">
            <w:r w:rsidRPr="0002489A">
              <w:t>Douglas-fir</w:t>
            </w:r>
          </w:p>
        </w:tc>
        <w:tc>
          <w:tcPr>
            <w:tcW w:w="1956" w:type="dxa"/>
            <w:tcBorders>
              <w:top w:val="single" w:color="000000" w:sz="12" w:space="0"/>
            </w:tcBorders>
            <w:shd w:val="clear" w:color="auto" w:fill="auto"/>
          </w:tcPr>
          <w:p w:rsidRPr="0002489A" w:rsidR="0002489A" w:rsidP="008F532C" w:rsidRDefault="0002489A" w14:paraId="47EA83A8" w14:textId="77777777">
            <w:r w:rsidRPr="0002489A">
              <w:t>Upper</w:t>
            </w:r>
          </w:p>
        </w:tc>
      </w:tr>
      <w:tr w:rsidRPr="0002489A" w:rsidR="0002489A" w:rsidTr="0053077D" w14:paraId="47773F02" w14:textId="77777777">
        <w:tc>
          <w:tcPr>
            <w:tcW w:w="1230" w:type="dxa"/>
            <w:shd w:val="clear" w:color="auto" w:fill="auto"/>
          </w:tcPr>
          <w:p w:rsidRPr="0002489A" w:rsidR="0002489A" w:rsidP="008F532C" w:rsidRDefault="0002489A" w14:paraId="20A2F42C" w14:textId="77777777">
            <w:pPr>
              <w:rPr>
                <w:bCs/>
              </w:rPr>
            </w:pPr>
            <w:r w:rsidRPr="0002489A">
              <w:rPr>
                <w:bCs/>
              </w:rPr>
              <w:t>ABGR</w:t>
            </w:r>
          </w:p>
        </w:tc>
        <w:tc>
          <w:tcPr>
            <w:tcW w:w="2556" w:type="dxa"/>
            <w:shd w:val="clear" w:color="auto" w:fill="auto"/>
          </w:tcPr>
          <w:p w:rsidRPr="0002489A" w:rsidR="0002489A" w:rsidP="008F532C" w:rsidRDefault="0002489A" w14:paraId="267DF7A1" w14:textId="77777777">
            <w:r w:rsidRPr="0002489A">
              <w:t>Abies grandis</w:t>
            </w:r>
          </w:p>
        </w:tc>
        <w:tc>
          <w:tcPr>
            <w:tcW w:w="2052" w:type="dxa"/>
            <w:shd w:val="clear" w:color="auto" w:fill="auto"/>
          </w:tcPr>
          <w:p w:rsidRPr="0002489A" w:rsidR="0002489A" w:rsidP="008F532C" w:rsidRDefault="0002489A" w14:paraId="4991A571" w14:textId="77777777">
            <w:r w:rsidRPr="0002489A">
              <w:t>Grand fir</w:t>
            </w:r>
          </w:p>
        </w:tc>
        <w:tc>
          <w:tcPr>
            <w:tcW w:w="1956" w:type="dxa"/>
            <w:shd w:val="clear" w:color="auto" w:fill="auto"/>
          </w:tcPr>
          <w:p w:rsidRPr="0002489A" w:rsidR="0002489A" w:rsidP="008F532C" w:rsidRDefault="0002489A" w14:paraId="7384C49A" w14:textId="77777777">
            <w:r w:rsidRPr="0002489A">
              <w:t>Mid-Upper</w:t>
            </w:r>
          </w:p>
        </w:tc>
      </w:tr>
      <w:tr w:rsidRPr="0002489A" w:rsidR="003355EB" w:rsidTr="0053077D" w14:paraId="3D8D206A" w14:textId="77777777">
        <w:tc>
          <w:tcPr>
            <w:tcW w:w="1230" w:type="dxa"/>
            <w:shd w:val="clear" w:color="auto" w:fill="auto"/>
          </w:tcPr>
          <w:p w:rsidRPr="0002489A" w:rsidR="003355EB" w:rsidP="003355EB" w:rsidRDefault="003355EB" w14:paraId="25D36190" w14:textId="40FA0B0E">
            <w:pPr>
              <w:rPr>
                <w:bCs/>
              </w:rPr>
            </w:pPr>
            <w:r w:rsidRPr="001F6DE3">
              <w:t>CADE27</w:t>
            </w:r>
          </w:p>
        </w:tc>
        <w:tc>
          <w:tcPr>
            <w:tcW w:w="2556" w:type="dxa"/>
            <w:shd w:val="clear" w:color="auto" w:fill="auto"/>
          </w:tcPr>
          <w:p w:rsidRPr="0002489A" w:rsidR="003355EB" w:rsidP="003355EB" w:rsidRDefault="003355EB" w14:paraId="3952A71B" w14:textId="5386F140">
            <w:r w:rsidRPr="001F6DE3">
              <w:t>Calocedrus decurrens</w:t>
            </w:r>
          </w:p>
        </w:tc>
        <w:tc>
          <w:tcPr>
            <w:tcW w:w="2052" w:type="dxa"/>
            <w:shd w:val="clear" w:color="auto" w:fill="auto"/>
          </w:tcPr>
          <w:p w:rsidRPr="0002489A" w:rsidR="003355EB" w:rsidP="003355EB" w:rsidRDefault="003355EB" w14:paraId="32E18FD3" w14:textId="7AE203EE">
            <w:r w:rsidRPr="001F6DE3">
              <w:t>Incense cedar</w:t>
            </w:r>
          </w:p>
        </w:tc>
        <w:tc>
          <w:tcPr>
            <w:tcW w:w="1956" w:type="dxa"/>
            <w:shd w:val="clear" w:color="auto" w:fill="auto"/>
          </w:tcPr>
          <w:p w:rsidRPr="0002489A" w:rsidR="003355EB" w:rsidP="003355EB" w:rsidRDefault="003355EB" w14:paraId="12576367" w14:textId="4BBDBFF1">
            <w:r w:rsidRPr="001F6DE3">
              <w:t>CADE27</w:t>
            </w:r>
          </w:p>
        </w:tc>
      </w:tr>
    </w:tbl>
    <w:p w:rsidR="0002489A" w:rsidP="0002489A" w:rsidRDefault="0002489A" w14:paraId="44B8FB54" w14:textId="77777777"/>
    <w:p w:rsidR="0002489A" w:rsidP="0002489A" w:rsidRDefault="0002489A" w14:paraId="078EA9EC" w14:textId="77777777">
      <w:pPr>
        <w:pStyle w:val="SClassInfoPara"/>
      </w:pPr>
      <w:r>
        <w:t>Description</w:t>
      </w:r>
    </w:p>
    <w:p w:rsidR="0002489A" w:rsidP="0002489A" w:rsidRDefault="006D5CFA" w14:paraId="07198580" w14:textId="3DD70C4A">
      <w:r>
        <w:t>P</w:t>
      </w:r>
      <w:r w:rsidR="0002489A">
        <w:t>ole</w:t>
      </w:r>
      <w:r>
        <w:t>-sized</w:t>
      </w:r>
      <w:r w:rsidR="0002489A">
        <w:t xml:space="preserve"> (averaging 5in </w:t>
      </w:r>
      <w:r>
        <w:t>DBH</w:t>
      </w:r>
      <w:r w:rsidR="0002489A">
        <w:t xml:space="preserve">, 13m tall) to small-sized Douglas-fir (averaging 12in </w:t>
      </w:r>
      <w:r>
        <w:t>DBH</w:t>
      </w:r>
      <w:r w:rsidR="0002489A">
        <w:t>, 2</w:t>
      </w:r>
      <w:r>
        <w:t>0</w:t>
      </w:r>
      <w:r w:rsidR="0002489A">
        <w:t>m tall) with some grand fir. In certain conditions, growth rates may produce larger diameters than noted.</w:t>
      </w:r>
    </w:p>
    <w:p w:rsidR="0002489A" w:rsidP="0002489A" w:rsidRDefault="0002489A" w14:paraId="7558A417" w14:textId="77777777"/>
    <w:p>
      <w:r>
        <w:rPr>
          <w:i/>
          <w:u w:val="single"/>
        </w:rPr>
        <w:t>Maximum Tree Size Class</w:t>
      </w:r>
      <w:br/>
      <w:r>
        <w:t>Pole 5-9" DBH</w:t>
      </w:r>
    </w:p>
    <w:p w:rsidR="0002489A" w:rsidP="0002489A" w:rsidRDefault="0002489A" w14:paraId="649C09ED" w14:textId="77777777">
      <w:pPr>
        <w:pStyle w:val="InfoPara"/>
        <w:pBdr>
          <w:top w:val="single" w:color="auto" w:sz="4" w:space="1"/>
        </w:pBdr>
      </w:pPr>
      <w:r xmlns:w="http://schemas.openxmlformats.org/wordprocessingml/2006/main">
        <w:t>Class C</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2489A" w:rsidP="0002489A" w:rsidRDefault="0002489A" w14:paraId="4354A329" w14:textId="77777777"/>
    <w:p w:rsidR="0002489A" w:rsidP="0002489A" w:rsidRDefault="0002489A" w14:paraId="21043DA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0"/>
        <w:gridCol w:w="2556"/>
        <w:gridCol w:w="2052"/>
        <w:gridCol w:w="1956"/>
      </w:tblGrid>
      <w:tr w:rsidRPr="0002489A" w:rsidR="0002489A" w:rsidTr="0053077D" w14:paraId="41D77822" w14:textId="77777777">
        <w:tc>
          <w:tcPr>
            <w:tcW w:w="1230" w:type="dxa"/>
            <w:tcBorders>
              <w:top w:val="single" w:color="auto" w:sz="2" w:space="0"/>
              <w:bottom w:val="single" w:color="000000" w:sz="12" w:space="0"/>
            </w:tcBorders>
            <w:shd w:val="clear" w:color="auto" w:fill="auto"/>
          </w:tcPr>
          <w:p w:rsidRPr="0002489A" w:rsidR="0002489A" w:rsidP="00FF3A39" w:rsidRDefault="0002489A" w14:paraId="3ABEF143" w14:textId="77777777">
            <w:pPr>
              <w:rPr>
                <w:b/>
                <w:bCs/>
              </w:rPr>
            </w:pPr>
            <w:r w:rsidRPr="0002489A">
              <w:rPr>
                <w:b/>
                <w:bCs/>
              </w:rPr>
              <w:lastRenderedPageBreak/>
              <w:t>Symbol</w:t>
            </w:r>
          </w:p>
        </w:tc>
        <w:tc>
          <w:tcPr>
            <w:tcW w:w="2556" w:type="dxa"/>
            <w:tcBorders>
              <w:top w:val="single" w:color="auto" w:sz="2" w:space="0"/>
              <w:bottom w:val="single" w:color="000000" w:sz="12" w:space="0"/>
            </w:tcBorders>
            <w:shd w:val="clear" w:color="auto" w:fill="auto"/>
          </w:tcPr>
          <w:p w:rsidRPr="0002489A" w:rsidR="0002489A" w:rsidP="00FF3A39" w:rsidRDefault="0002489A" w14:paraId="4A3A61E5" w14:textId="77777777">
            <w:pPr>
              <w:rPr>
                <w:b/>
                <w:bCs/>
              </w:rPr>
            </w:pPr>
            <w:r w:rsidRPr="0002489A">
              <w:rPr>
                <w:b/>
                <w:bCs/>
              </w:rPr>
              <w:t>Scientific Name</w:t>
            </w:r>
          </w:p>
        </w:tc>
        <w:tc>
          <w:tcPr>
            <w:tcW w:w="2052" w:type="dxa"/>
            <w:tcBorders>
              <w:top w:val="single" w:color="auto" w:sz="2" w:space="0"/>
              <w:bottom w:val="single" w:color="000000" w:sz="12" w:space="0"/>
            </w:tcBorders>
            <w:shd w:val="clear" w:color="auto" w:fill="auto"/>
          </w:tcPr>
          <w:p w:rsidRPr="0002489A" w:rsidR="0002489A" w:rsidP="00FF3A39" w:rsidRDefault="0002489A" w14:paraId="3CCA5DC4" w14:textId="77777777">
            <w:pPr>
              <w:rPr>
                <w:b/>
                <w:bCs/>
              </w:rPr>
            </w:pPr>
            <w:r w:rsidRPr="0002489A">
              <w:rPr>
                <w:b/>
                <w:bCs/>
              </w:rPr>
              <w:t>Common Name</w:t>
            </w:r>
          </w:p>
        </w:tc>
        <w:tc>
          <w:tcPr>
            <w:tcW w:w="1956" w:type="dxa"/>
            <w:tcBorders>
              <w:top w:val="single" w:color="auto" w:sz="2" w:space="0"/>
              <w:bottom w:val="single" w:color="000000" w:sz="12" w:space="0"/>
            </w:tcBorders>
            <w:shd w:val="clear" w:color="auto" w:fill="auto"/>
          </w:tcPr>
          <w:p w:rsidRPr="0002489A" w:rsidR="0002489A" w:rsidP="00FF3A39" w:rsidRDefault="0002489A" w14:paraId="3A7BFE4C" w14:textId="77777777">
            <w:pPr>
              <w:rPr>
                <w:b/>
                <w:bCs/>
              </w:rPr>
            </w:pPr>
            <w:r w:rsidRPr="0002489A">
              <w:rPr>
                <w:b/>
                <w:bCs/>
              </w:rPr>
              <w:t>Canopy Position</w:t>
            </w:r>
          </w:p>
        </w:tc>
      </w:tr>
      <w:tr w:rsidRPr="0002489A" w:rsidR="0002489A" w:rsidTr="0053077D" w14:paraId="70B41BE4" w14:textId="77777777">
        <w:tc>
          <w:tcPr>
            <w:tcW w:w="1230" w:type="dxa"/>
            <w:tcBorders>
              <w:top w:val="single" w:color="000000" w:sz="12" w:space="0"/>
            </w:tcBorders>
            <w:shd w:val="clear" w:color="auto" w:fill="auto"/>
          </w:tcPr>
          <w:p w:rsidRPr="0002489A" w:rsidR="0002489A" w:rsidP="00FF3A39" w:rsidRDefault="0002489A" w14:paraId="022897FB" w14:textId="77777777">
            <w:pPr>
              <w:rPr>
                <w:bCs/>
              </w:rPr>
            </w:pPr>
            <w:r w:rsidRPr="0002489A">
              <w:rPr>
                <w:bCs/>
              </w:rPr>
              <w:t>PSME</w:t>
            </w:r>
          </w:p>
        </w:tc>
        <w:tc>
          <w:tcPr>
            <w:tcW w:w="2556" w:type="dxa"/>
            <w:tcBorders>
              <w:top w:val="single" w:color="000000" w:sz="12" w:space="0"/>
            </w:tcBorders>
            <w:shd w:val="clear" w:color="auto" w:fill="auto"/>
          </w:tcPr>
          <w:p w:rsidRPr="0002489A" w:rsidR="0002489A" w:rsidP="00FF3A39" w:rsidRDefault="0002489A" w14:paraId="6A5B33AD" w14:textId="77777777">
            <w:r w:rsidRPr="0002489A">
              <w:t>Pseudotsuga menziesii</w:t>
            </w:r>
          </w:p>
        </w:tc>
        <w:tc>
          <w:tcPr>
            <w:tcW w:w="2052" w:type="dxa"/>
            <w:tcBorders>
              <w:top w:val="single" w:color="000000" w:sz="12" w:space="0"/>
            </w:tcBorders>
            <w:shd w:val="clear" w:color="auto" w:fill="auto"/>
          </w:tcPr>
          <w:p w:rsidRPr="0002489A" w:rsidR="0002489A" w:rsidP="00FF3A39" w:rsidRDefault="0002489A" w14:paraId="47DA563B" w14:textId="77777777">
            <w:r w:rsidRPr="0002489A">
              <w:t>Douglas-fir</w:t>
            </w:r>
          </w:p>
        </w:tc>
        <w:tc>
          <w:tcPr>
            <w:tcW w:w="1956" w:type="dxa"/>
            <w:tcBorders>
              <w:top w:val="single" w:color="000000" w:sz="12" w:space="0"/>
            </w:tcBorders>
            <w:shd w:val="clear" w:color="auto" w:fill="auto"/>
          </w:tcPr>
          <w:p w:rsidRPr="0002489A" w:rsidR="0002489A" w:rsidP="00FF3A39" w:rsidRDefault="0002489A" w14:paraId="1E2AF2DF" w14:textId="77777777">
            <w:r w:rsidRPr="0002489A">
              <w:t>Upper</w:t>
            </w:r>
          </w:p>
        </w:tc>
      </w:tr>
      <w:tr w:rsidRPr="0002489A" w:rsidR="0002489A" w:rsidTr="0053077D" w14:paraId="21115F7F" w14:textId="77777777">
        <w:tc>
          <w:tcPr>
            <w:tcW w:w="1230" w:type="dxa"/>
            <w:shd w:val="clear" w:color="auto" w:fill="auto"/>
          </w:tcPr>
          <w:p w:rsidRPr="0002489A" w:rsidR="0002489A" w:rsidP="00FF3A39" w:rsidRDefault="0002489A" w14:paraId="05DDABD4" w14:textId="77777777">
            <w:pPr>
              <w:rPr>
                <w:bCs/>
              </w:rPr>
            </w:pPr>
            <w:r w:rsidRPr="0002489A">
              <w:rPr>
                <w:bCs/>
              </w:rPr>
              <w:t>ABGR</w:t>
            </w:r>
          </w:p>
        </w:tc>
        <w:tc>
          <w:tcPr>
            <w:tcW w:w="2556" w:type="dxa"/>
            <w:shd w:val="clear" w:color="auto" w:fill="auto"/>
          </w:tcPr>
          <w:p w:rsidRPr="0002489A" w:rsidR="0002489A" w:rsidP="00FF3A39" w:rsidRDefault="0002489A" w14:paraId="2415A8A7" w14:textId="77777777">
            <w:r w:rsidRPr="0002489A">
              <w:t>Abies grandis</w:t>
            </w:r>
          </w:p>
        </w:tc>
        <w:tc>
          <w:tcPr>
            <w:tcW w:w="2052" w:type="dxa"/>
            <w:shd w:val="clear" w:color="auto" w:fill="auto"/>
          </w:tcPr>
          <w:p w:rsidRPr="0002489A" w:rsidR="0002489A" w:rsidP="00FF3A39" w:rsidRDefault="0002489A" w14:paraId="6DF3D0D4" w14:textId="77777777">
            <w:r w:rsidRPr="0002489A">
              <w:t>Grand fir</w:t>
            </w:r>
          </w:p>
        </w:tc>
        <w:tc>
          <w:tcPr>
            <w:tcW w:w="1956" w:type="dxa"/>
            <w:shd w:val="clear" w:color="auto" w:fill="auto"/>
          </w:tcPr>
          <w:p w:rsidRPr="0002489A" w:rsidR="0002489A" w:rsidP="00FF3A39" w:rsidRDefault="0002489A" w14:paraId="3D9F3DC4" w14:textId="77777777">
            <w:r w:rsidRPr="0002489A">
              <w:t>Mid-Upper</w:t>
            </w:r>
          </w:p>
        </w:tc>
      </w:tr>
      <w:tr w:rsidRPr="0002489A" w:rsidR="003355EB" w:rsidTr="0053077D" w14:paraId="07D175C1" w14:textId="77777777">
        <w:tc>
          <w:tcPr>
            <w:tcW w:w="1230" w:type="dxa"/>
            <w:shd w:val="clear" w:color="auto" w:fill="auto"/>
          </w:tcPr>
          <w:p w:rsidRPr="0002489A" w:rsidR="003355EB" w:rsidP="003355EB" w:rsidRDefault="003355EB" w14:paraId="209D148B" w14:textId="7817D575">
            <w:pPr>
              <w:rPr>
                <w:bCs/>
              </w:rPr>
            </w:pPr>
            <w:r w:rsidRPr="00312580">
              <w:t>CADE27</w:t>
            </w:r>
          </w:p>
        </w:tc>
        <w:tc>
          <w:tcPr>
            <w:tcW w:w="2556" w:type="dxa"/>
            <w:shd w:val="clear" w:color="auto" w:fill="auto"/>
          </w:tcPr>
          <w:p w:rsidRPr="0002489A" w:rsidR="003355EB" w:rsidP="003355EB" w:rsidRDefault="003355EB" w14:paraId="4529CE4B" w14:textId="4564D0D4">
            <w:r w:rsidRPr="00312580">
              <w:t>Calocedrus decurrens</w:t>
            </w:r>
          </w:p>
        </w:tc>
        <w:tc>
          <w:tcPr>
            <w:tcW w:w="2052" w:type="dxa"/>
            <w:shd w:val="clear" w:color="auto" w:fill="auto"/>
          </w:tcPr>
          <w:p w:rsidRPr="0002489A" w:rsidR="003355EB" w:rsidP="003355EB" w:rsidRDefault="003355EB" w14:paraId="6FDBFD1E" w14:textId="47AC4170">
            <w:r w:rsidRPr="00312580">
              <w:t>Incense cedar</w:t>
            </w:r>
          </w:p>
        </w:tc>
        <w:tc>
          <w:tcPr>
            <w:tcW w:w="1956" w:type="dxa"/>
            <w:shd w:val="clear" w:color="auto" w:fill="auto"/>
          </w:tcPr>
          <w:p w:rsidRPr="0002489A" w:rsidR="003355EB" w:rsidP="003355EB" w:rsidRDefault="003355EB" w14:paraId="658A5AFC" w14:textId="36573929">
            <w:r w:rsidRPr="00312580">
              <w:t>CADE27</w:t>
            </w:r>
          </w:p>
        </w:tc>
      </w:tr>
    </w:tbl>
    <w:p w:rsidR="0002489A" w:rsidP="0002489A" w:rsidRDefault="0002489A" w14:paraId="32895611" w14:textId="77777777"/>
    <w:p w:rsidR="0002489A" w:rsidP="0002489A" w:rsidRDefault="0002489A" w14:paraId="59B7963A" w14:textId="77777777">
      <w:pPr>
        <w:pStyle w:val="SClassInfoPara"/>
      </w:pPr>
      <w:r>
        <w:t>Description</w:t>
      </w:r>
    </w:p>
    <w:p w:rsidR="0002489A" w:rsidP="0002489A" w:rsidRDefault="006D5CFA" w14:paraId="730B16EB" w14:textId="298A3B17">
      <w:r>
        <w:t>P</w:t>
      </w:r>
      <w:r w:rsidR="0002489A">
        <w:t xml:space="preserve">ole-sized (5in </w:t>
      </w:r>
      <w:r>
        <w:t>DBH</w:t>
      </w:r>
      <w:r w:rsidR="0002489A">
        <w:t xml:space="preserve">, 15m tall) to small-sized (12in </w:t>
      </w:r>
      <w:r>
        <w:t>DBH</w:t>
      </w:r>
      <w:r w:rsidR="0002489A">
        <w:t>, 2</w:t>
      </w:r>
      <w:r>
        <w:t>0</w:t>
      </w:r>
      <w:r w:rsidR="0002489A">
        <w:t xml:space="preserve">m tall) </w:t>
      </w:r>
      <w:r>
        <w:t xml:space="preserve">Douglas-fir </w:t>
      </w:r>
      <w:r w:rsidR="0002489A">
        <w:t>with open understory (including grand fir). In certain conditions, growth rates may produce larger diameters than noted.</w:t>
      </w:r>
    </w:p>
    <w:p w:rsidR="0002489A" w:rsidP="0002489A" w:rsidRDefault="0002489A" w14:paraId="6126E5F0" w14:textId="77777777"/>
    <w:p>
      <w:r>
        <w:rPr>
          <w:i/>
          <w:u w:val="single"/>
        </w:rPr>
        <w:t>Maximum Tree Size Class</w:t>
      </w:r>
      <w:br/>
      <w:r>
        <w:t>Pole 5-9" DBH</w:t>
      </w:r>
    </w:p>
    <w:p w:rsidR="0002489A" w:rsidP="0002489A" w:rsidRDefault="0002489A" w14:paraId="2C500FD1" w14:textId="77777777">
      <w:pPr>
        <w:pStyle w:val="InfoPara"/>
        <w:pBdr>
          <w:top w:val="single" w:color="auto" w:sz="4" w:space="1"/>
        </w:pBdr>
      </w:pPr>
      <w:r xmlns:w="http://schemas.openxmlformats.org/wordprocessingml/2006/main">
        <w:t>Class D</w:t>
      </w:r>
      <w:r xmlns:w="http://schemas.openxmlformats.org/wordprocessingml/2006/main">
        <w:tab/>
        <w:t>44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2489A" w:rsidP="0002489A" w:rsidRDefault="0002489A" w14:paraId="19D6075A" w14:textId="77777777"/>
    <w:p w:rsidR="0002489A" w:rsidP="0002489A" w:rsidRDefault="0002489A" w14:paraId="42E4CAD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0"/>
        <w:gridCol w:w="2556"/>
        <w:gridCol w:w="2052"/>
        <w:gridCol w:w="1956"/>
      </w:tblGrid>
      <w:tr w:rsidRPr="0002489A" w:rsidR="0002489A" w:rsidTr="0053077D" w14:paraId="43F62C2F" w14:textId="77777777">
        <w:tc>
          <w:tcPr>
            <w:tcW w:w="1230" w:type="dxa"/>
            <w:tcBorders>
              <w:top w:val="single" w:color="auto" w:sz="2" w:space="0"/>
              <w:bottom w:val="single" w:color="000000" w:sz="12" w:space="0"/>
            </w:tcBorders>
            <w:shd w:val="clear" w:color="auto" w:fill="auto"/>
          </w:tcPr>
          <w:p w:rsidRPr="0002489A" w:rsidR="0002489A" w:rsidP="002D73E7" w:rsidRDefault="0002489A" w14:paraId="5E461DA0" w14:textId="77777777">
            <w:pPr>
              <w:rPr>
                <w:b/>
                <w:bCs/>
              </w:rPr>
            </w:pPr>
            <w:r w:rsidRPr="0002489A">
              <w:rPr>
                <w:b/>
                <w:bCs/>
              </w:rPr>
              <w:t>Symbol</w:t>
            </w:r>
          </w:p>
        </w:tc>
        <w:tc>
          <w:tcPr>
            <w:tcW w:w="2556" w:type="dxa"/>
            <w:tcBorders>
              <w:top w:val="single" w:color="auto" w:sz="2" w:space="0"/>
              <w:bottom w:val="single" w:color="000000" w:sz="12" w:space="0"/>
            </w:tcBorders>
            <w:shd w:val="clear" w:color="auto" w:fill="auto"/>
          </w:tcPr>
          <w:p w:rsidRPr="0002489A" w:rsidR="0002489A" w:rsidP="002D73E7" w:rsidRDefault="0002489A" w14:paraId="42EB7192" w14:textId="77777777">
            <w:pPr>
              <w:rPr>
                <w:b/>
                <w:bCs/>
              </w:rPr>
            </w:pPr>
            <w:r w:rsidRPr="0002489A">
              <w:rPr>
                <w:b/>
                <w:bCs/>
              </w:rPr>
              <w:t>Scientific Name</w:t>
            </w:r>
          </w:p>
        </w:tc>
        <w:tc>
          <w:tcPr>
            <w:tcW w:w="2052" w:type="dxa"/>
            <w:tcBorders>
              <w:top w:val="single" w:color="auto" w:sz="2" w:space="0"/>
              <w:bottom w:val="single" w:color="000000" w:sz="12" w:space="0"/>
            </w:tcBorders>
            <w:shd w:val="clear" w:color="auto" w:fill="auto"/>
          </w:tcPr>
          <w:p w:rsidRPr="0002489A" w:rsidR="0002489A" w:rsidP="002D73E7" w:rsidRDefault="0002489A" w14:paraId="5D70BDD6" w14:textId="77777777">
            <w:pPr>
              <w:rPr>
                <w:b/>
                <w:bCs/>
              </w:rPr>
            </w:pPr>
            <w:r w:rsidRPr="0002489A">
              <w:rPr>
                <w:b/>
                <w:bCs/>
              </w:rPr>
              <w:t>Common Name</w:t>
            </w:r>
          </w:p>
        </w:tc>
        <w:tc>
          <w:tcPr>
            <w:tcW w:w="1956" w:type="dxa"/>
            <w:tcBorders>
              <w:top w:val="single" w:color="auto" w:sz="2" w:space="0"/>
              <w:bottom w:val="single" w:color="000000" w:sz="12" w:space="0"/>
            </w:tcBorders>
            <w:shd w:val="clear" w:color="auto" w:fill="auto"/>
          </w:tcPr>
          <w:p w:rsidRPr="0002489A" w:rsidR="0002489A" w:rsidP="002D73E7" w:rsidRDefault="0002489A" w14:paraId="492FA5BD" w14:textId="77777777">
            <w:pPr>
              <w:rPr>
                <w:b/>
                <w:bCs/>
              </w:rPr>
            </w:pPr>
            <w:r w:rsidRPr="0002489A">
              <w:rPr>
                <w:b/>
                <w:bCs/>
              </w:rPr>
              <w:t>Canopy Position</w:t>
            </w:r>
          </w:p>
        </w:tc>
      </w:tr>
      <w:tr w:rsidRPr="0002489A" w:rsidR="0002489A" w:rsidTr="0053077D" w14:paraId="012A7E2C" w14:textId="77777777">
        <w:tc>
          <w:tcPr>
            <w:tcW w:w="1230" w:type="dxa"/>
            <w:tcBorders>
              <w:top w:val="single" w:color="000000" w:sz="12" w:space="0"/>
            </w:tcBorders>
            <w:shd w:val="clear" w:color="auto" w:fill="auto"/>
          </w:tcPr>
          <w:p w:rsidRPr="0002489A" w:rsidR="0002489A" w:rsidP="002D73E7" w:rsidRDefault="0002489A" w14:paraId="5609EFD3" w14:textId="77777777">
            <w:pPr>
              <w:rPr>
                <w:bCs/>
              </w:rPr>
            </w:pPr>
            <w:r w:rsidRPr="0002489A">
              <w:rPr>
                <w:bCs/>
              </w:rPr>
              <w:t>PSME</w:t>
            </w:r>
          </w:p>
        </w:tc>
        <w:tc>
          <w:tcPr>
            <w:tcW w:w="2556" w:type="dxa"/>
            <w:tcBorders>
              <w:top w:val="single" w:color="000000" w:sz="12" w:space="0"/>
            </w:tcBorders>
            <w:shd w:val="clear" w:color="auto" w:fill="auto"/>
          </w:tcPr>
          <w:p w:rsidRPr="0002489A" w:rsidR="0002489A" w:rsidP="002D73E7" w:rsidRDefault="0002489A" w14:paraId="564248F1" w14:textId="77777777">
            <w:r w:rsidRPr="0002489A">
              <w:t>Pseudotsuga menziesii</w:t>
            </w:r>
          </w:p>
        </w:tc>
        <w:tc>
          <w:tcPr>
            <w:tcW w:w="2052" w:type="dxa"/>
            <w:tcBorders>
              <w:top w:val="single" w:color="000000" w:sz="12" w:space="0"/>
            </w:tcBorders>
            <w:shd w:val="clear" w:color="auto" w:fill="auto"/>
          </w:tcPr>
          <w:p w:rsidRPr="0002489A" w:rsidR="0002489A" w:rsidP="002D73E7" w:rsidRDefault="0002489A" w14:paraId="47F536D8" w14:textId="77777777">
            <w:r w:rsidRPr="0002489A">
              <w:t>Douglas-fir</w:t>
            </w:r>
          </w:p>
        </w:tc>
        <w:tc>
          <w:tcPr>
            <w:tcW w:w="1956" w:type="dxa"/>
            <w:tcBorders>
              <w:top w:val="single" w:color="000000" w:sz="12" w:space="0"/>
            </w:tcBorders>
            <w:shd w:val="clear" w:color="auto" w:fill="auto"/>
          </w:tcPr>
          <w:p w:rsidRPr="0002489A" w:rsidR="0002489A" w:rsidP="002D73E7" w:rsidRDefault="0002489A" w14:paraId="2545C886" w14:textId="77777777">
            <w:r w:rsidRPr="0002489A">
              <w:t>Upper</w:t>
            </w:r>
          </w:p>
        </w:tc>
      </w:tr>
      <w:tr w:rsidRPr="0002489A" w:rsidR="0002489A" w:rsidTr="0053077D" w14:paraId="4E21A0A0" w14:textId="77777777">
        <w:tc>
          <w:tcPr>
            <w:tcW w:w="1230" w:type="dxa"/>
            <w:shd w:val="clear" w:color="auto" w:fill="auto"/>
          </w:tcPr>
          <w:p w:rsidRPr="0002489A" w:rsidR="0002489A" w:rsidP="002D73E7" w:rsidRDefault="0002489A" w14:paraId="49A4C80F" w14:textId="77777777">
            <w:pPr>
              <w:rPr>
                <w:bCs/>
              </w:rPr>
            </w:pPr>
            <w:r w:rsidRPr="0002489A">
              <w:rPr>
                <w:bCs/>
              </w:rPr>
              <w:t>ABGR</w:t>
            </w:r>
          </w:p>
        </w:tc>
        <w:tc>
          <w:tcPr>
            <w:tcW w:w="2556" w:type="dxa"/>
            <w:shd w:val="clear" w:color="auto" w:fill="auto"/>
          </w:tcPr>
          <w:p w:rsidRPr="0002489A" w:rsidR="0002489A" w:rsidP="002D73E7" w:rsidRDefault="0002489A" w14:paraId="519BC0C3" w14:textId="77777777">
            <w:r w:rsidRPr="0002489A">
              <w:t>Abies grandis</w:t>
            </w:r>
          </w:p>
        </w:tc>
        <w:tc>
          <w:tcPr>
            <w:tcW w:w="2052" w:type="dxa"/>
            <w:shd w:val="clear" w:color="auto" w:fill="auto"/>
          </w:tcPr>
          <w:p w:rsidRPr="0002489A" w:rsidR="0002489A" w:rsidP="002D73E7" w:rsidRDefault="0002489A" w14:paraId="5F3EE675" w14:textId="77777777">
            <w:r w:rsidRPr="0002489A">
              <w:t>Grand fir</w:t>
            </w:r>
          </w:p>
        </w:tc>
        <w:tc>
          <w:tcPr>
            <w:tcW w:w="1956" w:type="dxa"/>
            <w:shd w:val="clear" w:color="auto" w:fill="auto"/>
          </w:tcPr>
          <w:p w:rsidRPr="0002489A" w:rsidR="0002489A" w:rsidP="002D73E7" w:rsidRDefault="0002489A" w14:paraId="0B1C0CBF" w14:textId="77777777">
            <w:r w:rsidRPr="0002489A">
              <w:t>Mid-Upper</w:t>
            </w:r>
          </w:p>
        </w:tc>
      </w:tr>
      <w:tr w:rsidRPr="0002489A" w:rsidR="003355EB" w:rsidTr="0053077D" w14:paraId="0B829D30" w14:textId="77777777">
        <w:tc>
          <w:tcPr>
            <w:tcW w:w="1230" w:type="dxa"/>
            <w:shd w:val="clear" w:color="auto" w:fill="auto"/>
          </w:tcPr>
          <w:p w:rsidRPr="0002489A" w:rsidR="003355EB" w:rsidP="003355EB" w:rsidRDefault="003355EB" w14:paraId="2996B1F0" w14:textId="2347AD6F">
            <w:pPr>
              <w:rPr>
                <w:bCs/>
              </w:rPr>
            </w:pPr>
            <w:r w:rsidRPr="00A9675C">
              <w:t>CADE27</w:t>
            </w:r>
          </w:p>
        </w:tc>
        <w:tc>
          <w:tcPr>
            <w:tcW w:w="2556" w:type="dxa"/>
            <w:shd w:val="clear" w:color="auto" w:fill="auto"/>
          </w:tcPr>
          <w:p w:rsidRPr="0002489A" w:rsidR="003355EB" w:rsidP="003355EB" w:rsidRDefault="003355EB" w14:paraId="15351F4E" w14:textId="0FD553BE">
            <w:r w:rsidRPr="00A9675C">
              <w:t>Calocedrus decurrens</w:t>
            </w:r>
          </w:p>
        </w:tc>
        <w:tc>
          <w:tcPr>
            <w:tcW w:w="2052" w:type="dxa"/>
            <w:shd w:val="clear" w:color="auto" w:fill="auto"/>
          </w:tcPr>
          <w:p w:rsidRPr="0002489A" w:rsidR="003355EB" w:rsidP="003355EB" w:rsidRDefault="003355EB" w14:paraId="31FEA204" w14:textId="05FA6064">
            <w:r w:rsidRPr="00A9675C">
              <w:t>Incense cedar</w:t>
            </w:r>
          </w:p>
        </w:tc>
        <w:tc>
          <w:tcPr>
            <w:tcW w:w="1956" w:type="dxa"/>
            <w:shd w:val="clear" w:color="auto" w:fill="auto"/>
          </w:tcPr>
          <w:p w:rsidRPr="0002489A" w:rsidR="003355EB" w:rsidP="003355EB" w:rsidRDefault="003355EB" w14:paraId="109A5384" w14:textId="715090ED">
            <w:r w:rsidRPr="00A9675C">
              <w:t>CADE27</w:t>
            </w:r>
          </w:p>
        </w:tc>
      </w:tr>
    </w:tbl>
    <w:p w:rsidR="0002489A" w:rsidP="0002489A" w:rsidRDefault="0002489A" w14:paraId="7B1BFE87" w14:textId="77777777"/>
    <w:p w:rsidR="0002489A" w:rsidP="0002489A" w:rsidRDefault="0002489A" w14:paraId="7C006A2A" w14:textId="77777777">
      <w:pPr>
        <w:pStyle w:val="SClassInfoPara"/>
      </w:pPr>
      <w:r>
        <w:t>Description</w:t>
      </w:r>
    </w:p>
    <w:p w:rsidR="0002489A" w:rsidP="006D5CFA" w:rsidRDefault="006D5CFA" w14:paraId="188EC525" w14:textId="79D8B266">
      <w:r>
        <w:t>M</w:t>
      </w:r>
      <w:r w:rsidR="0002489A">
        <w:t xml:space="preserve">edium and large Douglas-fir (averaging 20in </w:t>
      </w:r>
      <w:r>
        <w:t>DBH</w:t>
      </w:r>
      <w:r w:rsidR="0002489A">
        <w:t>, 3</w:t>
      </w:r>
      <w:r>
        <w:t>0</w:t>
      </w:r>
      <w:r w:rsidR="0002489A">
        <w:t>m tall) with open understory of grand fir.</w:t>
      </w:r>
      <w:r w:rsidR="00CB5625">
        <w:t xml:space="preserve"> Douglas-fir beetles </w:t>
      </w:r>
      <w:r>
        <w:t>can take</w:t>
      </w:r>
      <w:r w:rsidR="0002489A">
        <w:t xml:space="preserve"> out the older trees. </w:t>
      </w:r>
    </w:p>
    <w:p w:rsidR="0002489A" w:rsidP="0002489A" w:rsidRDefault="0002489A" w14:paraId="382DC893" w14:textId="77777777"/>
    <w:p>
      <w:r>
        <w:rPr>
          <w:i/>
          <w:u w:val="single"/>
        </w:rPr>
        <w:t>Maximum Tree Size Class</w:t>
      </w:r>
      <w:br/>
      <w:r>
        <w:t>Very Large &gt;33" DBH</w:t>
      </w:r>
    </w:p>
    <w:p w:rsidR="0002489A" w:rsidP="0002489A" w:rsidRDefault="0002489A" w14:paraId="4F7488B7" w14:textId="77777777">
      <w:pPr>
        <w:pStyle w:val="InfoPara"/>
        <w:pBdr>
          <w:top w:val="single" w:color="auto" w:sz="4" w:space="1"/>
        </w:pBdr>
      </w:pPr>
      <w:r xmlns:w="http://schemas.openxmlformats.org/wordprocessingml/2006/main">
        <w:t>Class E</w:t>
      </w:r>
      <w:r xmlns:w="http://schemas.openxmlformats.org/wordprocessingml/2006/main">
        <w:tab/>
        <w:t>31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2489A" w:rsidP="0002489A" w:rsidRDefault="0002489A" w14:paraId="755B8E37" w14:textId="77777777"/>
    <w:p w:rsidR="0002489A" w:rsidP="0002489A" w:rsidRDefault="0002489A" w14:paraId="546BD70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30"/>
        <w:gridCol w:w="2556"/>
        <w:gridCol w:w="2052"/>
        <w:gridCol w:w="1956"/>
      </w:tblGrid>
      <w:tr w:rsidRPr="0002489A" w:rsidR="0002489A" w:rsidTr="0053077D" w14:paraId="21C2AE55" w14:textId="77777777">
        <w:tc>
          <w:tcPr>
            <w:tcW w:w="1230" w:type="dxa"/>
            <w:tcBorders>
              <w:top w:val="single" w:color="auto" w:sz="2" w:space="0"/>
              <w:bottom w:val="single" w:color="000000" w:sz="12" w:space="0"/>
            </w:tcBorders>
            <w:shd w:val="clear" w:color="auto" w:fill="auto"/>
          </w:tcPr>
          <w:p w:rsidRPr="0002489A" w:rsidR="0002489A" w:rsidP="009248C2" w:rsidRDefault="0002489A" w14:paraId="48251BE8" w14:textId="77777777">
            <w:pPr>
              <w:rPr>
                <w:b/>
                <w:bCs/>
              </w:rPr>
            </w:pPr>
            <w:r w:rsidRPr="0002489A">
              <w:rPr>
                <w:b/>
                <w:bCs/>
              </w:rPr>
              <w:t>Symbol</w:t>
            </w:r>
          </w:p>
        </w:tc>
        <w:tc>
          <w:tcPr>
            <w:tcW w:w="2556" w:type="dxa"/>
            <w:tcBorders>
              <w:top w:val="single" w:color="auto" w:sz="2" w:space="0"/>
              <w:bottom w:val="single" w:color="000000" w:sz="12" w:space="0"/>
            </w:tcBorders>
            <w:shd w:val="clear" w:color="auto" w:fill="auto"/>
          </w:tcPr>
          <w:p w:rsidRPr="0002489A" w:rsidR="0002489A" w:rsidP="009248C2" w:rsidRDefault="0002489A" w14:paraId="52AC707E" w14:textId="77777777">
            <w:pPr>
              <w:rPr>
                <w:b/>
                <w:bCs/>
              </w:rPr>
            </w:pPr>
            <w:r w:rsidRPr="0002489A">
              <w:rPr>
                <w:b/>
                <w:bCs/>
              </w:rPr>
              <w:t>Scientific Name</w:t>
            </w:r>
          </w:p>
        </w:tc>
        <w:tc>
          <w:tcPr>
            <w:tcW w:w="2052" w:type="dxa"/>
            <w:tcBorders>
              <w:top w:val="single" w:color="auto" w:sz="2" w:space="0"/>
              <w:bottom w:val="single" w:color="000000" w:sz="12" w:space="0"/>
            </w:tcBorders>
            <w:shd w:val="clear" w:color="auto" w:fill="auto"/>
          </w:tcPr>
          <w:p w:rsidRPr="0002489A" w:rsidR="0002489A" w:rsidP="009248C2" w:rsidRDefault="0002489A" w14:paraId="3C646A1D" w14:textId="77777777">
            <w:pPr>
              <w:rPr>
                <w:b/>
                <w:bCs/>
              </w:rPr>
            </w:pPr>
            <w:r w:rsidRPr="0002489A">
              <w:rPr>
                <w:b/>
                <w:bCs/>
              </w:rPr>
              <w:t>Common Name</w:t>
            </w:r>
          </w:p>
        </w:tc>
        <w:tc>
          <w:tcPr>
            <w:tcW w:w="1956" w:type="dxa"/>
            <w:tcBorders>
              <w:top w:val="single" w:color="auto" w:sz="2" w:space="0"/>
              <w:bottom w:val="single" w:color="000000" w:sz="12" w:space="0"/>
            </w:tcBorders>
            <w:shd w:val="clear" w:color="auto" w:fill="auto"/>
          </w:tcPr>
          <w:p w:rsidRPr="0002489A" w:rsidR="0002489A" w:rsidP="009248C2" w:rsidRDefault="0002489A" w14:paraId="7347BA4A" w14:textId="77777777">
            <w:pPr>
              <w:rPr>
                <w:b/>
                <w:bCs/>
              </w:rPr>
            </w:pPr>
            <w:r w:rsidRPr="0002489A">
              <w:rPr>
                <w:b/>
                <w:bCs/>
              </w:rPr>
              <w:t>Canopy Position</w:t>
            </w:r>
          </w:p>
        </w:tc>
      </w:tr>
      <w:tr w:rsidRPr="0002489A" w:rsidR="0002489A" w:rsidTr="0053077D" w14:paraId="6849C931" w14:textId="77777777">
        <w:tc>
          <w:tcPr>
            <w:tcW w:w="1230" w:type="dxa"/>
            <w:tcBorders>
              <w:top w:val="single" w:color="000000" w:sz="12" w:space="0"/>
            </w:tcBorders>
            <w:shd w:val="clear" w:color="auto" w:fill="auto"/>
          </w:tcPr>
          <w:p w:rsidRPr="0002489A" w:rsidR="0002489A" w:rsidP="009248C2" w:rsidRDefault="0002489A" w14:paraId="44A6B9B0" w14:textId="77777777">
            <w:pPr>
              <w:rPr>
                <w:bCs/>
              </w:rPr>
            </w:pPr>
            <w:r w:rsidRPr="0002489A">
              <w:rPr>
                <w:bCs/>
              </w:rPr>
              <w:t>PSME</w:t>
            </w:r>
          </w:p>
        </w:tc>
        <w:tc>
          <w:tcPr>
            <w:tcW w:w="2556" w:type="dxa"/>
            <w:tcBorders>
              <w:top w:val="single" w:color="000000" w:sz="12" w:space="0"/>
            </w:tcBorders>
            <w:shd w:val="clear" w:color="auto" w:fill="auto"/>
          </w:tcPr>
          <w:p w:rsidRPr="0002489A" w:rsidR="0002489A" w:rsidP="009248C2" w:rsidRDefault="0002489A" w14:paraId="4B2E615D" w14:textId="77777777">
            <w:r w:rsidRPr="0002489A">
              <w:t>Pseudotsuga menziesii</w:t>
            </w:r>
          </w:p>
        </w:tc>
        <w:tc>
          <w:tcPr>
            <w:tcW w:w="2052" w:type="dxa"/>
            <w:tcBorders>
              <w:top w:val="single" w:color="000000" w:sz="12" w:space="0"/>
            </w:tcBorders>
            <w:shd w:val="clear" w:color="auto" w:fill="auto"/>
          </w:tcPr>
          <w:p w:rsidRPr="0002489A" w:rsidR="0002489A" w:rsidP="009248C2" w:rsidRDefault="0002489A" w14:paraId="4D5A111D" w14:textId="77777777">
            <w:r w:rsidRPr="0002489A">
              <w:t>Douglas-fir</w:t>
            </w:r>
          </w:p>
        </w:tc>
        <w:tc>
          <w:tcPr>
            <w:tcW w:w="1956" w:type="dxa"/>
            <w:tcBorders>
              <w:top w:val="single" w:color="000000" w:sz="12" w:space="0"/>
            </w:tcBorders>
            <w:shd w:val="clear" w:color="auto" w:fill="auto"/>
          </w:tcPr>
          <w:p w:rsidRPr="0002489A" w:rsidR="0002489A" w:rsidP="009248C2" w:rsidRDefault="0002489A" w14:paraId="134F67B2" w14:textId="77777777">
            <w:r w:rsidRPr="0002489A">
              <w:t>Upper</w:t>
            </w:r>
          </w:p>
        </w:tc>
      </w:tr>
      <w:tr w:rsidRPr="0002489A" w:rsidR="0002489A" w:rsidTr="0053077D" w14:paraId="57F36B5D" w14:textId="77777777">
        <w:tc>
          <w:tcPr>
            <w:tcW w:w="1230" w:type="dxa"/>
            <w:shd w:val="clear" w:color="auto" w:fill="auto"/>
          </w:tcPr>
          <w:p w:rsidRPr="0002489A" w:rsidR="0002489A" w:rsidP="009248C2" w:rsidRDefault="0002489A" w14:paraId="0CF9EAF4" w14:textId="77777777">
            <w:pPr>
              <w:rPr>
                <w:bCs/>
              </w:rPr>
            </w:pPr>
            <w:r w:rsidRPr="0002489A">
              <w:rPr>
                <w:bCs/>
              </w:rPr>
              <w:t>ABGR</w:t>
            </w:r>
          </w:p>
        </w:tc>
        <w:tc>
          <w:tcPr>
            <w:tcW w:w="2556" w:type="dxa"/>
            <w:shd w:val="clear" w:color="auto" w:fill="auto"/>
          </w:tcPr>
          <w:p w:rsidRPr="0002489A" w:rsidR="0002489A" w:rsidP="009248C2" w:rsidRDefault="0002489A" w14:paraId="6AB73ABA" w14:textId="77777777">
            <w:r w:rsidRPr="0002489A">
              <w:t>Abies grandis</w:t>
            </w:r>
          </w:p>
        </w:tc>
        <w:tc>
          <w:tcPr>
            <w:tcW w:w="2052" w:type="dxa"/>
            <w:shd w:val="clear" w:color="auto" w:fill="auto"/>
          </w:tcPr>
          <w:p w:rsidRPr="0002489A" w:rsidR="0002489A" w:rsidP="009248C2" w:rsidRDefault="0002489A" w14:paraId="1254D23B" w14:textId="77777777">
            <w:r w:rsidRPr="0002489A">
              <w:t>Grand fir</w:t>
            </w:r>
          </w:p>
        </w:tc>
        <w:tc>
          <w:tcPr>
            <w:tcW w:w="1956" w:type="dxa"/>
            <w:shd w:val="clear" w:color="auto" w:fill="auto"/>
          </w:tcPr>
          <w:p w:rsidRPr="0002489A" w:rsidR="0002489A" w:rsidP="009248C2" w:rsidRDefault="0002489A" w14:paraId="5B11E10C" w14:textId="77777777">
            <w:r w:rsidRPr="0002489A">
              <w:t>Mid-Upper</w:t>
            </w:r>
          </w:p>
        </w:tc>
      </w:tr>
      <w:tr w:rsidRPr="0002489A" w:rsidR="003355EB" w:rsidTr="0053077D" w14:paraId="23218451" w14:textId="77777777">
        <w:tc>
          <w:tcPr>
            <w:tcW w:w="1230" w:type="dxa"/>
            <w:shd w:val="clear" w:color="auto" w:fill="auto"/>
          </w:tcPr>
          <w:p w:rsidRPr="0002489A" w:rsidR="003355EB" w:rsidP="003355EB" w:rsidRDefault="003355EB" w14:paraId="3BDA9A84" w14:textId="20F841F2">
            <w:pPr>
              <w:rPr>
                <w:bCs/>
              </w:rPr>
            </w:pPr>
            <w:r w:rsidRPr="000C4ECF">
              <w:t>CADE27</w:t>
            </w:r>
          </w:p>
        </w:tc>
        <w:tc>
          <w:tcPr>
            <w:tcW w:w="2556" w:type="dxa"/>
            <w:shd w:val="clear" w:color="auto" w:fill="auto"/>
          </w:tcPr>
          <w:p w:rsidRPr="0002489A" w:rsidR="003355EB" w:rsidP="003355EB" w:rsidRDefault="003355EB" w14:paraId="4C668D0C" w14:textId="6F06AF96">
            <w:r w:rsidRPr="000C4ECF">
              <w:t>Calocedrus decurrens</w:t>
            </w:r>
          </w:p>
        </w:tc>
        <w:tc>
          <w:tcPr>
            <w:tcW w:w="2052" w:type="dxa"/>
            <w:shd w:val="clear" w:color="auto" w:fill="auto"/>
          </w:tcPr>
          <w:p w:rsidRPr="0002489A" w:rsidR="003355EB" w:rsidP="003355EB" w:rsidRDefault="003355EB" w14:paraId="153DF00F" w14:textId="6E8B030D">
            <w:r w:rsidRPr="000C4ECF">
              <w:t>Incense cedar</w:t>
            </w:r>
          </w:p>
        </w:tc>
        <w:tc>
          <w:tcPr>
            <w:tcW w:w="1956" w:type="dxa"/>
            <w:shd w:val="clear" w:color="auto" w:fill="auto"/>
          </w:tcPr>
          <w:p w:rsidRPr="0002489A" w:rsidR="003355EB" w:rsidP="003355EB" w:rsidRDefault="003355EB" w14:paraId="042F3C1B" w14:textId="660109C6">
            <w:r w:rsidRPr="000C4ECF">
              <w:t>CADE27</w:t>
            </w:r>
          </w:p>
        </w:tc>
      </w:tr>
    </w:tbl>
    <w:p w:rsidR="0002489A" w:rsidP="0002489A" w:rsidRDefault="0002489A" w14:paraId="306ABF1B" w14:textId="77777777"/>
    <w:p w:rsidR="0002489A" w:rsidP="0002489A" w:rsidRDefault="0002489A" w14:paraId="0A322D01" w14:textId="77777777">
      <w:pPr>
        <w:pStyle w:val="SClassInfoPara"/>
      </w:pPr>
      <w:r>
        <w:t>Description</w:t>
      </w:r>
    </w:p>
    <w:p w:rsidR="0002489A" w:rsidP="0002489A" w:rsidRDefault="006D5CFA" w14:paraId="41F529B3" w14:textId="78EAF58F">
      <w:r>
        <w:t>M</w:t>
      </w:r>
      <w:r w:rsidR="0002489A">
        <w:t xml:space="preserve">edium (15in </w:t>
      </w:r>
      <w:r>
        <w:t>DBH</w:t>
      </w:r>
      <w:r w:rsidR="0002489A">
        <w:t xml:space="preserve">, 25m tall) and large, even-aged Douglas-fir (20in </w:t>
      </w:r>
      <w:r>
        <w:t>DBH</w:t>
      </w:r>
      <w:r w:rsidR="001A166B">
        <w:t>, 35m tall) with some grand fir</w:t>
      </w:r>
      <w:r w:rsidR="0002489A">
        <w:t xml:space="preserve"> in </w:t>
      </w:r>
      <w:r>
        <w:t xml:space="preserve">the </w:t>
      </w:r>
      <w:r w:rsidR="0002489A">
        <w:t>overstory, little understory.</w:t>
      </w:r>
      <w:r>
        <w:t xml:space="preserve"> Douglas-fir beetles can take out the older trees.</w:t>
      </w:r>
    </w:p>
    <w:p w:rsidR="0002489A" w:rsidP="0002489A" w:rsidRDefault="0002489A" w14:paraId="754D838D" w14:textId="77777777"/>
    <w:p w:rsidR="0002489A" w:rsidP="0002489A" w:rsidRDefault="0002489A" w14:paraId="1885F924"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Late1:OPN</w:t>
            </w:r>
          </w:p>
        </w:tc>
        <w:tc>
          <w:p>
            <w:pPr>
              <w:jc w:val="center"/>
            </w:pPr>
            <w:r>
              <w:rPr>
                <w:sz w:val="20"/>
              </w:rPr>
              <w:t>59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59</w:t>
            </w:r>
          </w:p>
        </w:tc>
      </w:tr>
      <w:tr>
        <w:tc>
          <w:p>
            <w:pPr>
              <w:jc w:val="center"/>
            </w:pPr>
            <w:r>
              <w:rPr>
                <w:sz w:val="20"/>
              </w:rPr>
              <w:t>Late1:OPN</w:t>
            </w:r>
          </w:p>
        </w:tc>
        <w:tc>
          <w:p>
            <w:pPr>
              <w:jc w:val="center"/>
            </w:pPr>
            <w:r>
              <w:rPr>
                <w:sz w:val="20"/>
              </w:rPr>
              <w:t>60</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60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0.0027</w:t>
            </w:r>
          </w:p>
        </w:tc>
        <w:tc>
          <w:p>
            <w:pPr>
              <w:jc w:val="center"/>
            </w:pPr>
            <w:r>
              <w:rPr>
                <w:sz w:val="20"/>
              </w:rPr>
              <w:t>370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39</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0.0027</w:t>
            </w:r>
          </w:p>
        </w:tc>
        <w:tc>
          <w:p>
            <w:pPr>
              <w:jc w:val="center"/>
            </w:pPr>
            <w:r>
              <w:rPr>
                <w:sz w:val="20"/>
              </w:rPr>
              <w:t>370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0.0027</w:t>
            </w:r>
          </w:p>
        </w:tc>
        <w:tc>
          <w:p>
            <w:pPr>
              <w:jc w:val="center"/>
            </w:pPr>
            <w:r>
              <w:rPr>
                <w:sz w:val="20"/>
              </w:rPr>
              <w:t>370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0.0027</w:t>
            </w:r>
          </w:p>
        </w:tc>
        <w:tc>
          <w:p>
            <w:pPr>
              <w:jc w:val="center"/>
            </w:pPr>
            <w:r>
              <w:rPr>
                <w:sz w:val="20"/>
              </w:rPr>
              <w:t>370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0.0027</w:t>
            </w:r>
          </w:p>
        </w:tc>
        <w:tc>
          <w:p>
            <w:pPr>
              <w:jc w:val="center"/>
            </w:pPr>
            <w:r>
              <w:rPr>
                <w:sz w:val="20"/>
              </w:rPr>
              <w:t>370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Mid1:CLS</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2489A" w:rsidP="0002489A" w:rsidRDefault="0002489A" w14:paraId="115E715B" w14:textId="200534F7">
      <w:r>
        <w:lastRenderedPageBreak/>
        <w:t>Kertis, J. 2004. Valley fringe fire history study. Unpub. Data on file. Corvallis, OR: USDA Forest Service, Siuslaw National Forest.</w:t>
      </w:r>
    </w:p>
    <w:p w:rsidR="0002489A" w:rsidP="0002489A" w:rsidRDefault="0002489A" w14:paraId="6F2F6C99" w14:textId="77777777"/>
    <w:p w:rsidR="0002489A" w:rsidP="0002489A" w:rsidRDefault="0002489A" w14:paraId="096620CC" w14:textId="77777777">
      <w:r>
        <w:t>NatureServe. 2007. International Ecological Classification Standard: Terrestrial Ecological Classifications. NatureServe Central Databases. Arlington, VA. Data current as of 10 February 2007.</w:t>
      </w:r>
    </w:p>
    <w:p w:rsidR="0002489A" w:rsidP="0002489A" w:rsidRDefault="0002489A" w14:paraId="2E04E549" w14:textId="77777777"/>
    <w:p w:rsidR="0002489A" w:rsidP="0002489A" w:rsidRDefault="0002489A" w14:paraId="0CDCFDAF" w14:textId="02CDADA5">
      <w:r>
        <w:t>Robbins, D. 2005. Temporal and Spatial Variability of Historic Fire Frequency in the Southern Willamette Valley Foothills of Oregon. MS thesis. Oregon State University.</w:t>
      </w:r>
    </w:p>
    <w:p w:rsidR="0002489A" w:rsidP="0002489A" w:rsidRDefault="0002489A" w14:paraId="14FCE616" w14:textId="77777777"/>
    <w:p w:rsidR="0002489A" w:rsidP="0002489A" w:rsidRDefault="0002489A" w14:paraId="4513A6B8" w14:textId="68AAD01B">
      <w:r>
        <w:t xml:space="preserve">Weisberg, P.J. 1998. Fire History, Fire Regimes and </w:t>
      </w:r>
      <w:r w:rsidR="00CB5625">
        <w:t>Development</w:t>
      </w:r>
      <w:r>
        <w:t xml:space="preserve"> of Forest Structure in the Central Western Oregon Cascades.  PhD dissertation. Oregon State University. 256 pp.</w:t>
      </w:r>
    </w:p>
    <w:p w:rsidR="004D5F12" w:rsidP="0002489A" w:rsidRDefault="004D5F12" w14:paraId="1DEFBAAF" w14:textId="77777777"/>
    <w:p w:rsidR="002F1AFE" w:rsidP="0002489A" w:rsidRDefault="002F1AFE" w14:paraId="10FE7E1D" w14:textId="77777777"/>
    <w:p w:rsidR="002F1AFE" w:rsidP="0002489A" w:rsidRDefault="002F1AFE" w14:paraId="0E38E5CC" w14:textId="77777777"/>
    <w:p w:rsidR="002F1AFE" w:rsidP="0002489A" w:rsidRDefault="002F1AFE" w14:paraId="37D46C9F" w14:textId="77777777"/>
    <w:p w:rsidRPr="00A43E41" w:rsidR="00C8149B" w:rsidP="0002489A" w:rsidRDefault="002F1AFE" w14:paraId="7258AE3F" w14:textId="56C0FFB5">
      <w:r>
        <w:rPr>
          <w:noProof/>
        </w:rPr>
        <mc:AlternateContent>
          <mc:Choice Requires="wps">
            <w:drawing>
              <wp:anchor distT="0" distB="0" distL="114300" distR="114300" simplePos="0" relativeHeight="251659264" behindDoc="0" locked="0" layoutInCell="1" allowOverlap="1" wp14:editId="39FF607B" wp14:anchorId="59C59931">
                <wp:simplePos x="0" y="0"/>
                <wp:positionH relativeFrom="column">
                  <wp:posOffset>5705475</wp:posOffset>
                </wp:positionH>
                <wp:positionV relativeFrom="paragraph">
                  <wp:posOffset>4478655</wp:posOffset>
                </wp:positionV>
                <wp:extent cx="857250" cy="828675"/>
                <wp:effectExtent l="0" t="0" r="19050" b="28575"/>
                <wp:wrapNone/>
                <wp:docPr id="4" name="Oval 4"/>
                <wp:cNvGraphicFramePr/>
                <a:graphic xmlns:a="http://schemas.openxmlformats.org/drawingml/2006/main">
                  <a:graphicData uri="http://schemas.microsoft.com/office/word/2010/wordprocessingShape">
                    <wps:wsp>
                      <wps:cNvSpPr/>
                      <wps:spPr>
                        <a:xfrm>
                          <a:off x="0" y="0"/>
                          <a:ext cx="857250" cy="828675"/>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style="position:absolute;margin-left:449.25pt;margin-top:352.65pt;width:67.5pt;height:6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c0504d [3205]" strokeweight="2pt" w14:anchorId="2A6C16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"/>
            </w:pict>
          </mc:Fallback>
        </mc:AlternateContent>
      </w:r>
    </w:p>
    <w:sectPr w:rsidRPr="00A43E41" w:rsidR="00C8149B" w:rsidSect="00F03E2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3240C" w14:textId="77777777" w:rsidR="002131C9" w:rsidRDefault="002131C9">
      <w:r>
        <w:separator/>
      </w:r>
    </w:p>
  </w:endnote>
  <w:endnote w:type="continuationSeparator" w:id="0">
    <w:p w14:paraId="7ED271C9" w14:textId="77777777" w:rsidR="002131C9" w:rsidRDefault="002131C9">
      <w:r>
        <w:continuationSeparator/>
      </w:r>
    </w:p>
  </w:endnote>
  <w:endnote w:type="continuationNotice" w:id="1">
    <w:p w14:paraId="1D0D5A65" w14:textId="77777777" w:rsidR="002131C9" w:rsidRDefault="002131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82092" w14:textId="77777777" w:rsidR="0002489A" w:rsidRDefault="0002489A" w:rsidP="0002489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60B8B" w14:textId="77777777" w:rsidR="002131C9" w:rsidRDefault="002131C9">
      <w:r>
        <w:separator/>
      </w:r>
    </w:p>
  </w:footnote>
  <w:footnote w:type="continuationSeparator" w:id="0">
    <w:p w14:paraId="62726141" w14:textId="77777777" w:rsidR="002131C9" w:rsidRDefault="002131C9">
      <w:r>
        <w:continuationSeparator/>
      </w:r>
    </w:p>
  </w:footnote>
  <w:footnote w:type="continuationNotice" w:id="1">
    <w:p w14:paraId="6CD14DA6" w14:textId="77777777" w:rsidR="002131C9" w:rsidRDefault="002131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25348" w14:textId="77777777" w:rsidR="00A43E41" w:rsidRDefault="00A43E41" w:rsidP="0002489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C74F4"/>
    <w:multiLevelType w:val="hybridMultilevel"/>
    <w:tmpl w:val="E7368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89A"/>
    <w:rsid w:val="00006AF9"/>
    <w:rsid w:val="0002489A"/>
    <w:rsid w:val="00027A07"/>
    <w:rsid w:val="00031661"/>
    <w:rsid w:val="000549CE"/>
    <w:rsid w:val="00060925"/>
    <w:rsid w:val="00064DCF"/>
    <w:rsid w:val="00076A1A"/>
    <w:rsid w:val="0008273B"/>
    <w:rsid w:val="000D2569"/>
    <w:rsid w:val="000D328C"/>
    <w:rsid w:val="0012420B"/>
    <w:rsid w:val="0016257C"/>
    <w:rsid w:val="00190A7C"/>
    <w:rsid w:val="001A166B"/>
    <w:rsid w:val="001C2B3F"/>
    <w:rsid w:val="001C6C44"/>
    <w:rsid w:val="002131C9"/>
    <w:rsid w:val="0025768B"/>
    <w:rsid w:val="002836E8"/>
    <w:rsid w:val="00285F40"/>
    <w:rsid w:val="002950FE"/>
    <w:rsid w:val="002A563D"/>
    <w:rsid w:val="002F1AFE"/>
    <w:rsid w:val="003212A5"/>
    <w:rsid w:val="003355EB"/>
    <w:rsid w:val="00350019"/>
    <w:rsid w:val="00367591"/>
    <w:rsid w:val="0037120A"/>
    <w:rsid w:val="003C4AA1"/>
    <w:rsid w:val="003F31A4"/>
    <w:rsid w:val="003F322E"/>
    <w:rsid w:val="004016D3"/>
    <w:rsid w:val="00413292"/>
    <w:rsid w:val="004D5F12"/>
    <w:rsid w:val="0053077D"/>
    <w:rsid w:val="0057109A"/>
    <w:rsid w:val="00572597"/>
    <w:rsid w:val="00586B93"/>
    <w:rsid w:val="005A033C"/>
    <w:rsid w:val="005B1DDE"/>
    <w:rsid w:val="005C2928"/>
    <w:rsid w:val="005E309F"/>
    <w:rsid w:val="00621C0C"/>
    <w:rsid w:val="00634D1E"/>
    <w:rsid w:val="00641DED"/>
    <w:rsid w:val="00683368"/>
    <w:rsid w:val="006A51EC"/>
    <w:rsid w:val="006D2137"/>
    <w:rsid w:val="006D5CFA"/>
    <w:rsid w:val="006E59C5"/>
    <w:rsid w:val="00751DBE"/>
    <w:rsid w:val="00760203"/>
    <w:rsid w:val="007742B4"/>
    <w:rsid w:val="007C716F"/>
    <w:rsid w:val="007E4B31"/>
    <w:rsid w:val="0083523E"/>
    <w:rsid w:val="00857297"/>
    <w:rsid w:val="008610DF"/>
    <w:rsid w:val="008C1B3F"/>
    <w:rsid w:val="008F1823"/>
    <w:rsid w:val="00901CA2"/>
    <w:rsid w:val="009275B8"/>
    <w:rsid w:val="00945DBA"/>
    <w:rsid w:val="00964894"/>
    <w:rsid w:val="00967C07"/>
    <w:rsid w:val="009C159A"/>
    <w:rsid w:val="009E0DB5"/>
    <w:rsid w:val="009F25DF"/>
    <w:rsid w:val="00A3523F"/>
    <w:rsid w:val="00A43E41"/>
    <w:rsid w:val="00A44EF7"/>
    <w:rsid w:val="00A91BB3"/>
    <w:rsid w:val="00B17612"/>
    <w:rsid w:val="00B746D4"/>
    <w:rsid w:val="00B9168A"/>
    <w:rsid w:val="00B92A33"/>
    <w:rsid w:val="00C03E46"/>
    <w:rsid w:val="00C27C9D"/>
    <w:rsid w:val="00C8149B"/>
    <w:rsid w:val="00CA34B6"/>
    <w:rsid w:val="00CA3D76"/>
    <w:rsid w:val="00CB5625"/>
    <w:rsid w:val="00CD5755"/>
    <w:rsid w:val="00D0196B"/>
    <w:rsid w:val="00D04D5D"/>
    <w:rsid w:val="00D111B5"/>
    <w:rsid w:val="00D12502"/>
    <w:rsid w:val="00D5780A"/>
    <w:rsid w:val="00D74F83"/>
    <w:rsid w:val="00D765BE"/>
    <w:rsid w:val="00D81349"/>
    <w:rsid w:val="00DE3A47"/>
    <w:rsid w:val="00DE5B29"/>
    <w:rsid w:val="00DE7489"/>
    <w:rsid w:val="00E01EC8"/>
    <w:rsid w:val="00E112E9"/>
    <w:rsid w:val="00E61F9B"/>
    <w:rsid w:val="00E8108A"/>
    <w:rsid w:val="00E866E9"/>
    <w:rsid w:val="00EC4A14"/>
    <w:rsid w:val="00ED3436"/>
    <w:rsid w:val="00EF6C66"/>
    <w:rsid w:val="00F03E28"/>
    <w:rsid w:val="00F12753"/>
    <w:rsid w:val="00F1751A"/>
    <w:rsid w:val="00F55FA9"/>
    <w:rsid w:val="00F86C13"/>
    <w:rsid w:val="00F873A7"/>
    <w:rsid w:val="00F948F2"/>
    <w:rsid w:val="00FA28B7"/>
    <w:rsid w:val="00FA44A6"/>
    <w:rsid w:val="00FC671A"/>
    <w:rsid w:val="00FE41CA"/>
    <w:rsid w:val="00FF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2972A5"/>
  <w15:docId w15:val="{FE87FD89-F7C5-4EF5-8FC1-9BE42B5B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A3D76"/>
    <w:pPr>
      <w:ind w:left="720"/>
    </w:pPr>
    <w:rPr>
      <w:rFonts w:ascii="Calibri" w:eastAsiaTheme="minorHAnsi" w:hAnsi="Calibri"/>
      <w:sz w:val="22"/>
      <w:szCs w:val="22"/>
    </w:rPr>
  </w:style>
  <w:style w:type="character" w:styleId="Hyperlink">
    <w:name w:val="Hyperlink"/>
    <w:basedOn w:val="DefaultParagraphFont"/>
    <w:rsid w:val="00CA3D76"/>
    <w:rPr>
      <w:color w:val="0000FF" w:themeColor="hyperlink"/>
      <w:u w:val="single"/>
    </w:rPr>
  </w:style>
  <w:style w:type="paragraph" w:styleId="BalloonText">
    <w:name w:val="Balloon Text"/>
    <w:basedOn w:val="Normal"/>
    <w:link w:val="BalloonTextChar"/>
    <w:uiPriority w:val="99"/>
    <w:semiHidden/>
    <w:unhideWhenUsed/>
    <w:rsid w:val="00CA3D76"/>
    <w:rPr>
      <w:rFonts w:ascii="Tahoma" w:hAnsi="Tahoma" w:cs="Tahoma"/>
      <w:sz w:val="16"/>
      <w:szCs w:val="16"/>
    </w:rPr>
  </w:style>
  <w:style w:type="character" w:customStyle="1" w:styleId="BalloonTextChar">
    <w:name w:val="Balloon Text Char"/>
    <w:basedOn w:val="DefaultParagraphFont"/>
    <w:link w:val="BalloonText"/>
    <w:uiPriority w:val="99"/>
    <w:semiHidden/>
    <w:rsid w:val="00CA3D76"/>
    <w:rPr>
      <w:rFonts w:ascii="Tahoma" w:hAnsi="Tahoma" w:cs="Tahoma"/>
      <w:sz w:val="16"/>
      <w:szCs w:val="16"/>
    </w:rPr>
  </w:style>
  <w:style w:type="character" w:styleId="CommentReference">
    <w:name w:val="annotation reference"/>
    <w:basedOn w:val="DefaultParagraphFont"/>
    <w:uiPriority w:val="99"/>
    <w:semiHidden/>
    <w:unhideWhenUsed/>
    <w:rsid w:val="00076A1A"/>
    <w:rPr>
      <w:sz w:val="16"/>
      <w:szCs w:val="16"/>
    </w:rPr>
  </w:style>
  <w:style w:type="paragraph" w:styleId="CommentText">
    <w:name w:val="annotation text"/>
    <w:basedOn w:val="Normal"/>
    <w:link w:val="CommentTextChar"/>
    <w:uiPriority w:val="99"/>
    <w:semiHidden/>
    <w:unhideWhenUsed/>
    <w:rsid w:val="00076A1A"/>
    <w:rPr>
      <w:sz w:val="20"/>
      <w:szCs w:val="20"/>
    </w:rPr>
  </w:style>
  <w:style w:type="character" w:customStyle="1" w:styleId="CommentTextChar">
    <w:name w:val="Comment Text Char"/>
    <w:basedOn w:val="DefaultParagraphFont"/>
    <w:link w:val="CommentText"/>
    <w:uiPriority w:val="99"/>
    <w:semiHidden/>
    <w:rsid w:val="00076A1A"/>
  </w:style>
  <w:style w:type="paragraph" w:styleId="CommentSubject">
    <w:name w:val="annotation subject"/>
    <w:basedOn w:val="CommentText"/>
    <w:next w:val="CommentText"/>
    <w:link w:val="CommentSubjectChar"/>
    <w:uiPriority w:val="99"/>
    <w:semiHidden/>
    <w:unhideWhenUsed/>
    <w:rsid w:val="00076A1A"/>
    <w:rPr>
      <w:b/>
      <w:bCs/>
    </w:rPr>
  </w:style>
  <w:style w:type="character" w:customStyle="1" w:styleId="CommentSubjectChar">
    <w:name w:val="Comment Subject Char"/>
    <w:basedOn w:val="CommentTextChar"/>
    <w:link w:val="CommentSubject"/>
    <w:uiPriority w:val="99"/>
    <w:semiHidden/>
    <w:rsid w:val="00076A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296717">
      <w:bodyDiv w:val="1"/>
      <w:marLeft w:val="0"/>
      <w:marRight w:val="0"/>
      <w:marTop w:val="0"/>
      <w:marBottom w:val="0"/>
      <w:divBdr>
        <w:top w:val="none" w:sz="0" w:space="0" w:color="auto"/>
        <w:left w:val="none" w:sz="0" w:space="0" w:color="auto"/>
        <w:bottom w:val="none" w:sz="0" w:space="0" w:color="auto"/>
        <w:right w:val="none" w:sz="0" w:space="0" w:color="auto"/>
      </w:divBdr>
    </w:div>
    <w:div w:id="206132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8</TotalTime>
  <Pages>5</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2014-08-19T01:07:00Z</cp:lastPrinted>
  <dcterms:created xsi:type="dcterms:W3CDTF">2017-08-01T23:50:00Z</dcterms:created>
  <dcterms:modified xsi:type="dcterms:W3CDTF">2018-12-06T21:37:00Z</dcterms:modified>
</cp:coreProperties>
</file>