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7FE" w:rsidP="00C217FE" w:rsidRDefault="00C217FE" w14:paraId="1F402143" w14:textId="5835D9AD">
      <w:pPr>
        <w:pStyle w:val="BpSTitle"/>
      </w:pPr>
      <w:r>
        <w:t>10411</w:t>
      </w:r>
    </w:p>
    <w:p w:rsidR="00C217FE" w:rsidP="00C217FE" w:rsidRDefault="00C217FE" w14:paraId="7A48D9FC" w14:textId="29BFB207">
      <w:pPr>
        <w:pStyle w:val="BpSTitle"/>
      </w:pPr>
      <w:r>
        <w:t>North Pacific Mountain Hemlock Forest-Wet</w:t>
      </w:r>
    </w:p>
    <w:p w:rsidR="00C217FE" w:rsidP="00CA4B21" w:rsidRDefault="00C217FE" w14:paraId="57DF7FCC" w14:textId="3A1D7961">
      <w:pPr>
        <w:tabs>
          <w:tab w:val="left" w:pos="6840"/>
        </w:tabs>
      </w:pPr>
      <w:r>
        <w:t xmlns:w="http://schemas.openxmlformats.org/wordprocessingml/2006/main">BpS Model/Description Version: Aug. 2020</w:t>
      </w:r>
      <w:r w:rsidR="00CA4B21">
        <w:tab/>
      </w:r>
    </w:p>
    <w:p w:rsidR="00C217FE" w:rsidP="00A61275" w:rsidRDefault="00C217FE" w14:paraId="34369A7D"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556"/>
        <w:gridCol w:w="1908"/>
        <w:gridCol w:w="2532"/>
      </w:tblGrid>
      <w:tr w:rsidRPr="00C217FE" w:rsidR="00C217FE" w:rsidTr="00C217FE" w14:paraId="2E86FF90" w14:textId="77777777">
        <w:tc>
          <w:tcPr>
            <w:tcW w:w="1836" w:type="dxa"/>
            <w:tcBorders>
              <w:top w:val="single" w:color="auto" w:sz="2" w:space="0"/>
              <w:left w:val="single" w:color="auto" w:sz="12" w:space="0"/>
              <w:bottom w:val="single" w:color="000000" w:sz="12" w:space="0"/>
            </w:tcBorders>
            <w:shd w:val="clear" w:color="auto" w:fill="auto"/>
          </w:tcPr>
          <w:p w:rsidRPr="00C217FE" w:rsidR="00C217FE" w:rsidP="00016B77" w:rsidRDefault="00C217FE" w14:paraId="2DD17E09" w14:textId="77777777">
            <w:pPr>
              <w:rPr>
                <w:b/>
                <w:bCs/>
              </w:rPr>
            </w:pPr>
            <w:r w:rsidRPr="00C217FE">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C217FE" w:rsidR="00C217FE" w:rsidP="00016B77" w:rsidRDefault="00C217FE" w14:paraId="58DCE3D4"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C217FE" w:rsidR="00C217FE" w:rsidP="00016B77" w:rsidRDefault="00C217FE" w14:paraId="2D1D1D93" w14:textId="77777777">
            <w:pPr>
              <w:rPr>
                <w:b/>
                <w:bCs/>
              </w:rPr>
            </w:pPr>
            <w:r w:rsidRPr="00C217FE">
              <w:rPr>
                <w:b/>
                <w:bCs/>
              </w:rPr>
              <w:t>Reviewers</w:t>
            </w:r>
          </w:p>
        </w:tc>
        <w:tc>
          <w:tcPr>
            <w:tcW w:w="2532" w:type="dxa"/>
            <w:tcBorders>
              <w:top w:val="single" w:color="auto" w:sz="2" w:space="0"/>
              <w:bottom w:val="single" w:color="000000" w:sz="12" w:space="0"/>
            </w:tcBorders>
            <w:shd w:val="clear" w:color="auto" w:fill="auto"/>
          </w:tcPr>
          <w:p w:rsidRPr="00C217FE" w:rsidR="00C217FE" w:rsidP="00016B77" w:rsidRDefault="00C217FE" w14:paraId="510456E9" w14:textId="77777777">
            <w:pPr>
              <w:rPr>
                <w:b/>
                <w:bCs/>
              </w:rPr>
            </w:pPr>
          </w:p>
        </w:tc>
      </w:tr>
      <w:tr w:rsidRPr="00C217FE" w:rsidR="00C217FE" w:rsidTr="00C217FE" w14:paraId="3AE02073" w14:textId="77777777">
        <w:tc>
          <w:tcPr>
            <w:tcW w:w="1836" w:type="dxa"/>
            <w:tcBorders>
              <w:top w:val="single" w:color="000000" w:sz="12" w:space="0"/>
              <w:left w:val="single" w:color="auto" w:sz="12" w:space="0"/>
            </w:tcBorders>
            <w:shd w:val="clear" w:color="auto" w:fill="auto"/>
          </w:tcPr>
          <w:p w:rsidRPr="00C217FE" w:rsidR="00C217FE" w:rsidP="00016B77" w:rsidRDefault="00C217FE" w14:paraId="0C0705C4" w14:textId="77777777">
            <w:pPr>
              <w:rPr>
                <w:bCs/>
              </w:rPr>
            </w:pPr>
            <w:r w:rsidRPr="00C217FE">
              <w:rPr>
                <w:bCs/>
              </w:rPr>
              <w:t>Robin Lesher</w:t>
            </w:r>
          </w:p>
        </w:tc>
        <w:tc>
          <w:tcPr>
            <w:tcW w:w="2556" w:type="dxa"/>
            <w:tcBorders>
              <w:top w:val="single" w:color="000000" w:sz="12" w:space="0"/>
              <w:right w:val="single" w:color="000000" w:sz="12" w:space="0"/>
            </w:tcBorders>
            <w:shd w:val="clear" w:color="auto" w:fill="auto"/>
          </w:tcPr>
          <w:p w:rsidRPr="00C217FE" w:rsidR="00C217FE" w:rsidP="00016B77" w:rsidRDefault="00C217FE" w14:paraId="0474EA80" w14:textId="77777777">
            <w:r w:rsidRPr="00C217FE">
              <w:t>rlesher@fs.fed.us</w:t>
            </w:r>
          </w:p>
        </w:tc>
        <w:tc>
          <w:tcPr>
            <w:tcW w:w="1908" w:type="dxa"/>
            <w:tcBorders>
              <w:top w:val="single" w:color="000000" w:sz="12" w:space="0"/>
              <w:left w:val="single" w:color="000000" w:sz="12" w:space="0"/>
            </w:tcBorders>
            <w:shd w:val="clear" w:color="auto" w:fill="auto"/>
          </w:tcPr>
          <w:p w:rsidRPr="00C217FE" w:rsidR="00C217FE" w:rsidP="00016B77" w:rsidRDefault="00C217FE" w14:paraId="1454F01E" w14:textId="77777777">
            <w:r w:rsidRPr="00C217FE">
              <w:t>Rod Clausnitzer</w:t>
            </w:r>
          </w:p>
        </w:tc>
        <w:tc>
          <w:tcPr>
            <w:tcW w:w="2532" w:type="dxa"/>
            <w:tcBorders>
              <w:top w:val="single" w:color="000000" w:sz="12" w:space="0"/>
            </w:tcBorders>
            <w:shd w:val="clear" w:color="auto" w:fill="auto"/>
          </w:tcPr>
          <w:p w:rsidRPr="00C217FE" w:rsidR="00C217FE" w:rsidP="00016B77" w:rsidRDefault="00C217FE" w14:paraId="198C6A8B" w14:textId="77777777">
            <w:r w:rsidRPr="00C217FE">
              <w:t>rclausnitzer@fs.fed.us</w:t>
            </w:r>
          </w:p>
        </w:tc>
      </w:tr>
      <w:tr w:rsidRPr="00C217FE" w:rsidR="00C217FE" w:rsidTr="00C217FE" w14:paraId="3E2C7475" w14:textId="77777777">
        <w:tc>
          <w:tcPr>
            <w:tcW w:w="1836" w:type="dxa"/>
            <w:tcBorders>
              <w:left w:val="single" w:color="auto" w:sz="12" w:space="0"/>
            </w:tcBorders>
            <w:shd w:val="clear" w:color="auto" w:fill="auto"/>
          </w:tcPr>
          <w:p w:rsidRPr="00C217FE" w:rsidR="00C217FE" w:rsidP="00016B77" w:rsidRDefault="00C217FE" w14:paraId="4349C055" w14:textId="77777777">
            <w:pPr>
              <w:rPr>
                <w:bCs/>
              </w:rPr>
            </w:pPr>
            <w:r w:rsidRPr="00C217FE">
              <w:rPr>
                <w:bCs/>
              </w:rPr>
              <w:t>Jan Henderson</w:t>
            </w:r>
          </w:p>
        </w:tc>
        <w:tc>
          <w:tcPr>
            <w:tcW w:w="2556" w:type="dxa"/>
            <w:tcBorders>
              <w:right w:val="single" w:color="000000" w:sz="12" w:space="0"/>
            </w:tcBorders>
            <w:shd w:val="clear" w:color="auto" w:fill="auto"/>
          </w:tcPr>
          <w:p w:rsidRPr="00C217FE" w:rsidR="00C217FE" w:rsidP="00016B77" w:rsidRDefault="00C217FE" w14:paraId="7F644D93" w14:textId="77777777">
            <w:r w:rsidRPr="00C217FE">
              <w:t>jahenderson@fs.fed.us</w:t>
            </w:r>
          </w:p>
        </w:tc>
        <w:tc>
          <w:tcPr>
            <w:tcW w:w="1908" w:type="dxa"/>
            <w:tcBorders>
              <w:left w:val="single" w:color="000000" w:sz="12" w:space="0"/>
            </w:tcBorders>
            <w:shd w:val="clear" w:color="auto" w:fill="auto"/>
          </w:tcPr>
          <w:p w:rsidRPr="00C217FE" w:rsidR="00C217FE" w:rsidP="00016B77" w:rsidRDefault="00C217FE" w14:paraId="4600F24B" w14:textId="77777777">
            <w:r w:rsidRPr="00C217FE">
              <w:t>None</w:t>
            </w:r>
          </w:p>
        </w:tc>
        <w:tc>
          <w:tcPr>
            <w:tcW w:w="2532" w:type="dxa"/>
            <w:shd w:val="clear" w:color="auto" w:fill="auto"/>
          </w:tcPr>
          <w:p w:rsidRPr="00C217FE" w:rsidR="00C217FE" w:rsidP="00016B77" w:rsidRDefault="00C217FE" w14:paraId="2D5C04AF" w14:textId="77777777">
            <w:r w:rsidRPr="00C217FE">
              <w:t>None</w:t>
            </w:r>
          </w:p>
        </w:tc>
      </w:tr>
      <w:tr w:rsidRPr="00C217FE" w:rsidR="00C217FE" w:rsidTr="00C217FE" w14:paraId="07030AD0" w14:textId="77777777">
        <w:tc>
          <w:tcPr>
            <w:tcW w:w="1836" w:type="dxa"/>
            <w:tcBorders>
              <w:left w:val="single" w:color="auto" w:sz="12" w:space="0"/>
              <w:bottom w:val="single" w:color="auto" w:sz="2" w:space="0"/>
            </w:tcBorders>
            <w:shd w:val="clear" w:color="auto" w:fill="auto"/>
          </w:tcPr>
          <w:p w:rsidRPr="00C217FE" w:rsidR="00C217FE" w:rsidP="00016B77" w:rsidRDefault="00C217FE" w14:paraId="4A7C7FE6" w14:textId="77777777">
            <w:pPr>
              <w:rPr>
                <w:bCs/>
              </w:rPr>
            </w:pPr>
            <w:r w:rsidRPr="00C217FE">
              <w:rPr>
                <w:bCs/>
              </w:rPr>
              <w:t>None</w:t>
            </w:r>
          </w:p>
        </w:tc>
        <w:tc>
          <w:tcPr>
            <w:tcW w:w="2556" w:type="dxa"/>
            <w:tcBorders>
              <w:right w:val="single" w:color="000000" w:sz="12" w:space="0"/>
            </w:tcBorders>
            <w:shd w:val="clear" w:color="auto" w:fill="auto"/>
          </w:tcPr>
          <w:p w:rsidRPr="00C217FE" w:rsidR="00C217FE" w:rsidP="00016B77" w:rsidRDefault="00C217FE" w14:paraId="25437AC4" w14:textId="77777777">
            <w:r w:rsidRPr="00C217FE">
              <w:t>None</w:t>
            </w:r>
          </w:p>
        </w:tc>
        <w:tc>
          <w:tcPr>
            <w:tcW w:w="1908" w:type="dxa"/>
            <w:tcBorders>
              <w:left w:val="single" w:color="000000" w:sz="12" w:space="0"/>
              <w:bottom w:val="single" w:color="auto" w:sz="2" w:space="0"/>
            </w:tcBorders>
            <w:shd w:val="clear" w:color="auto" w:fill="auto"/>
          </w:tcPr>
          <w:p w:rsidRPr="00C217FE" w:rsidR="00C217FE" w:rsidP="00016B77" w:rsidRDefault="00C217FE" w14:paraId="28C96D5F" w14:textId="77777777">
            <w:r w:rsidRPr="00C217FE">
              <w:t>None</w:t>
            </w:r>
          </w:p>
        </w:tc>
        <w:tc>
          <w:tcPr>
            <w:tcW w:w="2532" w:type="dxa"/>
            <w:shd w:val="clear" w:color="auto" w:fill="auto"/>
          </w:tcPr>
          <w:p w:rsidRPr="00C217FE" w:rsidR="00C217FE" w:rsidP="00016B77" w:rsidRDefault="00C217FE" w14:paraId="5275A9E1" w14:textId="77777777">
            <w:r w:rsidRPr="00C217FE">
              <w:t>None</w:t>
            </w:r>
          </w:p>
        </w:tc>
      </w:tr>
    </w:tbl>
    <w:p w:rsidR="00C217FE" w:rsidP="00C217FE" w:rsidRDefault="00C217FE" w14:paraId="1AC27A86" w14:textId="77777777"/>
    <w:p w:rsidR="00C217FE" w:rsidP="00C217FE" w:rsidRDefault="00C217FE" w14:paraId="31E3198F" w14:textId="77777777">
      <w:pPr>
        <w:pStyle w:val="InfoPara"/>
      </w:pPr>
      <w:r>
        <w:t>Vegetation Type</w:t>
      </w:r>
    </w:p>
    <w:p w:rsidR="00C217FE" w:rsidP="00C217FE" w:rsidRDefault="00C217FE" w14:paraId="7058433C" w14:textId="77777777">
      <w:r>
        <w:t>Forest and Woodland</w:t>
      </w:r>
    </w:p>
    <w:p w:rsidR="00C217FE" w:rsidP="00C217FE" w:rsidRDefault="00C217FE" w14:paraId="05184F29" w14:textId="77777777">
      <w:pPr>
        <w:pStyle w:val="InfoPara"/>
      </w:pPr>
      <w:r>
        <w:t>Map Zones</w:t>
      </w:r>
    </w:p>
    <w:p w:rsidR="00C217FE" w:rsidP="00C217FE" w:rsidRDefault="00C959B5" w14:paraId="10A17CD6" w14:textId="7E92281E">
      <w:r>
        <w:t xml:space="preserve">1, </w:t>
      </w:r>
      <w:r w:rsidR="00C217FE">
        <w:t>7</w:t>
      </w:r>
    </w:p>
    <w:p w:rsidR="00C217FE" w:rsidP="00C217FE" w:rsidRDefault="00C217FE" w14:paraId="1E3EE646" w14:textId="77777777">
      <w:pPr>
        <w:pStyle w:val="InfoPara"/>
      </w:pPr>
      <w:r>
        <w:t>Model Splits or Lumps</w:t>
      </w:r>
    </w:p>
    <w:p w:rsidR="00C217FE" w:rsidP="00C217FE" w:rsidRDefault="00C217FE" w14:paraId="31AF651F" w14:textId="71EC566C">
      <w:r>
        <w:t xml:space="preserve">This </w:t>
      </w:r>
      <w:r w:rsidR="00CA4B21">
        <w:t>biophysical setting (</w:t>
      </w:r>
      <w:r>
        <w:t>BpS</w:t>
      </w:r>
      <w:r w:rsidR="00CA4B21">
        <w:t>)</w:t>
      </w:r>
      <w:r>
        <w:t xml:space="preserve"> is split into multiple models:</w:t>
      </w:r>
      <w:r w:rsidR="00CA4B21">
        <w:t xml:space="preserve"> w</w:t>
      </w:r>
      <w:r w:rsidR="00C959B5">
        <w:t xml:space="preserve">et and dry. </w:t>
      </w:r>
      <w:r>
        <w:t xml:space="preserve">Washington has two types </w:t>
      </w:r>
      <w:r w:rsidR="00CA4B21">
        <w:t>of mountain h</w:t>
      </w:r>
      <w:r>
        <w:t xml:space="preserve">emlock. </w:t>
      </w:r>
      <w:r w:rsidR="0021723C">
        <w:t xml:space="preserve">This model </w:t>
      </w:r>
      <w:r>
        <w:t>represents the wet variant. For the dry variant</w:t>
      </w:r>
      <w:r w:rsidR="00CA4B21">
        <w:t>,</w:t>
      </w:r>
      <w:r>
        <w:t xml:space="preserve"> use the </w:t>
      </w:r>
      <w:r w:rsidR="0037057B">
        <w:t xml:space="preserve">model </w:t>
      </w:r>
      <w:r w:rsidR="00CA4B21">
        <w:t xml:space="preserve">for </w:t>
      </w:r>
      <w:r>
        <w:t>10412.</w:t>
      </w:r>
    </w:p>
    <w:p w:rsidR="00C217FE" w:rsidP="00C217FE" w:rsidRDefault="00C217FE" w14:paraId="30C71AAC" w14:textId="77777777">
      <w:pPr>
        <w:pStyle w:val="InfoPara"/>
      </w:pPr>
      <w:r>
        <w:t>Geographic Range</w:t>
      </w:r>
    </w:p>
    <w:p w:rsidR="00C217FE" w:rsidP="00C217FE" w:rsidRDefault="00C217FE" w14:paraId="61570C1A" w14:textId="33661804">
      <w:r>
        <w:t>This type occupies some of the highest</w:t>
      </w:r>
      <w:r w:rsidR="00CA4B21">
        <w:t xml:space="preserve"> </w:t>
      </w:r>
      <w:r>
        <w:t xml:space="preserve">elevation forested zones in the Northern Cascades and Olympic </w:t>
      </w:r>
      <w:r w:rsidR="00CA4B21">
        <w:t>m</w:t>
      </w:r>
      <w:r>
        <w:t>ountains. This type is rare f</w:t>
      </w:r>
      <w:r w:rsidR="00CA4B21">
        <w:t>a</w:t>
      </w:r>
      <w:r>
        <w:t>rther sout</w:t>
      </w:r>
      <w:r w:rsidR="00C959B5">
        <w:t>h. It occurs in the Gifford Pinc</w:t>
      </w:r>
      <w:r>
        <w:t>hot N</w:t>
      </w:r>
      <w:r w:rsidR="00CA4B21">
        <w:t>ational Forest</w:t>
      </w:r>
      <w:r>
        <w:t xml:space="preserve"> sporadically, and possibly in northern Oregon.</w:t>
      </w:r>
    </w:p>
    <w:p w:rsidR="00C217FE" w:rsidP="00C217FE" w:rsidRDefault="00C217FE" w14:paraId="6378368E" w14:textId="77777777">
      <w:pPr>
        <w:pStyle w:val="InfoPara"/>
      </w:pPr>
      <w:r>
        <w:t>Biophysical Site Description</w:t>
      </w:r>
    </w:p>
    <w:p w:rsidR="00C217FE" w:rsidP="00C217FE" w:rsidRDefault="00C217FE" w14:paraId="15D1E21F" w14:textId="6EB41EC7">
      <w:r>
        <w:t>The lower elevation limit of the type ranges from about 3</w:t>
      </w:r>
      <w:r w:rsidR="007802A0">
        <w:t>,</w:t>
      </w:r>
      <w:r>
        <w:t>000ft in the Olympics, 3</w:t>
      </w:r>
      <w:r w:rsidR="007802A0">
        <w:t>,</w:t>
      </w:r>
      <w:r>
        <w:t>500ft in the Cascades</w:t>
      </w:r>
      <w:r w:rsidR="00CA4B21">
        <w:t>,</w:t>
      </w:r>
      <w:r>
        <w:t xml:space="preserve"> and 3</w:t>
      </w:r>
      <w:r w:rsidR="007802A0">
        <w:t>,</w:t>
      </w:r>
      <w:r>
        <w:t>000ft on the east side of the Cascades. Sites are cold and characterized by deep (10-20ft) and persistent snowpack and short growing seasons.</w:t>
      </w:r>
    </w:p>
    <w:p w:rsidR="00C217FE" w:rsidP="00C217FE" w:rsidRDefault="00C217FE" w14:paraId="2FDC6E65" w14:textId="77777777">
      <w:pPr>
        <w:pStyle w:val="InfoPara"/>
      </w:pPr>
      <w:r>
        <w:t>Vegetation Description</w:t>
      </w:r>
    </w:p>
    <w:p w:rsidR="00C217FE" w:rsidP="00C217FE" w:rsidRDefault="00C217FE" w14:paraId="3683D5D5" w14:textId="01C0544F">
      <w:r>
        <w:t>The late</w:t>
      </w:r>
      <w:r w:rsidR="00CA4B21">
        <w:t>-</w:t>
      </w:r>
      <w:r>
        <w:t>seral stands are co-dominated by mountain hemlock and silver fir,</w:t>
      </w:r>
      <w:r w:rsidR="00C959B5">
        <w:t xml:space="preserve"> </w:t>
      </w:r>
      <w:r>
        <w:t xml:space="preserve">with </w:t>
      </w:r>
      <w:r w:rsidR="00C959B5">
        <w:t>occasional</w:t>
      </w:r>
      <w:r>
        <w:t xml:space="preserve"> Alaska</w:t>
      </w:r>
      <w:r w:rsidR="00CA4B21">
        <w:t>n</w:t>
      </w:r>
      <w:r>
        <w:t xml:space="preserve"> yellow</w:t>
      </w:r>
      <w:r w:rsidR="00CA4B21">
        <w:t xml:space="preserve"> </w:t>
      </w:r>
      <w:r>
        <w:t xml:space="preserve">cedar. Common understory species include </w:t>
      </w:r>
      <w:r w:rsidRPr="00A61275">
        <w:rPr>
          <w:i/>
        </w:rPr>
        <w:t>Vaccinium alaskaense</w:t>
      </w:r>
      <w:r>
        <w:t xml:space="preserve"> </w:t>
      </w:r>
      <w:r w:rsidR="00CA4B21">
        <w:t>(</w:t>
      </w:r>
      <w:r>
        <w:t xml:space="preserve">aka </w:t>
      </w:r>
      <w:r w:rsidRPr="00A61275">
        <w:rPr>
          <w:i/>
        </w:rPr>
        <w:t>V. ovalifolium</w:t>
      </w:r>
      <w:r w:rsidR="00CA4B21">
        <w:t>)</w:t>
      </w:r>
      <w:r>
        <w:t xml:space="preserve">, </w:t>
      </w:r>
      <w:r w:rsidRPr="00A61275">
        <w:rPr>
          <w:i/>
        </w:rPr>
        <w:t>Menziesia ferruginea</w:t>
      </w:r>
      <w:r w:rsidR="00CA4B21">
        <w:t>,</w:t>
      </w:r>
      <w:r w:rsidRPr="00A61275">
        <w:rPr>
          <w:i/>
        </w:rPr>
        <w:t xml:space="preserve"> Oplopanax horridum</w:t>
      </w:r>
      <w:r w:rsidR="00CA4B21">
        <w:t>,</w:t>
      </w:r>
      <w:r w:rsidRPr="00A61275">
        <w:rPr>
          <w:i/>
        </w:rPr>
        <w:t xml:space="preserve"> Clintonia uniflora</w:t>
      </w:r>
      <w:r w:rsidR="00CA4B21">
        <w:t>,</w:t>
      </w:r>
      <w:r w:rsidRPr="00A61275">
        <w:rPr>
          <w:i/>
        </w:rPr>
        <w:t xml:space="preserve"> Rubus pedatus</w:t>
      </w:r>
      <w:r w:rsidR="00CA4B21">
        <w:t>, and</w:t>
      </w:r>
      <w:r w:rsidRPr="00A61275">
        <w:rPr>
          <w:i/>
        </w:rPr>
        <w:t xml:space="preserve"> Blechnum spicant</w:t>
      </w:r>
      <w:r>
        <w:t>.</w:t>
      </w:r>
    </w:p>
    <w:p w:rsidR="00C217FE" w:rsidP="00C217FE" w:rsidRDefault="00C217FE" w14:paraId="7AAF2E9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amabilis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silver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nootkatensis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Alaskan yellow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bl>
    <w:p>
      <w:r>
        <w:rPr>
          <w:sz w:val="16"/>
        </w:rPr>
        <w:t>Species names are from the NRCS PLANTS database. Check species codes at http://plants.usda.gov.</w:t>
      </w:r>
    </w:p>
    <w:p w:rsidR="00C217FE" w:rsidP="00C217FE" w:rsidRDefault="00C217FE" w14:paraId="5369544D" w14:textId="77777777">
      <w:pPr>
        <w:pStyle w:val="InfoPara"/>
      </w:pPr>
      <w:r>
        <w:t>Disturbance Description</w:t>
      </w:r>
    </w:p>
    <w:p w:rsidR="00C217FE" w:rsidP="00C217FE" w:rsidRDefault="00C217FE" w14:paraId="0AD40077" w14:textId="281EE298">
      <w:r>
        <w:t>Most of the occurrence of fire in this type is single</w:t>
      </w:r>
      <w:r w:rsidR="00CA4B21">
        <w:t>-</w:t>
      </w:r>
      <w:r>
        <w:t xml:space="preserve">tree lightning strikes, especially on ridgelines, so the frequency of fire tends to be low. Estimates of the return of fire are </w:t>
      </w:r>
      <w:r w:rsidR="00CA4B21">
        <w:t>&gt;</w:t>
      </w:r>
      <w:r>
        <w:t>1</w:t>
      </w:r>
      <w:r w:rsidR="007802A0">
        <w:t>,</w:t>
      </w:r>
      <w:r>
        <w:t>000yrs. It</w:t>
      </w:r>
      <w:r w:rsidR="00CA4B21">
        <w:t>’</w:t>
      </w:r>
      <w:r>
        <w:t>s hard to estimate fire r</w:t>
      </w:r>
      <w:r w:rsidR="007802A0">
        <w:t xml:space="preserve">eturn due to lack of evidence. </w:t>
      </w:r>
      <w:r>
        <w:t xml:space="preserve">Avalanches may be a more common disturbance </w:t>
      </w:r>
      <w:r>
        <w:lastRenderedPageBreak/>
        <w:t>than fire</w:t>
      </w:r>
      <w:r w:rsidR="00CA4B21">
        <w:t>,</w:t>
      </w:r>
      <w:r>
        <w:t xml:space="preserve"> and they tend to repeat at the same locations. Avalanches can be initiated after fire. Heart</w:t>
      </w:r>
      <w:r w:rsidR="003972C9">
        <w:t xml:space="preserve"> </w:t>
      </w:r>
      <w:r>
        <w:t>rot and butt</w:t>
      </w:r>
      <w:r w:rsidR="003972C9">
        <w:t xml:space="preserve"> </w:t>
      </w:r>
      <w:r>
        <w:t>rot occur, but not at a stand scale.</w:t>
      </w:r>
    </w:p>
    <w:p w:rsidR="00C217FE" w:rsidP="00C217FE" w:rsidRDefault="00C217FE" w14:paraId="02229DB1" w14:textId="3FBFDA3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10549</w:t>
            </w:r>
          </w:p>
        </w:tc>
        <w:tc>
          <w:p>
            <w:pPr>
              <w:jc w:val="center"/>
            </w:pPr>
            <w:r>
              <w:t>32</w:t>
            </w:r>
          </w:p>
        </w:tc>
        <w:tc>
          <w:p>
            <w:pPr>
              <w:jc w:val="center"/>
            </w:pPr>
            <w:r>
              <w:t/>
            </w:r>
          </w:p>
        </w:tc>
        <w:tc>
          <w:p>
            <w:pPr>
              <w:jc w:val="center"/>
            </w:pPr>
            <w:r>
              <w:t/>
            </w:r>
          </w:p>
        </w:tc>
      </w:tr>
      <w:tr>
        <w:tc>
          <w:p>
            <w:pPr>
              <w:jc w:val="center"/>
            </w:pPr>
            <w:r>
              <w:t>Moderate (Mixed)</w:t>
            </w:r>
          </w:p>
        </w:tc>
        <w:tc>
          <w:p>
            <w:pPr>
              <w:jc w:val="center"/>
            </w:pPr>
            <w:r>
              <w:t>5051</w:t>
            </w:r>
          </w:p>
        </w:tc>
        <w:tc>
          <w:p>
            <w:pPr>
              <w:jc w:val="center"/>
            </w:pPr>
            <w:r>
              <w:t>68</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3415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217FE" w:rsidP="00C217FE" w:rsidRDefault="00C217FE" w14:paraId="344ED3FD" w14:textId="77777777">
      <w:pPr>
        <w:pStyle w:val="InfoPara"/>
      </w:pPr>
      <w:r>
        <w:t>Scale Description</w:t>
      </w:r>
    </w:p>
    <w:p w:rsidR="00C217FE" w:rsidP="00C217FE" w:rsidRDefault="00C217FE" w14:paraId="4F2766ED" w14:textId="22F74B77">
      <w:r>
        <w:t xml:space="preserve">In areas of continuous forest, fire size can range from </w:t>
      </w:r>
      <w:r w:rsidR="003972C9">
        <w:t>tens</w:t>
      </w:r>
      <w:r>
        <w:t xml:space="preserve"> to </w:t>
      </w:r>
      <w:r w:rsidR="003972C9">
        <w:t>hundreds</w:t>
      </w:r>
      <w:r>
        <w:t xml:space="preserve"> of acres.</w:t>
      </w:r>
    </w:p>
    <w:p w:rsidR="00C217FE" w:rsidP="00C217FE" w:rsidRDefault="00C217FE" w14:paraId="02D00534" w14:textId="77777777">
      <w:pPr>
        <w:pStyle w:val="InfoPara"/>
      </w:pPr>
      <w:r>
        <w:t>Adjacency or Identification Concerns</w:t>
      </w:r>
    </w:p>
    <w:p w:rsidR="00C217FE" w:rsidP="00C217FE" w:rsidRDefault="00C217FE" w14:paraId="01645703" w14:textId="0416D1FA">
      <w:r>
        <w:t>The type is above the mesic-wet Pacific silver fir type and below subalpine parkland.</w:t>
      </w:r>
    </w:p>
    <w:p w:rsidR="00C217FE" w:rsidP="00C217FE" w:rsidRDefault="00C217FE" w14:paraId="016ACDA3" w14:textId="77777777">
      <w:pPr>
        <w:pStyle w:val="InfoPara"/>
      </w:pPr>
      <w:r>
        <w:t>Issues or Problems</w:t>
      </w:r>
    </w:p>
    <w:p w:rsidR="00C217FE" w:rsidP="00C217FE" w:rsidRDefault="00C217FE" w14:paraId="795F8B85" w14:textId="77777777">
      <w:r>
        <w:t>There is little to no evidence of fire in this type, so estimations of fire return are difficult to gauge. The current cohort established under a different climate.</w:t>
      </w:r>
    </w:p>
    <w:p w:rsidR="00C217FE" w:rsidP="00C217FE" w:rsidRDefault="00C217FE" w14:paraId="61786BED" w14:textId="77777777">
      <w:pPr>
        <w:pStyle w:val="InfoPara"/>
      </w:pPr>
      <w:r>
        <w:t>Native Uncharacteristic Conditions</w:t>
      </w:r>
    </w:p>
    <w:p w:rsidR="00C217FE" w:rsidP="00C217FE" w:rsidRDefault="00C217FE" w14:paraId="63D143AE" w14:textId="77777777"/>
    <w:p w:rsidR="00C217FE" w:rsidP="00C217FE" w:rsidRDefault="00C217FE" w14:paraId="6E1E4938" w14:textId="77777777">
      <w:pPr>
        <w:pStyle w:val="InfoPara"/>
      </w:pPr>
      <w:r>
        <w:t>Comments</w:t>
      </w:r>
    </w:p>
    <w:p w:rsidR="00C959B5" w:rsidP="00C217FE" w:rsidRDefault="00C959B5" w14:paraId="494032B6" w14:textId="7A820AB4">
      <w:r w:rsidRPr="00DF2600">
        <w:t>M</w:t>
      </w:r>
      <w:r w:rsidR="003972C9">
        <w:t>ap zone</w:t>
      </w:r>
      <w:r w:rsidRPr="00DF2600">
        <w:t xml:space="preserve">s </w:t>
      </w:r>
      <w:r>
        <w:t>1 and 7</w:t>
      </w:r>
      <w:r w:rsidRPr="00DF2600">
        <w:t xml:space="preserve"> were combined during 2015 BpS Review.</w:t>
      </w:r>
    </w:p>
    <w:p w:rsidR="007802A0" w:rsidP="00C217FE" w:rsidRDefault="007802A0" w14:paraId="2B2DF289" w14:textId="1CBE2F23"/>
    <w:p w:rsidR="007802A0" w:rsidP="00C217FE" w:rsidRDefault="007802A0" w14:paraId="4723227D" w14:textId="69E1A601">
      <w:r>
        <w:t xml:space="preserve">In </w:t>
      </w:r>
      <w:r w:rsidR="003972C9">
        <w:t>C</w:t>
      </w:r>
      <w:r>
        <w:t>lass</w:t>
      </w:r>
      <w:r w:rsidR="003972C9">
        <w:t>es</w:t>
      </w:r>
      <w:r>
        <w:t xml:space="preserve"> B and E</w:t>
      </w:r>
      <w:r w:rsidR="003972C9">
        <w:t>,</w:t>
      </w:r>
      <w:r>
        <w:t xml:space="preserve"> AltSuccession is used to represent a portion of the landscape that remains in an open condition due to rock outcrops, marshy areas, etc.</w:t>
      </w:r>
    </w:p>
    <w:p w:rsidR="00C959B5" w:rsidP="00C217FE" w:rsidRDefault="00C959B5" w14:paraId="246DC524" w14:textId="77777777"/>
    <w:p w:rsidR="00C217FE" w:rsidP="00C217FE" w:rsidRDefault="00C217FE" w14:paraId="1AEBCF79" w14:textId="76802DC2">
      <w:r>
        <w:t>During model review</w:t>
      </w:r>
      <w:r w:rsidR="007802A0">
        <w:t xml:space="preserve"> for LANDFIRE National</w:t>
      </w:r>
      <w:r>
        <w:t xml:space="preserve">, Foster ran a model with replacement </w:t>
      </w:r>
      <w:r w:rsidR="003972C9">
        <w:t>mean fire return interval (</w:t>
      </w:r>
      <w:r>
        <w:t>MFRI</w:t>
      </w:r>
      <w:r w:rsidR="003972C9">
        <w:t xml:space="preserve">) of </w:t>
      </w:r>
      <w:r>
        <w:t>1</w:t>
      </w:r>
      <w:r w:rsidR="003972C9">
        <w:t>,</w:t>
      </w:r>
      <w:r>
        <w:t>500yrs and mixed MFRI</w:t>
      </w:r>
      <w:r w:rsidR="003972C9">
        <w:t xml:space="preserve"> of </w:t>
      </w:r>
      <w:r>
        <w:t xml:space="preserve">500yrs. The changes were to have </w:t>
      </w:r>
      <w:bookmarkStart w:name="_GoBack" w:id="0"/>
      <w:bookmarkEnd w:id="0"/>
      <w:r>
        <w:t xml:space="preserve">only 75% of the </w:t>
      </w:r>
      <w:r w:rsidR="0037057B">
        <w:t>landscape</w:t>
      </w:r>
      <w:r>
        <w:t xml:space="preserve"> in Class E, 10% in Class D</w:t>
      </w:r>
      <w:r w:rsidR="003972C9">
        <w:t>,</w:t>
      </w:r>
      <w:r>
        <w:t xml:space="preserve"> and 5% in Class A.</w:t>
      </w:r>
    </w:p>
    <w:p w:rsidR="008D35CA" w:rsidP="00C217FE" w:rsidRDefault="008D35CA" w14:paraId="2817CC11" w14:textId="77777777"/>
    <w:p w:rsidR="00C217FE" w:rsidP="00C217FE" w:rsidRDefault="00C217FE" w14:paraId="2C2B8EAA" w14:textId="77777777">
      <w:pPr>
        <w:pStyle w:val="ReportSection"/>
      </w:pPr>
      <w:r>
        <w:t>Succession Classes</w:t>
      </w:r>
    </w:p>
    <w:p w:rsidR="00C217FE" w:rsidP="00C217FE" w:rsidRDefault="00C217FE" w14:paraId="1E0CD9C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217FE" w:rsidP="00C217FE" w:rsidRDefault="00C217FE" w14:paraId="6E0BDF8A" w14:textId="77777777">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217FE" w:rsidP="00C217FE" w:rsidRDefault="00C217FE" w14:paraId="3D87BAE0" w14:textId="77777777"/>
    <w:p w:rsidR="00C217FE" w:rsidP="00C217FE" w:rsidRDefault="00C217FE" w14:paraId="1B18EA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184"/>
        <w:gridCol w:w="1956"/>
      </w:tblGrid>
      <w:tr w:rsidRPr="00C217FE" w:rsidR="00C217FE" w:rsidTr="00C217FE" w14:paraId="7991DCDF" w14:textId="77777777">
        <w:tc>
          <w:tcPr>
            <w:tcW w:w="1080" w:type="dxa"/>
            <w:tcBorders>
              <w:top w:val="single" w:color="auto" w:sz="2" w:space="0"/>
              <w:bottom w:val="single" w:color="000000" w:sz="12" w:space="0"/>
            </w:tcBorders>
            <w:shd w:val="clear" w:color="auto" w:fill="auto"/>
          </w:tcPr>
          <w:p w:rsidRPr="00C217FE" w:rsidR="00C217FE" w:rsidP="00A15DF0" w:rsidRDefault="00C217FE" w14:paraId="25D719C3" w14:textId="77777777">
            <w:pPr>
              <w:rPr>
                <w:b/>
                <w:bCs/>
              </w:rPr>
            </w:pPr>
            <w:r w:rsidRPr="00C217FE">
              <w:rPr>
                <w:b/>
                <w:bCs/>
              </w:rPr>
              <w:t>Symbol</w:t>
            </w:r>
          </w:p>
        </w:tc>
        <w:tc>
          <w:tcPr>
            <w:tcW w:w="2172" w:type="dxa"/>
            <w:tcBorders>
              <w:top w:val="single" w:color="auto" w:sz="2" w:space="0"/>
              <w:bottom w:val="single" w:color="000000" w:sz="12" w:space="0"/>
            </w:tcBorders>
            <w:shd w:val="clear" w:color="auto" w:fill="auto"/>
          </w:tcPr>
          <w:p w:rsidRPr="00C217FE" w:rsidR="00C217FE" w:rsidP="00A15DF0" w:rsidRDefault="00C217FE" w14:paraId="4804140C" w14:textId="77777777">
            <w:pPr>
              <w:rPr>
                <w:b/>
                <w:bCs/>
              </w:rPr>
            </w:pPr>
            <w:r w:rsidRPr="00C217FE">
              <w:rPr>
                <w:b/>
                <w:bCs/>
              </w:rPr>
              <w:t>Scientific Name</w:t>
            </w:r>
          </w:p>
        </w:tc>
        <w:tc>
          <w:tcPr>
            <w:tcW w:w="2184" w:type="dxa"/>
            <w:tcBorders>
              <w:top w:val="single" w:color="auto" w:sz="2" w:space="0"/>
              <w:bottom w:val="single" w:color="000000" w:sz="12" w:space="0"/>
            </w:tcBorders>
            <w:shd w:val="clear" w:color="auto" w:fill="auto"/>
          </w:tcPr>
          <w:p w:rsidRPr="00C217FE" w:rsidR="00C217FE" w:rsidP="00A15DF0" w:rsidRDefault="00C217FE" w14:paraId="5F81F1C4" w14:textId="77777777">
            <w:pPr>
              <w:rPr>
                <w:b/>
                <w:bCs/>
              </w:rPr>
            </w:pPr>
            <w:r w:rsidRPr="00C217FE">
              <w:rPr>
                <w:b/>
                <w:bCs/>
              </w:rPr>
              <w:t>Common Name</w:t>
            </w:r>
          </w:p>
        </w:tc>
        <w:tc>
          <w:tcPr>
            <w:tcW w:w="1956" w:type="dxa"/>
            <w:tcBorders>
              <w:top w:val="single" w:color="auto" w:sz="2" w:space="0"/>
              <w:bottom w:val="single" w:color="000000" w:sz="12" w:space="0"/>
            </w:tcBorders>
            <w:shd w:val="clear" w:color="auto" w:fill="auto"/>
          </w:tcPr>
          <w:p w:rsidRPr="00C217FE" w:rsidR="00C217FE" w:rsidP="00A15DF0" w:rsidRDefault="00C217FE" w14:paraId="1724CB24" w14:textId="77777777">
            <w:pPr>
              <w:rPr>
                <w:b/>
                <w:bCs/>
              </w:rPr>
            </w:pPr>
            <w:r w:rsidRPr="00C217FE">
              <w:rPr>
                <w:b/>
                <w:bCs/>
              </w:rPr>
              <w:t>Canopy Position</w:t>
            </w:r>
          </w:p>
        </w:tc>
      </w:tr>
      <w:tr w:rsidRPr="00C217FE" w:rsidR="00C217FE" w:rsidTr="00C217FE" w14:paraId="1A2013EB" w14:textId="77777777">
        <w:tc>
          <w:tcPr>
            <w:tcW w:w="1080" w:type="dxa"/>
            <w:tcBorders>
              <w:top w:val="single" w:color="000000" w:sz="12" w:space="0"/>
            </w:tcBorders>
            <w:shd w:val="clear" w:color="auto" w:fill="auto"/>
          </w:tcPr>
          <w:p w:rsidRPr="00C217FE" w:rsidR="00C217FE" w:rsidP="00A15DF0" w:rsidRDefault="00C217FE" w14:paraId="6BD34B13" w14:textId="77777777">
            <w:pPr>
              <w:rPr>
                <w:bCs/>
              </w:rPr>
            </w:pPr>
            <w:r w:rsidRPr="00C217FE">
              <w:rPr>
                <w:bCs/>
              </w:rPr>
              <w:t>TSME</w:t>
            </w:r>
          </w:p>
        </w:tc>
        <w:tc>
          <w:tcPr>
            <w:tcW w:w="2172" w:type="dxa"/>
            <w:tcBorders>
              <w:top w:val="single" w:color="000000" w:sz="12" w:space="0"/>
            </w:tcBorders>
            <w:shd w:val="clear" w:color="auto" w:fill="auto"/>
          </w:tcPr>
          <w:p w:rsidRPr="00C217FE" w:rsidR="00C217FE" w:rsidP="00A15DF0" w:rsidRDefault="00C217FE" w14:paraId="23F3FFAE" w14:textId="77777777">
            <w:r w:rsidRPr="00C217FE">
              <w:t>Tsuga mertensiana</w:t>
            </w:r>
          </w:p>
        </w:tc>
        <w:tc>
          <w:tcPr>
            <w:tcW w:w="2184" w:type="dxa"/>
            <w:tcBorders>
              <w:top w:val="single" w:color="000000" w:sz="12" w:space="0"/>
            </w:tcBorders>
            <w:shd w:val="clear" w:color="auto" w:fill="auto"/>
          </w:tcPr>
          <w:p w:rsidRPr="00C217FE" w:rsidR="00C217FE" w:rsidP="00A15DF0" w:rsidRDefault="00C217FE" w14:paraId="62A47FB7" w14:textId="77777777">
            <w:r w:rsidRPr="00C217FE">
              <w:t>Mountain hemlock</w:t>
            </w:r>
          </w:p>
        </w:tc>
        <w:tc>
          <w:tcPr>
            <w:tcW w:w="1956" w:type="dxa"/>
            <w:tcBorders>
              <w:top w:val="single" w:color="000000" w:sz="12" w:space="0"/>
            </w:tcBorders>
            <w:shd w:val="clear" w:color="auto" w:fill="auto"/>
          </w:tcPr>
          <w:p w:rsidRPr="00C217FE" w:rsidR="00C217FE" w:rsidP="00A15DF0" w:rsidRDefault="00C217FE" w14:paraId="5BC47096" w14:textId="77777777">
            <w:r w:rsidRPr="00C217FE">
              <w:t>Upper</w:t>
            </w:r>
          </w:p>
        </w:tc>
      </w:tr>
      <w:tr w:rsidRPr="00C217FE" w:rsidR="00C217FE" w:rsidTr="00C217FE" w14:paraId="6A0AC03C" w14:textId="77777777">
        <w:tc>
          <w:tcPr>
            <w:tcW w:w="1080" w:type="dxa"/>
            <w:shd w:val="clear" w:color="auto" w:fill="auto"/>
          </w:tcPr>
          <w:p w:rsidRPr="00C217FE" w:rsidR="00C217FE" w:rsidP="00A15DF0" w:rsidRDefault="00C217FE" w14:paraId="5BA8E7A6" w14:textId="77777777">
            <w:pPr>
              <w:rPr>
                <w:bCs/>
              </w:rPr>
            </w:pPr>
            <w:r w:rsidRPr="00C217FE">
              <w:rPr>
                <w:bCs/>
              </w:rPr>
              <w:t>ABAM</w:t>
            </w:r>
          </w:p>
        </w:tc>
        <w:tc>
          <w:tcPr>
            <w:tcW w:w="2172" w:type="dxa"/>
            <w:shd w:val="clear" w:color="auto" w:fill="auto"/>
          </w:tcPr>
          <w:p w:rsidRPr="00C217FE" w:rsidR="00C217FE" w:rsidP="00A15DF0" w:rsidRDefault="00C217FE" w14:paraId="79CBBDDE" w14:textId="77777777">
            <w:r w:rsidRPr="00C217FE">
              <w:t>Abies amabilis</w:t>
            </w:r>
          </w:p>
        </w:tc>
        <w:tc>
          <w:tcPr>
            <w:tcW w:w="2184" w:type="dxa"/>
            <w:shd w:val="clear" w:color="auto" w:fill="auto"/>
          </w:tcPr>
          <w:p w:rsidRPr="00C217FE" w:rsidR="00C217FE" w:rsidP="00A15DF0" w:rsidRDefault="00C217FE" w14:paraId="183FE370" w14:textId="77777777">
            <w:r w:rsidRPr="00C217FE">
              <w:t>Pacific silver fir</w:t>
            </w:r>
          </w:p>
        </w:tc>
        <w:tc>
          <w:tcPr>
            <w:tcW w:w="1956" w:type="dxa"/>
            <w:shd w:val="clear" w:color="auto" w:fill="auto"/>
          </w:tcPr>
          <w:p w:rsidRPr="00C217FE" w:rsidR="00C217FE" w:rsidP="00A15DF0" w:rsidRDefault="00C217FE" w14:paraId="660507D7" w14:textId="77777777">
            <w:r w:rsidRPr="00C217FE">
              <w:t>Upper</w:t>
            </w:r>
          </w:p>
        </w:tc>
      </w:tr>
      <w:tr w:rsidRPr="00C217FE" w:rsidR="00C217FE" w:rsidTr="00C217FE" w14:paraId="271211FB" w14:textId="77777777">
        <w:tc>
          <w:tcPr>
            <w:tcW w:w="1080" w:type="dxa"/>
            <w:shd w:val="clear" w:color="auto" w:fill="auto"/>
          </w:tcPr>
          <w:p w:rsidRPr="00C217FE" w:rsidR="00C217FE" w:rsidP="00A15DF0" w:rsidRDefault="00C217FE" w14:paraId="397DA4AD" w14:textId="77777777">
            <w:pPr>
              <w:rPr>
                <w:bCs/>
              </w:rPr>
            </w:pPr>
            <w:r w:rsidRPr="00C217FE">
              <w:rPr>
                <w:bCs/>
              </w:rPr>
              <w:t>VACCI</w:t>
            </w:r>
          </w:p>
        </w:tc>
        <w:tc>
          <w:tcPr>
            <w:tcW w:w="2172" w:type="dxa"/>
            <w:shd w:val="clear" w:color="auto" w:fill="auto"/>
          </w:tcPr>
          <w:p w:rsidRPr="00C217FE" w:rsidR="00C217FE" w:rsidP="00A15DF0" w:rsidRDefault="00C217FE" w14:paraId="24234363" w14:textId="77777777">
            <w:r w:rsidRPr="00C217FE">
              <w:t>Vaccinium</w:t>
            </w:r>
          </w:p>
        </w:tc>
        <w:tc>
          <w:tcPr>
            <w:tcW w:w="2184" w:type="dxa"/>
            <w:shd w:val="clear" w:color="auto" w:fill="auto"/>
          </w:tcPr>
          <w:p w:rsidRPr="00C217FE" w:rsidR="00C217FE" w:rsidP="00A15DF0" w:rsidRDefault="00C217FE" w14:paraId="77DCEBD4" w14:textId="77777777">
            <w:r w:rsidRPr="00C217FE">
              <w:t>Blueberry</w:t>
            </w:r>
          </w:p>
        </w:tc>
        <w:tc>
          <w:tcPr>
            <w:tcW w:w="1956" w:type="dxa"/>
            <w:shd w:val="clear" w:color="auto" w:fill="auto"/>
          </w:tcPr>
          <w:p w:rsidRPr="00C217FE" w:rsidR="00C217FE" w:rsidP="00A15DF0" w:rsidRDefault="00C217FE" w14:paraId="71500D10" w14:textId="77777777">
            <w:r w:rsidRPr="00C217FE">
              <w:t>Low-Mid</w:t>
            </w:r>
          </w:p>
        </w:tc>
      </w:tr>
    </w:tbl>
    <w:p w:rsidR="00C217FE" w:rsidP="00C217FE" w:rsidRDefault="00C217FE" w14:paraId="7B4884B3" w14:textId="77777777"/>
    <w:p w:rsidR="00C217FE" w:rsidP="00C217FE" w:rsidRDefault="00C217FE" w14:paraId="2817C1E9" w14:textId="77777777">
      <w:pPr>
        <w:pStyle w:val="SClassInfoPara"/>
      </w:pPr>
      <w:r>
        <w:t>Description</w:t>
      </w:r>
    </w:p>
    <w:p w:rsidR="00C217FE" w:rsidP="00C217FE" w:rsidRDefault="00C217FE" w14:paraId="3276DD4A" w14:textId="760C0E8F">
      <w:r>
        <w:t xml:space="preserve">The first few years following stand-replacing wildfire are characterized by bare ground, herbs, shrubs, and varying densities of tree seedlings (presumably dependent on seed sources). Dominant species include </w:t>
      </w:r>
      <w:r w:rsidR="003972C9">
        <w:t>P</w:t>
      </w:r>
      <w:r>
        <w:t>acific silver fir and mountain hemlock.</w:t>
      </w:r>
      <w:r w:rsidRPr="007802A0" w:rsidR="007802A0">
        <w:t xml:space="preserve"> </w:t>
      </w:r>
      <w:r w:rsidR="007802A0">
        <w:t>The shrub layer is dominant.</w:t>
      </w:r>
      <w:r w:rsidR="00CA4B21">
        <w:t xml:space="preserve"> </w:t>
      </w:r>
      <w:r w:rsidR="007802A0">
        <w:t>Shrub height ranges from 0.5-6ft and shrub canopy cover ranges from 0-90%.</w:t>
      </w:r>
    </w:p>
    <w:p w:rsidR="00C217FE" w:rsidP="00C217FE" w:rsidRDefault="00C217FE" w14:paraId="15142AF7" w14:textId="77777777"/>
    <w:p>
      <w:r>
        <w:rPr>
          <w:i/>
          <w:u w:val="single"/>
        </w:rPr>
        <w:t>Maximum Tree Size Class</w:t>
      </w:r>
      <w:br/>
      <w:r>
        <w:t>Pole 5-9" DBH</w:t>
      </w:r>
    </w:p>
    <w:p w:rsidR="00C217FE" w:rsidP="00C217FE" w:rsidRDefault="00C217FE" w14:paraId="41C0F95B" w14:textId="77777777">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217FE" w:rsidP="00C217FE" w:rsidRDefault="00C217FE" w14:paraId="0CD8EEBC" w14:textId="77777777"/>
    <w:p w:rsidR="00C217FE" w:rsidP="00C217FE" w:rsidRDefault="00C217FE" w14:paraId="794B539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12"/>
        <w:gridCol w:w="2184"/>
        <w:gridCol w:w="1956"/>
      </w:tblGrid>
      <w:tr w:rsidRPr="00C217FE" w:rsidR="00C217FE" w:rsidTr="00C217FE" w14:paraId="5D628139" w14:textId="77777777">
        <w:tc>
          <w:tcPr>
            <w:tcW w:w="1080" w:type="dxa"/>
            <w:tcBorders>
              <w:top w:val="single" w:color="auto" w:sz="2" w:space="0"/>
              <w:bottom w:val="single" w:color="000000" w:sz="12" w:space="0"/>
            </w:tcBorders>
            <w:shd w:val="clear" w:color="auto" w:fill="auto"/>
          </w:tcPr>
          <w:p w:rsidRPr="00C217FE" w:rsidR="00C217FE" w:rsidP="001A1D17" w:rsidRDefault="00C217FE" w14:paraId="59D3025A" w14:textId="77777777">
            <w:pPr>
              <w:rPr>
                <w:b/>
                <w:bCs/>
              </w:rPr>
            </w:pPr>
            <w:r w:rsidRPr="00C217FE">
              <w:rPr>
                <w:b/>
                <w:bCs/>
              </w:rPr>
              <w:t>Symbol</w:t>
            </w:r>
          </w:p>
        </w:tc>
        <w:tc>
          <w:tcPr>
            <w:tcW w:w="2412" w:type="dxa"/>
            <w:tcBorders>
              <w:top w:val="single" w:color="auto" w:sz="2" w:space="0"/>
              <w:bottom w:val="single" w:color="000000" w:sz="12" w:space="0"/>
            </w:tcBorders>
            <w:shd w:val="clear" w:color="auto" w:fill="auto"/>
          </w:tcPr>
          <w:p w:rsidRPr="00C217FE" w:rsidR="00C217FE" w:rsidP="001A1D17" w:rsidRDefault="00C217FE" w14:paraId="0F0E1495" w14:textId="77777777">
            <w:pPr>
              <w:rPr>
                <w:b/>
                <w:bCs/>
              </w:rPr>
            </w:pPr>
            <w:r w:rsidRPr="00C217FE">
              <w:rPr>
                <w:b/>
                <w:bCs/>
              </w:rPr>
              <w:t>Scientific Name</w:t>
            </w:r>
          </w:p>
        </w:tc>
        <w:tc>
          <w:tcPr>
            <w:tcW w:w="2184" w:type="dxa"/>
            <w:tcBorders>
              <w:top w:val="single" w:color="auto" w:sz="2" w:space="0"/>
              <w:bottom w:val="single" w:color="000000" w:sz="12" w:space="0"/>
            </w:tcBorders>
            <w:shd w:val="clear" w:color="auto" w:fill="auto"/>
          </w:tcPr>
          <w:p w:rsidRPr="00C217FE" w:rsidR="00C217FE" w:rsidP="001A1D17" w:rsidRDefault="00C217FE" w14:paraId="2A386276" w14:textId="77777777">
            <w:pPr>
              <w:rPr>
                <w:b/>
                <w:bCs/>
              </w:rPr>
            </w:pPr>
            <w:r w:rsidRPr="00C217FE">
              <w:rPr>
                <w:b/>
                <w:bCs/>
              </w:rPr>
              <w:t>Common Name</w:t>
            </w:r>
          </w:p>
        </w:tc>
        <w:tc>
          <w:tcPr>
            <w:tcW w:w="1956" w:type="dxa"/>
            <w:tcBorders>
              <w:top w:val="single" w:color="auto" w:sz="2" w:space="0"/>
              <w:bottom w:val="single" w:color="000000" w:sz="12" w:space="0"/>
            </w:tcBorders>
            <w:shd w:val="clear" w:color="auto" w:fill="auto"/>
          </w:tcPr>
          <w:p w:rsidRPr="00C217FE" w:rsidR="00C217FE" w:rsidP="001A1D17" w:rsidRDefault="00C217FE" w14:paraId="50260389" w14:textId="77777777">
            <w:pPr>
              <w:rPr>
                <w:b/>
                <w:bCs/>
              </w:rPr>
            </w:pPr>
            <w:r w:rsidRPr="00C217FE">
              <w:rPr>
                <w:b/>
                <w:bCs/>
              </w:rPr>
              <w:t>Canopy Position</w:t>
            </w:r>
          </w:p>
        </w:tc>
      </w:tr>
      <w:tr w:rsidRPr="00C217FE" w:rsidR="00C217FE" w:rsidTr="00C217FE" w14:paraId="3E131B8A" w14:textId="77777777">
        <w:tc>
          <w:tcPr>
            <w:tcW w:w="1080" w:type="dxa"/>
            <w:tcBorders>
              <w:top w:val="single" w:color="000000" w:sz="12" w:space="0"/>
            </w:tcBorders>
            <w:shd w:val="clear" w:color="auto" w:fill="auto"/>
          </w:tcPr>
          <w:p w:rsidRPr="00C217FE" w:rsidR="00C217FE" w:rsidP="001A1D17" w:rsidRDefault="00C217FE" w14:paraId="27045B79" w14:textId="77777777">
            <w:pPr>
              <w:rPr>
                <w:bCs/>
              </w:rPr>
            </w:pPr>
            <w:r w:rsidRPr="00C217FE">
              <w:rPr>
                <w:bCs/>
              </w:rPr>
              <w:t>TSME</w:t>
            </w:r>
          </w:p>
        </w:tc>
        <w:tc>
          <w:tcPr>
            <w:tcW w:w="2412" w:type="dxa"/>
            <w:tcBorders>
              <w:top w:val="single" w:color="000000" w:sz="12" w:space="0"/>
            </w:tcBorders>
            <w:shd w:val="clear" w:color="auto" w:fill="auto"/>
          </w:tcPr>
          <w:p w:rsidRPr="00C217FE" w:rsidR="00C217FE" w:rsidP="001A1D17" w:rsidRDefault="00C217FE" w14:paraId="6D35FCC8" w14:textId="77777777">
            <w:r w:rsidRPr="00C217FE">
              <w:t>Tsuga mertensiana</w:t>
            </w:r>
          </w:p>
        </w:tc>
        <w:tc>
          <w:tcPr>
            <w:tcW w:w="2184" w:type="dxa"/>
            <w:tcBorders>
              <w:top w:val="single" w:color="000000" w:sz="12" w:space="0"/>
            </w:tcBorders>
            <w:shd w:val="clear" w:color="auto" w:fill="auto"/>
          </w:tcPr>
          <w:p w:rsidRPr="00C217FE" w:rsidR="00C217FE" w:rsidP="001A1D17" w:rsidRDefault="00C217FE" w14:paraId="4B2F7DF7" w14:textId="77777777">
            <w:r w:rsidRPr="00C217FE">
              <w:t>Mountain hemlock</w:t>
            </w:r>
          </w:p>
        </w:tc>
        <w:tc>
          <w:tcPr>
            <w:tcW w:w="1956" w:type="dxa"/>
            <w:tcBorders>
              <w:top w:val="single" w:color="000000" w:sz="12" w:space="0"/>
            </w:tcBorders>
            <w:shd w:val="clear" w:color="auto" w:fill="auto"/>
          </w:tcPr>
          <w:p w:rsidRPr="00C217FE" w:rsidR="00C217FE" w:rsidP="001A1D17" w:rsidRDefault="00C217FE" w14:paraId="78004990" w14:textId="77777777">
            <w:r w:rsidRPr="00C217FE">
              <w:t>Upper</w:t>
            </w:r>
          </w:p>
        </w:tc>
      </w:tr>
      <w:tr w:rsidRPr="00C217FE" w:rsidR="00C217FE" w:rsidTr="00C217FE" w14:paraId="5A4B728D" w14:textId="77777777">
        <w:tc>
          <w:tcPr>
            <w:tcW w:w="1080" w:type="dxa"/>
            <w:shd w:val="clear" w:color="auto" w:fill="auto"/>
          </w:tcPr>
          <w:p w:rsidRPr="00C217FE" w:rsidR="00C217FE" w:rsidP="001A1D17" w:rsidRDefault="00C217FE" w14:paraId="7E144B21" w14:textId="77777777">
            <w:pPr>
              <w:rPr>
                <w:bCs/>
              </w:rPr>
            </w:pPr>
            <w:r w:rsidRPr="00C217FE">
              <w:rPr>
                <w:bCs/>
              </w:rPr>
              <w:t>ABAM</w:t>
            </w:r>
          </w:p>
        </w:tc>
        <w:tc>
          <w:tcPr>
            <w:tcW w:w="2412" w:type="dxa"/>
            <w:shd w:val="clear" w:color="auto" w:fill="auto"/>
          </w:tcPr>
          <w:p w:rsidRPr="00C217FE" w:rsidR="00C217FE" w:rsidP="001A1D17" w:rsidRDefault="00C217FE" w14:paraId="6B93348F" w14:textId="77777777">
            <w:r w:rsidRPr="00C217FE">
              <w:t>Abies amabilis</w:t>
            </w:r>
          </w:p>
        </w:tc>
        <w:tc>
          <w:tcPr>
            <w:tcW w:w="2184" w:type="dxa"/>
            <w:shd w:val="clear" w:color="auto" w:fill="auto"/>
          </w:tcPr>
          <w:p w:rsidRPr="00C217FE" w:rsidR="00C217FE" w:rsidP="001A1D17" w:rsidRDefault="00C217FE" w14:paraId="095450A8" w14:textId="77777777">
            <w:r w:rsidRPr="00C217FE">
              <w:t>Pacific silver fir</w:t>
            </w:r>
          </w:p>
        </w:tc>
        <w:tc>
          <w:tcPr>
            <w:tcW w:w="1956" w:type="dxa"/>
            <w:shd w:val="clear" w:color="auto" w:fill="auto"/>
          </w:tcPr>
          <w:p w:rsidRPr="00C217FE" w:rsidR="00C217FE" w:rsidP="001A1D17" w:rsidRDefault="00C217FE" w14:paraId="02A6F681" w14:textId="77777777">
            <w:r w:rsidRPr="00C217FE">
              <w:t>Upper</w:t>
            </w:r>
          </w:p>
        </w:tc>
      </w:tr>
      <w:tr w:rsidRPr="00C217FE" w:rsidR="00C217FE" w:rsidTr="00C217FE" w14:paraId="08145F8D" w14:textId="77777777">
        <w:tc>
          <w:tcPr>
            <w:tcW w:w="1080" w:type="dxa"/>
            <w:shd w:val="clear" w:color="auto" w:fill="auto"/>
          </w:tcPr>
          <w:p w:rsidRPr="00C217FE" w:rsidR="00C217FE" w:rsidP="001A1D17" w:rsidRDefault="00C217FE" w14:paraId="1B767434" w14:textId="77777777">
            <w:pPr>
              <w:rPr>
                <w:bCs/>
              </w:rPr>
            </w:pPr>
            <w:r w:rsidRPr="00C217FE">
              <w:rPr>
                <w:bCs/>
              </w:rPr>
              <w:t>VACCI</w:t>
            </w:r>
          </w:p>
        </w:tc>
        <w:tc>
          <w:tcPr>
            <w:tcW w:w="2412" w:type="dxa"/>
            <w:shd w:val="clear" w:color="auto" w:fill="auto"/>
          </w:tcPr>
          <w:p w:rsidRPr="00C217FE" w:rsidR="00C217FE" w:rsidP="001A1D17" w:rsidRDefault="00C217FE" w14:paraId="2A54A55D" w14:textId="77777777">
            <w:r w:rsidRPr="00C217FE">
              <w:t>Vaccinium</w:t>
            </w:r>
          </w:p>
        </w:tc>
        <w:tc>
          <w:tcPr>
            <w:tcW w:w="2184" w:type="dxa"/>
            <w:shd w:val="clear" w:color="auto" w:fill="auto"/>
          </w:tcPr>
          <w:p w:rsidRPr="00C217FE" w:rsidR="00C217FE" w:rsidP="001A1D17" w:rsidRDefault="00C217FE" w14:paraId="0C58BCA7" w14:textId="77777777">
            <w:r w:rsidRPr="00C217FE">
              <w:t>Blueberry</w:t>
            </w:r>
          </w:p>
        </w:tc>
        <w:tc>
          <w:tcPr>
            <w:tcW w:w="1956" w:type="dxa"/>
            <w:shd w:val="clear" w:color="auto" w:fill="auto"/>
          </w:tcPr>
          <w:p w:rsidRPr="00C217FE" w:rsidR="00C217FE" w:rsidP="001A1D17" w:rsidRDefault="00C217FE" w14:paraId="4349FA4E" w14:textId="77777777">
            <w:r w:rsidRPr="00C217FE">
              <w:t>Low-Mid</w:t>
            </w:r>
          </w:p>
        </w:tc>
      </w:tr>
      <w:tr w:rsidRPr="00C217FE" w:rsidR="00C217FE" w:rsidTr="00C217FE" w14:paraId="19761975" w14:textId="77777777">
        <w:tc>
          <w:tcPr>
            <w:tcW w:w="1080" w:type="dxa"/>
            <w:shd w:val="clear" w:color="auto" w:fill="auto"/>
          </w:tcPr>
          <w:p w:rsidRPr="00C217FE" w:rsidR="00C217FE" w:rsidP="001A1D17" w:rsidRDefault="00C217FE" w14:paraId="10A25634" w14:textId="77777777">
            <w:pPr>
              <w:rPr>
                <w:bCs/>
              </w:rPr>
            </w:pPr>
            <w:r w:rsidRPr="00C217FE">
              <w:rPr>
                <w:bCs/>
              </w:rPr>
              <w:t>MEFE</w:t>
            </w:r>
          </w:p>
        </w:tc>
        <w:tc>
          <w:tcPr>
            <w:tcW w:w="2412" w:type="dxa"/>
            <w:shd w:val="clear" w:color="auto" w:fill="auto"/>
          </w:tcPr>
          <w:p w:rsidRPr="00C217FE" w:rsidR="00C217FE" w:rsidP="001A1D17" w:rsidRDefault="00C217FE" w14:paraId="3ED1C249" w14:textId="77777777">
            <w:r w:rsidRPr="00C217FE">
              <w:t>Menziesia ferruginea</w:t>
            </w:r>
          </w:p>
        </w:tc>
        <w:tc>
          <w:tcPr>
            <w:tcW w:w="2184" w:type="dxa"/>
            <w:shd w:val="clear" w:color="auto" w:fill="auto"/>
          </w:tcPr>
          <w:p w:rsidRPr="00C217FE" w:rsidR="00C217FE" w:rsidP="001A1D17" w:rsidRDefault="00C217FE" w14:paraId="1017499B" w14:textId="77777777">
            <w:r w:rsidRPr="00C217FE">
              <w:t>Rusty menziesia</w:t>
            </w:r>
          </w:p>
        </w:tc>
        <w:tc>
          <w:tcPr>
            <w:tcW w:w="1956" w:type="dxa"/>
            <w:shd w:val="clear" w:color="auto" w:fill="auto"/>
          </w:tcPr>
          <w:p w:rsidRPr="00C217FE" w:rsidR="00C217FE" w:rsidP="001A1D17" w:rsidRDefault="00C217FE" w14:paraId="686F860A" w14:textId="77777777">
            <w:r w:rsidRPr="00C217FE">
              <w:t>Low-Mid</w:t>
            </w:r>
          </w:p>
        </w:tc>
      </w:tr>
    </w:tbl>
    <w:p w:rsidR="00C217FE" w:rsidP="00C217FE" w:rsidRDefault="00C217FE" w14:paraId="62BB5F97" w14:textId="77777777"/>
    <w:p w:rsidR="00C217FE" w:rsidP="00C217FE" w:rsidRDefault="00C217FE" w14:paraId="494F05A3" w14:textId="77777777">
      <w:pPr>
        <w:pStyle w:val="SClassInfoPara"/>
      </w:pPr>
      <w:r>
        <w:t>Description</w:t>
      </w:r>
    </w:p>
    <w:p w:rsidR="00C217FE" w:rsidP="00C217FE" w:rsidRDefault="00C217FE" w14:paraId="779819A0" w14:textId="47978354">
      <w:r>
        <w:t xml:space="preserve">This class represents rapid regeneration by </w:t>
      </w:r>
      <w:r w:rsidR="003972C9">
        <w:t>P</w:t>
      </w:r>
      <w:r>
        <w:t xml:space="preserve">acific silver fir and mountain hemlock at stand reinitiation. Typical understory species for the type are usually present. </w:t>
      </w:r>
    </w:p>
    <w:p w:rsidR="00C217FE" w:rsidP="00C217FE" w:rsidRDefault="00C217FE" w14:paraId="211C000B" w14:textId="77777777"/>
    <w:p>
      <w:r>
        <w:rPr>
          <w:i/>
          <w:u w:val="single"/>
        </w:rPr>
        <w:t>Maximum Tree Size Class</w:t>
      </w:r>
      <w:br/>
      <w:r>
        <w:t>Medium 9-21" DBH</w:t>
      </w:r>
    </w:p>
    <w:p w:rsidR="00C217FE" w:rsidP="00C217FE" w:rsidRDefault="00C217FE" w14:paraId="4A3A75A5" w14:textId="77777777">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217FE" w:rsidP="00C217FE" w:rsidRDefault="00C217FE" w14:paraId="028F4F24" w14:textId="77777777"/>
    <w:p w:rsidR="00C217FE" w:rsidP="00C217FE" w:rsidRDefault="00C217FE" w14:paraId="4EDBD66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184"/>
        <w:gridCol w:w="1956"/>
      </w:tblGrid>
      <w:tr w:rsidRPr="00C217FE" w:rsidR="00C217FE" w:rsidTr="00C217FE" w14:paraId="2747C327" w14:textId="77777777">
        <w:tc>
          <w:tcPr>
            <w:tcW w:w="1080" w:type="dxa"/>
            <w:tcBorders>
              <w:top w:val="single" w:color="auto" w:sz="2" w:space="0"/>
              <w:bottom w:val="single" w:color="000000" w:sz="12" w:space="0"/>
            </w:tcBorders>
            <w:shd w:val="clear" w:color="auto" w:fill="auto"/>
          </w:tcPr>
          <w:p w:rsidRPr="00C217FE" w:rsidR="00C217FE" w:rsidP="0090650C" w:rsidRDefault="00C217FE" w14:paraId="62BDA582" w14:textId="77777777">
            <w:pPr>
              <w:rPr>
                <w:b/>
                <w:bCs/>
              </w:rPr>
            </w:pPr>
            <w:r w:rsidRPr="00C217FE">
              <w:rPr>
                <w:b/>
                <w:bCs/>
              </w:rPr>
              <w:t>Symbol</w:t>
            </w:r>
          </w:p>
        </w:tc>
        <w:tc>
          <w:tcPr>
            <w:tcW w:w="2172" w:type="dxa"/>
            <w:tcBorders>
              <w:top w:val="single" w:color="auto" w:sz="2" w:space="0"/>
              <w:bottom w:val="single" w:color="000000" w:sz="12" w:space="0"/>
            </w:tcBorders>
            <w:shd w:val="clear" w:color="auto" w:fill="auto"/>
          </w:tcPr>
          <w:p w:rsidRPr="00C217FE" w:rsidR="00C217FE" w:rsidP="0090650C" w:rsidRDefault="00C217FE" w14:paraId="20834684" w14:textId="77777777">
            <w:pPr>
              <w:rPr>
                <w:b/>
                <w:bCs/>
              </w:rPr>
            </w:pPr>
            <w:r w:rsidRPr="00C217FE">
              <w:rPr>
                <w:b/>
                <w:bCs/>
              </w:rPr>
              <w:t>Scientific Name</w:t>
            </w:r>
          </w:p>
        </w:tc>
        <w:tc>
          <w:tcPr>
            <w:tcW w:w="2184" w:type="dxa"/>
            <w:tcBorders>
              <w:top w:val="single" w:color="auto" w:sz="2" w:space="0"/>
              <w:bottom w:val="single" w:color="000000" w:sz="12" w:space="0"/>
            </w:tcBorders>
            <w:shd w:val="clear" w:color="auto" w:fill="auto"/>
          </w:tcPr>
          <w:p w:rsidRPr="00C217FE" w:rsidR="00C217FE" w:rsidP="0090650C" w:rsidRDefault="00C217FE" w14:paraId="67350B12" w14:textId="77777777">
            <w:pPr>
              <w:rPr>
                <w:b/>
                <w:bCs/>
              </w:rPr>
            </w:pPr>
            <w:r w:rsidRPr="00C217FE">
              <w:rPr>
                <w:b/>
                <w:bCs/>
              </w:rPr>
              <w:t>Common Name</w:t>
            </w:r>
          </w:p>
        </w:tc>
        <w:tc>
          <w:tcPr>
            <w:tcW w:w="1956" w:type="dxa"/>
            <w:tcBorders>
              <w:top w:val="single" w:color="auto" w:sz="2" w:space="0"/>
              <w:bottom w:val="single" w:color="000000" w:sz="12" w:space="0"/>
            </w:tcBorders>
            <w:shd w:val="clear" w:color="auto" w:fill="auto"/>
          </w:tcPr>
          <w:p w:rsidRPr="00C217FE" w:rsidR="00C217FE" w:rsidP="0090650C" w:rsidRDefault="00C217FE" w14:paraId="78F69890" w14:textId="77777777">
            <w:pPr>
              <w:rPr>
                <w:b/>
                <w:bCs/>
              </w:rPr>
            </w:pPr>
            <w:r w:rsidRPr="00C217FE">
              <w:rPr>
                <w:b/>
                <w:bCs/>
              </w:rPr>
              <w:t>Canopy Position</w:t>
            </w:r>
          </w:p>
        </w:tc>
      </w:tr>
      <w:tr w:rsidRPr="00C217FE" w:rsidR="00C217FE" w:rsidTr="00C217FE" w14:paraId="20CE9B5E" w14:textId="77777777">
        <w:tc>
          <w:tcPr>
            <w:tcW w:w="1080" w:type="dxa"/>
            <w:tcBorders>
              <w:top w:val="single" w:color="000000" w:sz="12" w:space="0"/>
            </w:tcBorders>
            <w:shd w:val="clear" w:color="auto" w:fill="auto"/>
          </w:tcPr>
          <w:p w:rsidRPr="00C217FE" w:rsidR="00C217FE" w:rsidP="0090650C" w:rsidRDefault="00C217FE" w14:paraId="071665CB" w14:textId="77777777">
            <w:pPr>
              <w:rPr>
                <w:bCs/>
              </w:rPr>
            </w:pPr>
            <w:r w:rsidRPr="00C217FE">
              <w:rPr>
                <w:bCs/>
              </w:rPr>
              <w:t>TSME</w:t>
            </w:r>
          </w:p>
        </w:tc>
        <w:tc>
          <w:tcPr>
            <w:tcW w:w="2172" w:type="dxa"/>
            <w:tcBorders>
              <w:top w:val="single" w:color="000000" w:sz="12" w:space="0"/>
            </w:tcBorders>
            <w:shd w:val="clear" w:color="auto" w:fill="auto"/>
          </w:tcPr>
          <w:p w:rsidRPr="00C217FE" w:rsidR="00C217FE" w:rsidP="0090650C" w:rsidRDefault="00C217FE" w14:paraId="014BE030" w14:textId="77777777">
            <w:r w:rsidRPr="00C217FE">
              <w:t>Tsuga mertensiana</w:t>
            </w:r>
          </w:p>
        </w:tc>
        <w:tc>
          <w:tcPr>
            <w:tcW w:w="2184" w:type="dxa"/>
            <w:tcBorders>
              <w:top w:val="single" w:color="000000" w:sz="12" w:space="0"/>
            </w:tcBorders>
            <w:shd w:val="clear" w:color="auto" w:fill="auto"/>
          </w:tcPr>
          <w:p w:rsidRPr="00C217FE" w:rsidR="00C217FE" w:rsidP="0090650C" w:rsidRDefault="00C217FE" w14:paraId="56E430D5" w14:textId="77777777">
            <w:r w:rsidRPr="00C217FE">
              <w:t>Mountain hemlock</w:t>
            </w:r>
          </w:p>
        </w:tc>
        <w:tc>
          <w:tcPr>
            <w:tcW w:w="1956" w:type="dxa"/>
            <w:tcBorders>
              <w:top w:val="single" w:color="000000" w:sz="12" w:space="0"/>
            </w:tcBorders>
            <w:shd w:val="clear" w:color="auto" w:fill="auto"/>
          </w:tcPr>
          <w:p w:rsidRPr="00C217FE" w:rsidR="00C217FE" w:rsidP="0090650C" w:rsidRDefault="00C217FE" w14:paraId="0B323958" w14:textId="77777777">
            <w:r w:rsidRPr="00C217FE">
              <w:t>Upper</w:t>
            </w:r>
          </w:p>
        </w:tc>
      </w:tr>
      <w:tr w:rsidRPr="00C217FE" w:rsidR="00C217FE" w:rsidTr="00C217FE" w14:paraId="0BA2FFE6" w14:textId="77777777">
        <w:tc>
          <w:tcPr>
            <w:tcW w:w="1080" w:type="dxa"/>
            <w:shd w:val="clear" w:color="auto" w:fill="auto"/>
          </w:tcPr>
          <w:p w:rsidRPr="00C217FE" w:rsidR="00C217FE" w:rsidP="0090650C" w:rsidRDefault="00C217FE" w14:paraId="312B3A0B" w14:textId="77777777">
            <w:pPr>
              <w:rPr>
                <w:bCs/>
              </w:rPr>
            </w:pPr>
            <w:r w:rsidRPr="00C217FE">
              <w:rPr>
                <w:bCs/>
              </w:rPr>
              <w:t>ABAM</w:t>
            </w:r>
          </w:p>
        </w:tc>
        <w:tc>
          <w:tcPr>
            <w:tcW w:w="2172" w:type="dxa"/>
            <w:shd w:val="clear" w:color="auto" w:fill="auto"/>
          </w:tcPr>
          <w:p w:rsidRPr="00C217FE" w:rsidR="00C217FE" w:rsidP="0090650C" w:rsidRDefault="00C217FE" w14:paraId="625E8A1E" w14:textId="77777777">
            <w:r w:rsidRPr="00C217FE">
              <w:t>Abies amabilis</w:t>
            </w:r>
          </w:p>
        </w:tc>
        <w:tc>
          <w:tcPr>
            <w:tcW w:w="2184" w:type="dxa"/>
            <w:shd w:val="clear" w:color="auto" w:fill="auto"/>
          </w:tcPr>
          <w:p w:rsidRPr="00C217FE" w:rsidR="00C217FE" w:rsidP="0090650C" w:rsidRDefault="00C217FE" w14:paraId="5FE57DBC" w14:textId="77777777">
            <w:r w:rsidRPr="00C217FE">
              <w:t>Pacific silver fir</w:t>
            </w:r>
          </w:p>
        </w:tc>
        <w:tc>
          <w:tcPr>
            <w:tcW w:w="1956" w:type="dxa"/>
            <w:shd w:val="clear" w:color="auto" w:fill="auto"/>
          </w:tcPr>
          <w:p w:rsidRPr="00C217FE" w:rsidR="00C217FE" w:rsidP="0090650C" w:rsidRDefault="00C217FE" w14:paraId="0215712A" w14:textId="77777777">
            <w:r w:rsidRPr="00C217FE">
              <w:t>Upper</w:t>
            </w:r>
          </w:p>
        </w:tc>
      </w:tr>
      <w:tr w:rsidRPr="00C217FE" w:rsidR="00C217FE" w:rsidTr="00C217FE" w14:paraId="0AB1970C" w14:textId="77777777">
        <w:tc>
          <w:tcPr>
            <w:tcW w:w="1080" w:type="dxa"/>
            <w:shd w:val="clear" w:color="auto" w:fill="auto"/>
          </w:tcPr>
          <w:p w:rsidRPr="00C217FE" w:rsidR="00C217FE" w:rsidP="0090650C" w:rsidRDefault="00C217FE" w14:paraId="073FD169" w14:textId="77777777">
            <w:pPr>
              <w:rPr>
                <w:bCs/>
              </w:rPr>
            </w:pPr>
            <w:r w:rsidRPr="00C217FE">
              <w:rPr>
                <w:bCs/>
              </w:rPr>
              <w:t>VACCI</w:t>
            </w:r>
          </w:p>
        </w:tc>
        <w:tc>
          <w:tcPr>
            <w:tcW w:w="2172" w:type="dxa"/>
            <w:shd w:val="clear" w:color="auto" w:fill="auto"/>
          </w:tcPr>
          <w:p w:rsidRPr="00C217FE" w:rsidR="00C217FE" w:rsidP="0090650C" w:rsidRDefault="00C217FE" w14:paraId="36514BC1" w14:textId="77777777">
            <w:r w:rsidRPr="00C217FE">
              <w:t>Vaccinium</w:t>
            </w:r>
          </w:p>
        </w:tc>
        <w:tc>
          <w:tcPr>
            <w:tcW w:w="2184" w:type="dxa"/>
            <w:shd w:val="clear" w:color="auto" w:fill="auto"/>
          </w:tcPr>
          <w:p w:rsidRPr="00C217FE" w:rsidR="00C217FE" w:rsidP="0090650C" w:rsidRDefault="00C217FE" w14:paraId="67D3F28C" w14:textId="77777777">
            <w:r w:rsidRPr="00C217FE">
              <w:t>Blueberry</w:t>
            </w:r>
          </w:p>
        </w:tc>
        <w:tc>
          <w:tcPr>
            <w:tcW w:w="1956" w:type="dxa"/>
            <w:shd w:val="clear" w:color="auto" w:fill="auto"/>
          </w:tcPr>
          <w:p w:rsidRPr="00C217FE" w:rsidR="00C217FE" w:rsidP="0090650C" w:rsidRDefault="00C217FE" w14:paraId="490CCA16" w14:textId="77777777">
            <w:r w:rsidRPr="00C217FE">
              <w:t>Low-Mid</w:t>
            </w:r>
          </w:p>
        </w:tc>
      </w:tr>
    </w:tbl>
    <w:p w:rsidR="00C217FE" w:rsidP="00C217FE" w:rsidRDefault="00C217FE" w14:paraId="59FC4DCC" w14:textId="77777777"/>
    <w:p w:rsidR="00C217FE" w:rsidP="00C217FE" w:rsidRDefault="00C217FE" w14:paraId="3F416BEB" w14:textId="77777777">
      <w:pPr>
        <w:pStyle w:val="SClassInfoPara"/>
      </w:pPr>
      <w:r>
        <w:t>Description</w:t>
      </w:r>
    </w:p>
    <w:p w:rsidR="00C217FE" w:rsidP="00C217FE" w:rsidRDefault="00C217FE" w14:paraId="4BD5E3EC" w14:textId="1A95FF44">
      <w:r>
        <w:t xml:space="preserve">This class represents mid-seral open stands that are predominantly </w:t>
      </w:r>
      <w:r w:rsidR="007802A0">
        <w:t xml:space="preserve">comprised of mountain hemlock. </w:t>
      </w:r>
      <w:r>
        <w:t>This</w:t>
      </w:r>
      <w:r w:rsidR="007802A0">
        <w:t xml:space="preserve"> class can persist for decades. </w:t>
      </w:r>
    </w:p>
    <w:p w:rsidR="00C217FE" w:rsidP="00C217FE" w:rsidRDefault="00C217FE" w14:paraId="6795AE7F" w14:textId="77777777"/>
    <w:p>
      <w:r>
        <w:rPr>
          <w:i/>
          <w:u w:val="single"/>
        </w:rPr>
        <w:t>Maximum Tree Size Class</w:t>
      </w:r>
      <w:br/>
      <w:r>
        <w:t>Medium 9-21" DBH</w:t>
      </w:r>
    </w:p>
    <w:p w:rsidR="00C217FE" w:rsidP="00C217FE" w:rsidRDefault="00C217FE" w14:paraId="74542F33" w14:textId="7777777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217FE" w:rsidP="00C217FE" w:rsidRDefault="00C217FE" w14:paraId="13872F8B" w14:textId="77777777"/>
    <w:p w:rsidR="00C217FE" w:rsidP="00C217FE" w:rsidRDefault="00C217FE" w14:paraId="4437B113"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184"/>
        <w:gridCol w:w="1956"/>
      </w:tblGrid>
      <w:tr w:rsidRPr="00C217FE" w:rsidR="00C217FE" w:rsidTr="00C217FE" w14:paraId="56BA79ED" w14:textId="77777777">
        <w:tc>
          <w:tcPr>
            <w:tcW w:w="1080" w:type="dxa"/>
            <w:tcBorders>
              <w:top w:val="single" w:color="auto" w:sz="2" w:space="0"/>
              <w:bottom w:val="single" w:color="000000" w:sz="12" w:space="0"/>
            </w:tcBorders>
            <w:shd w:val="clear" w:color="auto" w:fill="auto"/>
          </w:tcPr>
          <w:p w:rsidRPr="00C217FE" w:rsidR="00C217FE" w:rsidP="00EA082C" w:rsidRDefault="00C217FE" w14:paraId="27910DFB" w14:textId="77777777">
            <w:pPr>
              <w:rPr>
                <w:b/>
                <w:bCs/>
              </w:rPr>
            </w:pPr>
            <w:r w:rsidRPr="00C217FE">
              <w:rPr>
                <w:b/>
                <w:bCs/>
              </w:rPr>
              <w:t>Symbol</w:t>
            </w:r>
          </w:p>
        </w:tc>
        <w:tc>
          <w:tcPr>
            <w:tcW w:w="2172" w:type="dxa"/>
            <w:tcBorders>
              <w:top w:val="single" w:color="auto" w:sz="2" w:space="0"/>
              <w:bottom w:val="single" w:color="000000" w:sz="12" w:space="0"/>
            </w:tcBorders>
            <w:shd w:val="clear" w:color="auto" w:fill="auto"/>
          </w:tcPr>
          <w:p w:rsidRPr="00C217FE" w:rsidR="00C217FE" w:rsidP="00EA082C" w:rsidRDefault="00C217FE" w14:paraId="02D21521" w14:textId="77777777">
            <w:pPr>
              <w:rPr>
                <w:b/>
                <w:bCs/>
              </w:rPr>
            </w:pPr>
            <w:r w:rsidRPr="00C217FE">
              <w:rPr>
                <w:b/>
                <w:bCs/>
              </w:rPr>
              <w:t>Scientific Name</w:t>
            </w:r>
          </w:p>
        </w:tc>
        <w:tc>
          <w:tcPr>
            <w:tcW w:w="2184" w:type="dxa"/>
            <w:tcBorders>
              <w:top w:val="single" w:color="auto" w:sz="2" w:space="0"/>
              <w:bottom w:val="single" w:color="000000" w:sz="12" w:space="0"/>
            </w:tcBorders>
            <w:shd w:val="clear" w:color="auto" w:fill="auto"/>
          </w:tcPr>
          <w:p w:rsidRPr="00C217FE" w:rsidR="00C217FE" w:rsidP="00EA082C" w:rsidRDefault="00C217FE" w14:paraId="50813647" w14:textId="77777777">
            <w:pPr>
              <w:rPr>
                <w:b/>
                <w:bCs/>
              </w:rPr>
            </w:pPr>
            <w:r w:rsidRPr="00C217FE">
              <w:rPr>
                <w:b/>
                <w:bCs/>
              </w:rPr>
              <w:t>Common Name</w:t>
            </w:r>
          </w:p>
        </w:tc>
        <w:tc>
          <w:tcPr>
            <w:tcW w:w="1956" w:type="dxa"/>
            <w:tcBorders>
              <w:top w:val="single" w:color="auto" w:sz="2" w:space="0"/>
              <w:bottom w:val="single" w:color="000000" w:sz="12" w:space="0"/>
            </w:tcBorders>
            <w:shd w:val="clear" w:color="auto" w:fill="auto"/>
          </w:tcPr>
          <w:p w:rsidRPr="00C217FE" w:rsidR="00C217FE" w:rsidP="00EA082C" w:rsidRDefault="00C217FE" w14:paraId="080C30D8" w14:textId="77777777">
            <w:pPr>
              <w:rPr>
                <w:b/>
                <w:bCs/>
              </w:rPr>
            </w:pPr>
            <w:r w:rsidRPr="00C217FE">
              <w:rPr>
                <w:b/>
                <w:bCs/>
              </w:rPr>
              <w:t>Canopy Position</w:t>
            </w:r>
          </w:p>
        </w:tc>
      </w:tr>
      <w:tr w:rsidRPr="00C217FE" w:rsidR="00C217FE" w:rsidTr="00C217FE" w14:paraId="2132030F" w14:textId="77777777">
        <w:tc>
          <w:tcPr>
            <w:tcW w:w="1080" w:type="dxa"/>
            <w:tcBorders>
              <w:top w:val="single" w:color="000000" w:sz="12" w:space="0"/>
            </w:tcBorders>
            <w:shd w:val="clear" w:color="auto" w:fill="auto"/>
          </w:tcPr>
          <w:p w:rsidRPr="00C217FE" w:rsidR="00C217FE" w:rsidP="00EA082C" w:rsidRDefault="00C217FE" w14:paraId="4AE4606C" w14:textId="77777777">
            <w:pPr>
              <w:rPr>
                <w:bCs/>
              </w:rPr>
            </w:pPr>
            <w:r w:rsidRPr="00C217FE">
              <w:rPr>
                <w:bCs/>
              </w:rPr>
              <w:t>TSME</w:t>
            </w:r>
          </w:p>
        </w:tc>
        <w:tc>
          <w:tcPr>
            <w:tcW w:w="2172" w:type="dxa"/>
            <w:tcBorders>
              <w:top w:val="single" w:color="000000" w:sz="12" w:space="0"/>
            </w:tcBorders>
            <w:shd w:val="clear" w:color="auto" w:fill="auto"/>
          </w:tcPr>
          <w:p w:rsidRPr="00C217FE" w:rsidR="00C217FE" w:rsidP="00EA082C" w:rsidRDefault="00C217FE" w14:paraId="3653FB95" w14:textId="77777777">
            <w:r w:rsidRPr="00C217FE">
              <w:t>Tsuga mertensiana</w:t>
            </w:r>
          </w:p>
        </w:tc>
        <w:tc>
          <w:tcPr>
            <w:tcW w:w="2184" w:type="dxa"/>
            <w:tcBorders>
              <w:top w:val="single" w:color="000000" w:sz="12" w:space="0"/>
            </w:tcBorders>
            <w:shd w:val="clear" w:color="auto" w:fill="auto"/>
          </w:tcPr>
          <w:p w:rsidRPr="00C217FE" w:rsidR="00C217FE" w:rsidP="00EA082C" w:rsidRDefault="00C217FE" w14:paraId="4EE74FA1" w14:textId="77777777">
            <w:r w:rsidRPr="00C217FE">
              <w:t>Mountain hemlock</w:t>
            </w:r>
          </w:p>
        </w:tc>
        <w:tc>
          <w:tcPr>
            <w:tcW w:w="1956" w:type="dxa"/>
            <w:tcBorders>
              <w:top w:val="single" w:color="000000" w:sz="12" w:space="0"/>
            </w:tcBorders>
            <w:shd w:val="clear" w:color="auto" w:fill="auto"/>
          </w:tcPr>
          <w:p w:rsidRPr="00C217FE" w:rsidR="00C217FE" w:rsidP="00EA082C" w:rsidRDefault="00C217FE" w14:paraId="1AE6BECA" w14:textId="77777777">
            <w:r w:rsidRPr="00C217FE">
              <w:t>Upper</w:t>
            </w:r>
          </w:p>
        </w:tc>
      </w:tr>
      <w:tr w:rsidRPr="00C217FE" w:rsidR="00C217FE" w:rsidTr="00C217FE" w14:paraId="3BB51970" w14:textId="77777777">
        <w:tc>
          <w:tcPr>
            <w:tcW w:w="1080" w:type="dxa"/>
            <w:shd w:val="clear" w:color="auto" w:fill="auto"/>
          </w:tcPr>
          <w:p w:rsidRPr="00C217FE" w:rsidR="00C217FE" w:rsidP="00EA082C" w:rsidRDefault="00C217FE" w14:paraId="16AC085B" w14:textId="77777777">
            <w:pPr>
              <w:rPr>
                <w:bCs/>
              </w:rPr>
            </w:pPr>
            <w:r w:rsidRPr="00C217FE">
              <w:rPr>
                <w:bCs/>
              </w:rPr>
              <w:t>ABAM</w:t>
            </w:r>
          </w:p>
        </w:tc>
        <w:tc>
          <w:tcPr>
            <w:tcW w:w="2172" w:type="dxa"/>
            <w:shd w:val="clear" w:color="auto" w:fill="auto"/>
          </w:tcPr>
          <w:p w:rsidRPr="00C217FE" w:rsidR="00C217FE" w:rsidP="00EA082C" w:rsidRDefault="00C217FE" w14:paraId="60C93D7C" w14:textId="77777777">
            <w:r w:rsidRPr="00C217FE">
              <w:t>Abies amabilis</w:t>
            </w:r>
          </w:p>
        </w:tc>
        <w:tc>
          <w:tcPr>
            <w:tcW w:w="2184" w:type="dxa"/>
            <w:shd w:val="clear" w:color="auto" w:fill="auto"/>
          </w:tcPr>
          <w:p w:rsidRPr="00C217FE" w:rsidR="00C217FE" w:rsidP="00EA082C" w:rsidRDefault="00C217FE" w14:paraId="2348A141" w14:textId="77777777">
            <w:r w:rsidRPr="00C217FE">
              <w:t>Pacific silver fir</w:t>
            </w:r>
          </w:p>
        </w:tc>
        <w:tc>
          <w:tcPr>
            <w:tcW w:w="1956" w:type="dxa"/>
            <w:shd w:val="clear" w:color="auto" w:fill="auto"/>
          </w:tcPr>
          <w:p w:rsidRPr="00C217FE" w:rsidR="00C217FE" w:rsidP="00EA082C" w:rsidRDefault="00C217FE" w14:paraId="345F00F9" w14:textId="77777777">
            <w:r w:rsidRPr="00C217FE">
              <w:t>Upper</w:t>
            </w:r>
          </w:p>
        </w:tc>
      </w:tr>
      <w:tr w:rsidRPr="00C217FE" w:rsidR="00C217FE" w:rsidTr="00C217FE" w14:paraId="18EB1F6B" w14:textId="77777777">
        <w:tc>
          <w:tcPr>
            <w:tcW w:w="1080" w:type="dxa"/>
            <w:shd w:val="clear" w:color="auto" w:fill="auto"/>
          </w:tcPr>
          <w:p w:rsidRPr="00C217FE" w:rsidR="00C217FE" w:rsidP="00EA082C" w:rsidRDefault="00C217FE" w14:paraId="2D9DB462" w14:textId="77777777">
            <w:pPr>
              <w:rPr>
                <w:bCs/>
              </w:rPr>
            </w:pPr>
            <w:r w:rsidRPr="00C217FE">
              <w:rPr>
                <w:bCs/>
              </w:rPr>
              <w:t>VACCI</w:t>
            </w:r>
          </w:p>
        </w:tc>
        <w:tc>
          <w:tcPr>
            <w:tcW w:w="2172" w:type="dxa"/>
            <w:shd w:val="clear" w:color="auto" w:fill="auto"/>
          </w:tcPr>
          <w:p w:rsidRPr="00C217FE" w:rsidR="00C217FE" w:rsidP="00EA082C" w:rsidRDefault="00C217FE" w14:paraId="161DCD26" w14:textId="77777777">
            <w:r w:rsidRPr="00C217FE">
              <w:t>Vaccinium</w:t>
            </w:r>
          </w:p>
        </w:tc>
        <w:tc>
          <w:tcPr>
            <w:tcW w:w="2184" w:type="dxa"/>
            <w:shd w:val="clear" w:color="auto" w:fill="auto"/>
          </w:tcPr>
          <w:p w:rsidRPr="00C217FE" w:rsidR="00C217FE" w:rsidP="00EA082C" w:rsidRDefault="00C217FE" w14:paraId="1053F177" w14:textId="77777777">
            <w:r w:rsidRPr="00C217FE">
              <w:t>Blueberry</w:t>
            </w:r>
          </w:p>
        </w:tc>
        <w:tc>
          <w:tcPr>
            <w:tcW w:w="1956" w:type="dxa"/>
            <w:shd w:val="clear" w:color="auto" w:fill="auto"/>
          </w:tcPr>
          <w:p w:rsidRPr="00C217FE" w:rsidR="00C217FE" w:rsidP="00EA082C" w:rsidRDefault="00C217FE" w14:paraId="7F6320B8" w14:textId="77777777">
            <w:r w:rsidRPr="00C217FE">
              <w:t>Upper</w:t>
            </w:r>
          </w:p>
        </w:tc>
      </w:tr>
    </w:tbl>
    <w:p w:rsidR="00C217FE" w:rsidP="00C217FE" w:rsidRDefault="00C217FE" w14:paraId="0F2106FE" w14:textId="77777777"/>
    <w:p w:rsidR="00C217FE" w:rsidP="00C217FE" w:rsidRDefault="00C217FE" w14:paraId="0115FDD1" w14:textId="77777777">
      <w:pPr>
        <w:pStyle w:val="SClassInfoPara"/>
      </w:pPr>
      <w:r>
        <w:t>Description</w:t>
      </w:r>
    </w:p>
    <w:p w:rsidR="00C217FE" w:rsidP="00C217FE" w:rsidRDefault="00C217FE" w14:paraId="43B6EF9A" w14:textId="1559D5D7">
      <w:r>
        <w:t xml:space="preserve">This class </w:t>
      </w:r>
      <w:r w:rsidR="007802A0">
        <w:t>represents the late open stand.</w:t>
      </w:r>
    </w:p>
    <w:p w:rsidR="00C217FE" w:rsidP="00C217FE" w:rsidRDefault="00C217FE" w14:paraId="5C12B505" w14:textId="77777777"/>
    <w:p>
      <w:r>
        <w:rPr>
          <w:i/>
          <w:u w:val="single"/>
        </w:rPr>
        <w:t>Maximum Tree Size Class</w:t>
      </w:r>
      <w:br/>
      <w:r>
        <w:t>Large 21-33" DBH</w:t>
      </w:r>
    </w:p>
    <w:p w:rsidR="00C217FE" w:rsidP="00C217FE" w:rsidRDefault="00C217FE" w14:paraId="54B77075" w14:textId="77777777">
      <w:pPr>
        <w:pStyle w:val="InfoPara"/>
        <w:pBdr>
          <w:top w:val="single" w:color="auto" w:sz="4" w:space="1"/>
        </w:pBdr>
      </w:pPr>
      <w:r xmlns:w="http://schemas.openxmlformats.org/wordprocessingml/2006/main">
        <w:t>Class E</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217FE" w:rsidP="00C217FE" w:rsidRDefault="00C217FE" w14:paraId="3B88397E" w14:textId="77777777"/>
    <w:p w:rsidR="00C217FE" w:rsidP="00C217FE" w:rsidRDefault="00C217FE" w14:paraId="7412618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3120"/>
        <w:gridCol w:w="2184"/>
        <w:gridCol w:w="1956"/>
      </w:tblGrid>
      <w:tr w:rsidRPr="00C217FE" w:rsidR="00C217FE" w:rsidTr="00C217FE" w14:paraId="511E7BC3" w14:textId="77777777">
        <w:tc>
          <w:tcPr>
            <w:tcW w:w="1080" w:type="dxa"/>
            <w:tcBorders>
              <w:top w:val="single" w:color="auto" w:sz="2" w:space="0"/>
              <w:bottom w:val="single" w:color="000000" w:sz="12" w:space="0"/>
            </w:tcBorders>
            <w:shd w:val="clear" w:color="auto" w:fill="auto"/>
          </w:tcPr>
          <w:p w:rsidRPr="00C217FE" w:rsidR="00C217FE" w:rsidP="005542AD" w:rsidRDefault="00C217FE" w14:paraId="0033D2CF" w14:textId="77777777">
            <w:pPr>
              <w:rPr>
                <w:b/>
                <w:bCs/>
              </w:rPr>
            </w:pPr>
            <w:r w:rsidRPr="00C217FE">
              <w:rPr>
                <w:b/>
                <w:bCs/>
              </w:rPr>
              <w:t>Symbol</w:t>
            </w:r>
          </w:p>
        </w:tc>
        <w:tc>
          <w:tcPr>
            <w:tcW w:w="3120" w:type="dxa"/>
            <w:tcBorders>
              <w:top w:val="single" w:color="auto" w:sz="2" w:space="0"/>
              <w:bottom w:val="single" w:color="000000" w:sz="12" w:space="0"/>
            </w:tcBorders>
            <w:shd w:val="clear" w:color="auto" w:fill="auto"/>
          </w:tcPr>
          <w:p w:rsidRPr="00C217FE" w:rsidR="00C217FE" w:rsidP="005542AD" w:rsidRDefault="00C217FE" w14:paraId="5F2AF82F" w14:textId="77777777">
            <w:pPr>
              <w:rPr>
                <w:b/>
                <w:bCs/>
              </w:rPr>
            </w:pPr>
            <w:r w:rsidRPr="00C217FE">
              <w:rPr>
                <w:b/>
                <w:bCs/>
              </w:rPr>
              <w:t>Scientific Name</w:t>
            </w:r>
          </w:p>
        </w:tc>
        <w:tc>
          <w:tcPr>
            <w:tcW w:w="2184" w:type="dxa"/>
            <w:tcBorders>
              <w:top w:val="single" w:color="auto" w:sz="2" w:space="0"/>
              <w:bottom w:val="single" w:color="000000" w:sz="12" w:space="0"/>
            </w:tcBorders>
            <w:shd w:val="clear" w:color="auto" w:fill="auto"/>
          </w:tcPr>
          <w:p w:rsidRPr="00C217FE" w:rsidR="00C217FE" w:rsidP="005542AD" w:rsidRDefault="00C217FE" w14:paraId="0E800AA1" w14:textId="77777777">
            <w:pPr>
              <w:rPr>
                <w:b/>
                <w:bCs/>
              </w:rPr>
            </w:pPr>
            <w:r w:rsidRPr="00C217FE">
              <w:rPr>
                <w:b/>
                <w:bCs/>
              </w:rPr>
              <w:t>Common Name</w:t>
            </w:r>
          </w:p>
        </w:tc>
        <w:tc>
          <w:tcPr>
            <w:tcW w:w="1956" w:type="dxa"/>
            <w:tcBorders>
              <w:top w:val="single" w:color="auto" w:sz="2" w:space="0"/>
              <w:bottom w:val="single" w:color="000000" w:sz="12" w:space="0"/>
            </w:tcBorders>
            <w:shd w:val="clear" w:color="auto" w:fill="auto"/>
          </w:tcPr>
          <w:p w:rsidRPr="00C217FE" w:rsidR="00C217FE" w:rsidP="005542AD" w:rsidRDefault="00C217FE" w14:paraId="61248566" w14:textId="77777777">
            <w:pPr>
              <w:rPr>
                <w:b/>
                <w:bCs/>
              </w:rPr>
            </w:pPr>
            <w:r w:rsidRPr="00C217FE">
              <w:rPr>
                <w:b/>
                <w:bCs/>
              </w:rPr>
              <w:t>Canopy Position</w:t>
            </w:r>
          </w:p>
        </w:tc>
      </w:tr>
      <w:tr w:rsidRPr="00C217FE" w:rsidR="00C217FE" w:rsidTr="00C217FE" w14:paraId="7040DD2F" w14:textId="77777777">
        <w:tc>
          <w:tcPr>
            <w:tcW w:w="1080" w:type="dxa"/>
            <w:tcBorders>
              <w:top w:val="single" w:color="000000" w:sz="12" w:space="0"/>
            </w:tcBorders>
            <w:shd w:val="clear" w:color="auto" w:fill="auto"/>
          </w:tcPr>
          <w:p w:rsidRPr="00C217FE" w:rsidR="00C217FE" w:rsidP="005542AD" w:rsidRDefault="00C217FE" w14:paraId="197EBC49" w14:textId="77777777">
            <w:pPr>
              <w:rPr>
                <w:bCs/>
              </w:rPr>
            </w:pPr>
            <w:r w:rsidRPr="00C217FE">
              <w:rPr>
                <w:bCs/>
              </w:rPr>
              <w:t>TSME</w:t>
            </w:r>
          </w:p>
        </w:tc>
        <w:tc>
          <w:tcPr>
            <w:tcW w:w="3120" w:type="dxa"/>
            <w:tcBorders>
              <w:top w:val="single" w:color="000000" w:sz="12" w:space="0"/>
            </w:tcBorders>
            <w:shd w:val="clear" w:color="auto" w:fill="auto"/>
          </w:tcPr>
          <w:p w:rsidRPr="00C217FE" w:rsidR="00C217FE" w:rsidP="005542AD" w:rsidRDefault="00C217FE" w14:paraId="2E0A0B32" w14:textId="77777777">
            <w:r w:rsidRPr="00C217FE">
              <w:t>Tsuga mertensiana</w:t>
            </w:r>
          </w:p>
        </w:tc>
        <w:tc>
          <w:tcPr>
            <w:tcW w:w="2184" w:type="dxa"/>
            <w:tcBorders>
              <w:top w:val="single" w:color="000000" w:sz="12" w:space="0"/>
            </w:tcBorders>
            <w:shd w:val="clear" w:color="auto" w:fill="auto"/>
          </w:tcPr>
          <w:p w:rsidRPr="00C217FE" w:rsidR="00C217FE" w:rsidP="005542AD" w:rsidRDefault="00C217FE" w14:paraId="525C4C5D" w14:textId="77777777">
            <w:r w:rsidRPr="00C217FE">
              <w:t>Mountain hemlock</w:t>
            </w:r>
          </w:p>
        </w:tc>
        <w:tc>
          <w:tcPr>
            <w:tcW w:w="1956" w:type="dxa"/>
            <w:tcBorders>
              <w:top w:val="single" w:color="000000" w:sz="12" w:space="0"/>
            </w:tcBorders>
            <w:shd w:val="clear" w:color="auto" w:fill="auto"/>
          </w:tcPr>
          <w:p w:rsidRPr="00C217FE" w:rsidR="00C217FE" w:rsidP="005542AD" w:rsidRDefault="00C217FE" w14:paraId="39EA6566" w14:textId="77777777">
            <w:r w:rsidRPr="00C217FE">
              <w:t>Upper</w:t>
            </w:r>
          </w:p>
        </w:tc>
      </w:tr>
      <w:tr w:rsidRPr="00C217FE" w:rsidR="00C217FE" w:rsidTr="00C217FE" w14:paraId="212AB469" w14:textId="77777777">
        <w:tc>
          <w:tcPr>
            <w:tcW w:w="1080" w:type="dxa"/>
            <w:shd w:val="clear" w:color="auto" w:fill="auto"/>
          </w:tcPr>
          <w:p w:rsidRPr="00C217FE" w:rsidR="00C217FE" w:rsidP="005542AD" w:rsidRDefault="00C217FE" w14:paraId="037239D5" w14:textId="77777777">
            <w:pPr>
              <w:rPr>
                <w:bCs/>
              </w:rPr>
            </w:pPr>
            <w:r w:rsidRPr="00C217FE">
              <w:rPr>
                <w:bCs/>
              </w:rPr>
              <w:t>ABAM</w:t>
            </w:r>
          </w:p>
        </w:tc>
        <w:tc>
          <w:tcPr>
            <w:tcW w:w="3120" w:type="dxa"/>
            <w:shd w:val="clear" w:color="auto" w:fill="auto"/>
          </w:tcPr>
          <w:p w:rsidRPr="00C217FE" w:rsidR="00C217FE" w:rsidP="005542AD" w:rsidRDefault="00C217FE" w14:paraId="5021471E" w14:textId="77777777">
            <w:r w:rsidRPr="00C217FE">
              <w:t>Abies amabilis</w:t>
            </w:r>
          </w:p>
        </w:tc>
        <w:tc>
          <w:tcPr>
            <w:tcW w:w="2184" w:type="dxa"/>
            <w:shd w:val="clear" w:color="auto" w:fill="auto"/>
          </w:tcPr>
          <w:p w:rsidRPr="00C217FE" w:rsidR="00C217FE" w:rsidP="005542AD" w:rsidRDefault="00C217FE" w14:paraId="27B22038" w14:textId="77777777">
            <w:r w:rsidRPr="00C217FE">
              <w:t>Pacific silver fir</w:t>
            </w:r>
          </w:p>
        </w:tc>
        <w:tc>
          <w:tcPr>
            <w:tcW w:w="1956" w:type="dxa"/>
            <w:shd w:val="clear" w:color="auto" w:fill="auto"/>
          </w:tcPr>
          <w:p w:rsidRPr="00C217FE" w:rsidR="00C217FE" w:rsidP="005542AD" w:rsidRDefault="00C217FE" w14:paraId="778AC168" w14:textId="77777777">
            <w:r w:rsidRPr="00C217FE">
              <w:t>Upper</w:t>
            </w:r>
          </w:p>
        </w:tc>
      </w:tr>
      <w:tr w:rsidRPr="00C217FE" w:rsidR="00C217FE" w:rsidTr="00C217FE" w14:paraId="7033AF85" w14:textId="77777777">
        <w:tc>
          <w:tcPr>
            <w:tcW w:w="1080" w:type="dxa"/>
            <w:shd w:val="clear" w:color="auto" w:fill="auto"/>
          </w:tcPr>
          <w:p w:rsidRPr="00C217FE" w:rsidR="00C217FE" w:rsidP="005542AD" w:rsidRDefault="00C217FE" w14:paraId="7E57DCC2" w14:textId="77777777">
            <w:pPr>
              <w:rPr>
                <w:bCs/>
              </w:rPr>
            </w:pPr>
            <w:r w:rsidRPr="00C217FE">
              <w:rPr>
                <w:bCs/>
              </w:rPr>
              <w:t>CHNO</w:t>
            </w:r>
          </w:p>
        </w:tc>
        <w:tc>
          <w:tcPr>
            <w:tcW w:w="3120" w:type="dxa"/>
            <w:shd w:val="clear" w:color="auto" w:fill="auto"/>
          </w:tcPr>
          <w:p w:rsidRPr="00C217FE" w:rsidR="00C217FE" w:rsidP="005542AD" w:rsidRDefault="00C217FE" w14:paraId="0BBCFCA9" w14:textId="77777777">
            <w:r w:rsidRPr="00C217FE">
              <w:t>Chamaecyparis nootkatensis</w:t>
            </w:r>
          </w:p>
        </w:tc>
        <w:tc>
          <w:tcPr>
            <w:tcW w:w="2184" w:type="dxa"/>
            <w:shd w:val="clear" w:color="auto" w:fill="auto"/>
          </w:tcPr>
          <w:p w:rsidRPr="00C217FE" w:rsidR="00C217FE" w:rsidP="005542AD" w:rsidRDefault="00C217FE" w14:paraId="6C358E5F" w14:textId="77777777">
            <w:r w:rsidRPr="00C217FE">
              <w:t>Alaska cedar</w:t>
            </w:r>
          </w:p>
        </w:tc>
        <w:tc>
          <w:tcPr>
            <w:tcW w:w="1956" w:type="dxa"/>
            <w:shd w:val="clear" w:color="auto" w:fill="auto"/>
          </w:tcPr>
          <w:p w:rsidRPr="00C217FE" w:rsidR="00C217FE" w:rsidP="005542AD" w:rsidRDefault="00C217FE" w14:paraId="5DA3CE71" w14:textId="77777777">
            <w:r w:rsidRPr="00C217FE">
              <w:t>Upper</w:t>
            </w:r>
          </w:p>
        </w:tc>
      </w:tr>
      <w:tr w:rsidRPr="00C217FE" w:rsidR="00C217FE" w:rsidTr="00C217FE" w14:paraId="517B8350" w14:textId="77777777">
        <w:tc>
          <w:tcPr>
            <w:tcW w:w="1080" w:type="dxa"/>
            <w:shd w:val="clear" w:color="auto" w:fill="auto"/>
          </w:tcPr>
          <w:p w:rsidRPr="00C217FE" w:rsidR="00C217FE" w:rsidP="005542AD" w:rsidRDefault="00C217FE" w14:paraId="09E185CB" w14:textId="77777777">
            <w:pPr>
              <w:rPr>
                <w:bCs/>
              </w:rPr>
            </w:pPr>
            <w:r w:rsidRPr="00C217FE">
              <w:rPr>
                <w:bCs/>
              </w:rPr>
              <w:t>VACCI</w:t>
            </w:r>
          </w:p>
        </w:tc>
        <w:tc>
          <w:tcPr>
            <w:tcW w:w="3120" w:type="dxa"/>
            <w:shd w:val="clear" w:color="auto" w:fill="auto"/>
          </w:tcPr>
          <w:p w:rsidRPr="00C217FE" w:rsidR="00C217FE" w:rsidP="005542AD" w:rsidRDefault="00C217FE" w14:paraId="2BD6759E" w14:textId="77777777">
            <w:r w:rsidRPr="00C217FE">
              <w:t>Vaccinium</w:t>
            </w:r>
          </w:p>
        </w:tc>
        <w:tc>
          <w:tcPr>
            <w:tcW w:w="2184" w:type="dxa"/>
            <w:shd w:val="clear" w:color="auto" w:fill="auto"/>
          </w:tcPr>
          <w:p w:rsidRPr="00C217FE" w:rsidR="00C217FE" w:rsidP="005542AD" w:rsidRDefault="00C217FE" w14:paraId="5D6B0311" w14:textId="77777777">
            <w:r w:rsidRPr="00C217FE">
              <w:t>Blueberry</w:t>
            </w:r>
          </w:p>
        </w:tc>
        <w:tc>
          <w:tcPr>
            <w:tcW w:w="1956" w:type="dxa"/>
            <w:shd w:val="clear" w:color="auto" w:fill="auto"/>
          </w:tcPr>
          <w:p w:rsidRPr="00C217FE" w:rsidR="00C217FE" w:rsidP="005542AD" w:rsidRDefault="00C217FE" w14:paraId="6D6186C1" w14:textId="77777777">
            <w:r w:rsidRPr="00C217FE">
              <w:t>Lower</w:t>
            </w:r>
          </w:p>
        </w:tc>
      </w:tr>
    </w:tbl>
    <w:p w:rsidR="00C217FE" w:rsidP="00C217FE" w:rsidRDefault="00C217FE" w14:paraId="0A696ECE" w14:textId="77777777"/>
    <w:p w:rsidR="00C217FE" w:rsidP="00C217FE" w:rsidRDefault="00C217FE" w14:paraId="09CC870B" w14:textId="77777777">
      <w:pPr>
        <w:pStyle w:val="SClassInfoPara"/>
      </w:pPr>
      <w:r>
        <w:t>Description</w:t>
      </w:r>
    </w:p>
    <w:p w:rsidR="00C217FE" w:rsidP="00C217FE" w:rsidRDefault="00C217FE" w14:paraId="066558F0" w14:textId="373ED622">
      <w:r>
        <w:t>This class represents late-successional stands with large individuals (&gt;20in DBH) of mountain hemlock dominating the stand. Advanced regeneration of mountain hemlock and other shade</w:t>
      </w:r>
      <w:r w:rsidR="003972C9">
        <w:t>-</w:t>
      </w:r>
      <w:r>
        <w:t>tolerant species</w:t>
      </w:r>
      <w:r w:rsidR="007802A0">
        <w:t xml:space="preserve">. </w:t>
      </w:r>
    </w:p>
    <w:p w:rsidR="00C217FE" w:rsidP="00C217FE" w:rsidRDefault="00C217FE" w14:paraId="79119B8B"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100</w:t>
            </w:r>
          </w:p>
        </w:tc>
      </w:tr>
      <w:tr>
        <w:tc>
          <w:p>
            <w:pPr>
              <w:jc w:val="center"/>
            </w:pPr>
            <w:r>
              <w:rPr>
                <w:sz w:val="20"/>
              </w:rPr>
              <w:t>Mid1:OPN</w:t>
            </w:r>
          </w:p>
        </w:tc>
        <w:tc>
          <w:p>
            <w:pPr>
              <w:jc w:val="center"/>
            </w:pPr>
            <w:r>
              <w:rPr>
                <w:sz w:val="20"/>
              </w:rPr>
              <w:t>100</w:t>
            </w:r>
          </w:p>
        </w:tc>
        <w:tc>
          <w:p>
            <w:pPr>
              <w:jc w:val="center"/>
            </w:pPr>
            <w:r>
              <w:rPr>
                <w:sz w:val="20"/>
              </w:rPr>
              <w:t>Late1:OPN</w:t>
            </w:r>
          </w:p>
        </w:tc>
        <w:tc>
          <w:p>
            <w:pPr>
              <w:jc w:val="center"/>
            </w:pPr>
            <w:r>
              <w:rPr>
                <w:sz w:val="20"/>
              </w:rPr>
              <w:t>250</w:t>
            </w:r>
          </w:p>
        </w:tc>
      </w:tr>
      <w:tr>
        <w:tc>
          <w:p>
            <w:pPr>
              <w:jc w:val="center"/>
            </w:pPr>
            <w:r>
              <w:rPr>
                <w:sz w:val="20"/>
              </w:rPr>
              <w:t>Mid1:CLS</w:t>
            </w:r>
          </w:p>
        </w:tc>
        <w:tc>
          <w:p>
            <w:pPr>
              <w:jc w:val="center"/>
            </w:pPr>
            <w:r>
              <w:rPr>
                <w:sz w:val="20"/>
              </w:rPr>
              <w:t>100</w:t>
            </w:r>
          </w:p>
        </w:tc>
        <w:tc>
          <w:p>
            <w:pPr>
              <w:jc w:val="center"/>
            </w:pPr>
            <w:r>
              <w:rPr>
                <w:sz w:val="20"/>
              </w:rPr>
              <w:t>Late1:CLS</w:t>
            </w:r>
          </w:p>
        </w:tc>
        <w:tc>
          <w:p>
            <w:pPr>
              <w:jc w:val="center"/>
            </w:pPr>
            <w:r>
              <w:rPr>
                <w:sz w:val="20"/>
              </w:rPr>
              <w:t>250</w:t>
            </w:r>
          </w:p>
        </w:tc>
      </w:tr>
      <w:tr>
        <w:tc>
          <w:p>
            <w:pPr>
              <w:jc w:val="center"/>
            </w:pPr>
            <w:r>
              <w:rPr>
                <w:sz w:val="20"/>
              </w:rPr>
              <w:t>Late1:OPN</w:t>
            </w:r>
          </w:p>
        </w:tc>
        <w:tc>
          <w:p>
            <w:pPr>
              <w:jc w:val="center"/>
            </w:pPr>
            <w:r>
              <w:rPr>
                <w:sz w:val="20"/>
              </w:rPr>
              <w:t>250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0.0002</w:t>
            </w:r>
          </w:p>
        </w:tc>
        <w:tc>
          <w:p>
            <w:pPr>
              <w:jc w:val="center"/>
            </w:pPr>
            <w:r>
              <w:rPr>
                <w:sz w:val="20"/>
              </w:rPr>
              <w:t>5000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0.9</w:t>
            </w:r>
          </w:p>
        </w:tc>
        <w:tc>
          <w:p>
            <w:pPr>
              <w:jc w:val="center"/>
            </w:pPr>
            <w:r>
              <w:rPr>
                <w:sz w:val="20"/>
              </w:rPr>
              <w:t>1</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0.0002</w:t>
            </w:r>
          </w:p>
        </w:tc>
        <w:tc>
          <w:p>
            <w:pPr>
              <w:jc w:val="center"/>
            </w:pPr>
            <w:r>
              <w:rPr>
                <w:sz w:val="20"/>
              </w:rPr>
              <w:t>5000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217FE" w:rsidP="00C217FE" w:rsidRDefault="00C217FE" w14:paraId="2C797AD0" w14:textId="4AB42B40">
      <w:r>
        <w:t>Agee, James K. 1993. Fire Ecology of Pacific Northwest Forests. Washington, DC: Island Press. 493 pp.</w:t>
      </w:r>
    </w:p>
    <w:p w:rsidR="00C217FE" w:rsidP="00C217FE" w:rsidRDefault="00C217FE" w14:paraId="4B695587" w14:textId="77777777"/>
    <w:p w:rsidR="00C217FE" w:rsidP="00C217FE" w:rsidRDefault="00C217FE" w14:paraId="2302FF53" w14:textId="00A9A27C">
      <w:r>
        <w:t>Franklin, Jerry F. and C.T. Dyrness. 1988. Natural Vegetation of Oregon and Washington. Corvallis, OR: Oregon State University Press.</w:t>
      </w:r>
      <w:r w:rsidR="00CA4B21">
        <w:t xml:space="preserve"> </w:t>
      </w:r>
      <w:r>
        <w:t>452 pp.</w:t>
      </w:r>
    </w:p>
    <w:p w:rsidR="00C217FE" w:rsidP="00C217FE" w:rsidRDefault="00C217FE" w14:paraId="4509E07A" w14:textId="77777777"/>
    <w:p w:rsidR="00C217FE" w:rsidP="00C217FE" w:rsidRDefault="00C217FE" w14:paraId="26F5938B" w14:textId="2DA62D54">
      <w:r>
        <w:t>Henderson, J.A., D.H. Peter, R.D. Lesher and D.C. Shaw. 1989. Forested Plant Associations of the Olympic National Forest. R6 ECOL Technical Paper 001-88. USDA Forest Service, Pacific Northwest Region. 502 pp.</w:t>
      </w:r>
    </w:p>
    <w:p w:rsidR="00C217FE" w:rsidP="00C217FE" w:rsidRDefault="00C217FE" w14:paraId="362A1290" w14:textId="77777777"/>
    <w:p w:rsidR="00C217FE" w:rsidP="00C217FE" w:rsidRDefault="00C217FE" w14:paraId="0716FAB4" w14:textId="203122F7">
      <w:r>
        <w:t>Means, Joseph E. 1990. Tsuga mertensiana (Bong.) Carr. Mountain hemlock. In: Burns, Russell M. and Barbara H. Honkala, technical coordinators. Silvics of North America.Volume 1. Conifers. Agric. Handbook 654. Washington, DC: USDA Forest Service. 623-634.</w:t>
      </w:r>
    </w:p>
    <w:p w:rsidR="00C217FE" w:rsidP="00C217FE" w:rsidRDefault="00C217FE" w14:paraId="179C7D72" w14:textId="77777777"/>
    <w:p w:rsidR="00C217FE" w:rsidP="00C217FE" w:rsidRDefault="00C217FE" w14:paraId="69853EC6" w14:textId="77777777">
      <w:r>
        <w:t>NatureServe. 2007. International Ecological Classification Standard: Terrestrial Ecological Classifications. NatureServe Central Databases. Arlington, VA. Data current as of 10 February 2007.</w:t>
      </w:r>
    </w:p>
    <w:p w:rsidR="00C217FE" w:rsidP="00C217FE" w:rsidRDefault="00C217FE" w14:paraId="37C63342" w14:textId="77777777"/>
    <w:p w:rsidR="00C217FE" w:rsidP="00C217FE" w:rsidRDefault="00C217FE" w14:paraId="49A93215" w14:textId="06CB1125">
      <w:r>
        <w:t>Thies, W.G. and R.N. Sturrock. 1995. Laminated root rot in western North America.</w:t>
      </w:r>
      <w:r w:rsidR="00CA4B21">
        <w:t xml:space="preserve"> </w:t>
      </w:r>
      <w:r>
        <w:t>Gen. Tech. Rep. PNW-GTR-349. Portland, OR: USDA Pacific Northwest Research Station. 32 pp.</w:t>
      </w:r>
    </w:p>
    <w:p w:rsidRPr="00A43E41" w:rsidR="004D5F12" w:rsidP="00C217FE" w:rsidRDefault="004D5F12" w14:paraId="7AF337E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7B74B" w14:textId="77777777" w:rsidR="001B5077" w:rsidRDefault="001B5077">
      <w:r>
        <w:separator/>
      </w:r>
    </w:p>
  </w:endnote>
  <w:endnote w:type="continuationSeparator" w:id="0">
    <w:p w14:paraId="7EEBDD3E" w14:textId="77777777" w:rsidR="001B5077" w:rsidRDefault="001B5077">
      <w:r>
        <w:continuationSeparator/>
      </w:r>
    </w:p>
  </w:endnote>
  <w:endnote w:type="continuationNotice" w:id="1">
    <w:p w14:paraId="6F4924DC" w14:textId="77777777" w:rsidR="001B5077" w:rsidRDefault="001B5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39C5" w14:textId="77777777" w:rsidR="00C217FE" w:rsidRDefault="00C217FE" w:rsidP="00C217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6280A" w14:textId="77777777" w:rsidR="001B5077" w:rsidRDefault="001B5077">
      <w:r>
        <w:separator/>
      </w:r>
    </w:p>
  </w:footnote>
  <w:footnote w:type="continuationSeparator" w:id="0">
    <w:p w14:paraId="0CC88B46" w14:textId="77777777" w:rsidR="001B5077" w:rsidRDefault="001B5077">
      <w:r>
        <w:continuationSeparator/>
      </w:r>
    </w:p>
  </w:footnote>
  <w:footnote w:type="continuationNotice" w:id="1">
    <w:p w14:paraId="317CA132" w14:textId="77777777" w:rsidR="001B5077" w:rsidRDefault="001B5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B8911" w14:textId="77777777" w:rsidR="00A43E41" w:rsidRDefault="00A43E41" w:rsidP="00C217F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FE"/>
    <w:rsid w:val="00005947"/>
    <w:rsid w:val="00006AF9"/>
    <w:rsid w:val="0002152F"/>
    <w:rsid w:val="00021CAB"/>
    <w:rsid w:val="00023101"/>
    <w:rsid w:val="00031661"/>
    <w:rsid w:val="00035AB6"/>
    <w:rsid w:val="00036067"/>
    <w:rsid w:val="00036EE4"/>
    <w:rsid w:val="000450D0"/>
    <w:rsid w:val="00060925"/>
    <w:rsid w:val="00062E6C"/>
    <w:rsid w:val="00084D71"/>
    <w:rsid w:val="000D0A31"/>
    <w:rsid w:val="000D2569"/>
    <w:rsid w:val="000F031B"/>
    <w:rsid w:val="000F0FE2"/>
    <w:rsid w:val="0010237B"/>
    <w:rsid w:val="00113A24"/>
    <w:rsid w:val="001368CB"/>
    <w:rsid w:val="00140332"/>
    <w:rsid w:val="00190A7C"/>
    <w:rsid w:val="00191991"/>
    <w:rsid w:val="00191C68"/>
    <w:rsid w:val="001A0625"/>
    <w:rsid w:val="001A09C3"/>
    <w:rsid w:val="001B5077"/>
    <w:rsid w:val="001C2B3F"/>
    <w:rsid w:val="001C6795"/>
    <w:rsid w:val="00201D37"/>
    <w:rsid w:val="002035A1"/>
    <w:rsid w:val="002103D4"/>
    <w:rsid w:val="00210B26"/>
    <w:rsid w:val="0021723C"/>
    <w:rsid w:val="00240CE1"/>
    <w:rsid w:val="00250227"/>
    <w:rsid w:val="0025768B"/>
    <w:rsid w:val="00266C1F"/>
    <w:rsid w:val="00285F40"/>
    <w:rsid w:val="002A2340"/>
    <w:rsid w:val="002A563D"/>
    <w:rsid w:val="002B45B7"/>
    <w:rsid w:val="002C37E6"/>
    <w:rsid w:val="002D49EF"/>
    <w:rsid w:val="002F259B"/>
    <w:rsid w:val="00300328"/>
    <w:rsid w:val="00301476"/>
    <w:rsid w:val="003110AC"/>
    <w:rsid w:val="00313322"/>
    <w:rsid w:val="00320C6A"/>
    <w:rsid w:val="003301EC"/>
    <w:rsid w:val="003379B5"/>
    <w:rsid w:val="00362A51"/>
    <w:rsid w:val="00367591"/>
    <w:rsid w:val="0037057B"/>
    <w:rsid w:val="003706C4"/>
    <w:rsid w:val="0037120A"/>
    <w:rsid w:val="003972C9"/>
    <w:rsid w:val="003A3976"/>
    <w:rsid w:val="003A6FBE"/>
    <w:rsid w:val="003C4AA1"/>
    <w:rsid w:val="003C6CFB"/>
    <w:rsid w:val="003D4155"/>
    <w:rsid w:val="003D60FD"/>
    <w:rsid w:val="003F322E"/>
    <w:rsid w:val="00400D76"/>
    <w:rsid w:val="004016D3"/>
    <w:rsid w:val="00413292"/>
    <w:rsid w:val="00444814"/>
    <w:rsid w:val="00462F89"/>
    <w:rsid w:val="00464BB8"/>
    <w:rsid w:val="00465533"/>
    <w:rsid w:val="004830F3"/>
    <w:rsid w:val="004B3810"/>
    <w:rsid w:val="004B661D"/>
    <w:rsid w:val="004B779E"/>
    <w:rsid w:val="004D5F12"/>
    <w:rsid w:val="004F1BBF"/>
    <w:rsid w:val="004F5DE6"/>
    <w:rsid w:val="00503E44"/>
    <w:rsid w:val="00511556"/>
    <w:rsid w:val="00512636"/>
    <w:rsid w:val="00522705"/>
    <w:rsid w:val="00531069"/>
    <w:rsid w:val="00546B88"/>
    <w:rsid w:val="00554272"/>
    <w:rsid w:val="00572597"/>
    <w:rsid w:val="00573E56"/>
    <w:rsid w:val="00587A2E"/>
    <w:rsid w:val="005A033C"/>
    <w:rsid w:val="005B1DDE"/>
    <w:rsid w:val="005B386F"/>
    <w:rsid w:val="005B4554"/>
    <w:rsid w:val="005C123F"/>
    <w:rsid w:val="005C15AE"/>
    <w:rsid w:val="005C2928"/>
    <w:rsid w:val="005C475F"/>
    <w:rsid w:val="005F333A"/>
    <w:rsid w:val="005F3E35"/>
    <w:rsid w:val="0061440A"/>
    <w:rsid w:val="00621C0C"/>
    <w:rsid w:val="00626A79"/>
    <w:rsid w:val="00683368"/>
    <w:rsid w:val="00691641"/>
    <w:rsid w:val="00691C3A"/>
    <w:rsid w:val="006A51EC"/>
    <w:rsid w:val="006C0ECB"/>
    <w:rsid w:val="006D2137"/>
    <w:rsid w:val="006E59C5"/>
    <w:rsid w:val="00700C23"/>
    <w:rsid w:val="0070333C"/>
    <w:rsid w:val="00703CDD"/>
    <w:rsid w:val="0072055A"/>
    <w:rsid w:val="00751DBE"/>
    <w:rsid w:val="00760203"/>
    <w:rsid w:val="007742B4"/>
    <w:rsid w:val="007802A0"/>
    <w:rsid w:val="00790258"/>
    <w:rsid w:val="007B2B17"/>
    <w:rsid w:val="007C7AF3"/>
    <w:rsid w:val="007E4B31"/>
    <w:rsid w:val="007F33B2"/>
    <w:rsid w:val="00826176"/>
    <w:rsid w:val="008317C0"/>
    <w:rsid w:val="008327C1"/>
    <w:rsid w:val="0083523E"/>
    <w:rsid w:val="0085326E"/>
    <w:rsid w:val="00857297"/>
    <w:rsid w:val="008610DF"/>
    <w:rsid w:val="00862271"/>
    <w:rsid w:val="00863049"/>
    <w:rsid w:val="008658E9"/>
    <w:rsid w:val="00867BEE"/>
    <w:rsid w:val="008A1F68"/>
    <w:rsid w:val="008B679A"/>
    <w:rsid w:val="008D35CA"/>
    <w:rsid w:val="008D6868"/>
    <w:rsid w:val="008E0BF0"/>
    <w:rsid w:val="008E273F"/>
    <w:rsid w:val="008F1823"/>
    <w:rsid w:val="008F7F1C"/>
    <w:rsid w:val="00900C3C"/>
    <w:rsid w:val="00901410"/>
    <w:rsid w:val="00901CA2"/>
    <w:rsid w:val="009275B8"/>
    <w:rsid w:val="00945DBA"/>
    <w:rsid w:val="00955A66"/>
    <w:rsid w:val="00956116"/>
    <w:rsid w:val="00964894"/>
    <w:rsid w:val="00967C07"/>
    <w:rsid w:val="009A36F4"/>
    <w:rsid w:val="009B1FAA"/>
    <w:rsid w:val="009C52D4"/>
    <w:rsid w:val="009C78BA"/>
    <w:rsid w:val="009D6227"/>
    <w:rsid w:val="009E0DB5"/>
    <w:rsid w:val="009F25DF"/>
    <w:rsid w:val="009F4101"/>
    <w:rsid w:val="00A247B9"/>
    <w:rsid w:val="00A3657F"/>
    <w:rsid w:val="00A43E41"/>
    <w:rsid w:val="00A44540"/>
    <w:rsid w:val="00A44EF7"/>
    <w:rsid w:val="00A61275"/>
    <w:rsid w:val="00A9365B"/>
    <w:rsid w:val="00B02771"/>
    <w:rsid w:val="00B1195A"/>
    <w:rsid w:val="00B17612"/>
    <w:rsid w:val="00B45186"/>
    <w:rsid w:val="00B55CB2"/>
    <w:rsid w:val="00B650FF"/>
    <w:rsid w:val="00B746D4"/>
    <w:rsid w:val="00B80C71"/>
    <w:rsid w:val="00B92A33"/>
    <w:rsid w:val="00BB346C"/>
    <w:rsid w:val="00BF3879"/>
    <w:rsid w:val="00BF5AD2"/>
    <w:rsid w:val="00C0481C"/>
    <w:rsid w:val="00C217FE"/>
    <w:rsid w:val="00C21B4A"/>
    <w:rsid w:val="00C3230C"/>
    <w:rsid w:val="00C43CF6"/>
    <w:rsid w:val="00C525D4"/>
    <w:rsid w:val="00C52E14"/>
    <w:rsid w:val="00C908F2"/>
    <w:rsid w:val="00C90E95"/>
    <w:rsid w:val="00C959B5"/>
    <w:rsid w:val="00CA2C4F"/>
    <w:rsid w:val="00CA4B21"/>
    <w:rsid w:val="00CF5B29"/>
    <w:rsid w:val="00D04D5D"/>
    <w:rsid w:val="00D111B5"/>
    <w:rsid w:val="00D12502"/>
    <w:rsid w:val="00D21A44"/>
    <w:rsid w:val="00D37B60"/>
    <w:rsid w:val="00D61AC5"/>
    <w:rsid w:val="00D653F0"/>
    <w:rsid w:val="00D81349"/>
    <w:rsid w:val="00D90718"/>
    <w:rsid w:val="00D92799"/>
    <w:rsid w:val="00D96D94"/>
    <w:rsid w:val="00DA2790"/>
    <w:rsid w:val="00DA6645"/>
    <w:rsid w:val="00DB1F84"/>
    <w:rsid w:val="00DB291F"/>
    <w:rsid w:val="00DB5E0C"/>
    <w:rsid w:val="00DE3A47"/>
    <w:rsid w:val="00DE5B29"/>
    <w:rsid w:val="00E01EC8"/>
    <w:rsid w:val="00E02CF7"/>
    <w:rsid w:val="00E15278"/>
    <w:rsid w:val="00E152C8"/>
    <w:rsid w:val="00E23FCB"/>
    <w:rsid w:val="00E27D06"/>
    <w:rsid w:val="00E61F9B"/>
    <w:rsid w:val="00E741B2"/>
    <w:rsid w:val="00E75D01"/>
    <w:rsid w:val="00E83022"/>
    <w:rsid w:val="00E97299"/>
    <w:rsid w:val="00EC4A14"/>
    <w:rsid w:val="00ED3436"/>
    <w:rsid w:val="00ED69E5"/>
    <w:rsid w:val="00EF1C61"/>
    <w:rsid w:val="00EF3349"/>
    <w:rsid w:val="00EF54A9"/>
    <w:rsid w:val="00EF6C66"/>
    <w:rsid w:val="00F12753"/>
    <w:rsid w:val="00F23676"/>
    <w:rsid w:val="00F43172"/>
    <w:rsid w:val="00F4692E"/>
    <w:rsid w:val="00F55FA9"/>
    <w:rsid w:val="00F86C13"/>
    <w:rsid w:val="00F873A7"/>
    <w:rsid w:val="00F948F2"/>
    <w:rsid w:val="00FA28B7"/>
    <w:rsid w:val="00FB6F84"/>
    <w:rsid w:val="00FC3DB5"/>
    <w:rsid w:val="00FC5F4D"/>
    <w:rsid w:val="00FC671A"/>
    <w:rsid w:val="00FE3FF8"/>
    <w:rsid w:val="00FE41CA"/>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18202"/>
  <w15:docId w15:val="{97EEB2BD-218C-49D9-B1E8-6B24DEFE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7057B"/>
    <w:rPr>
      <w:rFonts w:ascii="Tahoma" w:hAnsi="Tahoma" w:cs="Tahoma"/>
      <w:sz w:val="16"/>
      <w:szCs w:val="16"/>
    </w:rPr>
  </w:style>
  <w:style w:type="character" w:customStyle="1" w:styleId="BalloonTextChar">
    <w:name w:val="Balloon Text Char"/>
    <w:basedOn w:val="DefaultParagraphFont"/>
    <w:link w:val="BalloonText"/>
    <w:uiPriority w:val="99"/>
    <w:semiHidden/>
    <w:rsid w:val="0037057B"/>
    <w:rPr>
      <w:rFonts w:ascii="Tahoma" w:hAnsi="Tahoma" w:cs="Tahoma"/>
      <w:sz w:val="16"/>
      <w:szCs w:val="16"/>
    </w:rPr>
  </w:style>
  <w:style w:type="paragraph" w:styleId="ListParagraph">
    <w:name w:val="List Paragraph"/>
    <w:basedOn w:val="Normal"/>
    <w:uiPriority w:val="34"/>
    <w:qFormat/>
    <w:rsid w:val="008D35CA"/>
    <w:pPr>
      <w:ind w:left="720"/>
    </w:pPr>
    <w:rPr>
      <w:rFonts w:ascii="Calibri" w:eastAsiaTheme="minorHAnsi" w:hAnsi="Calibri"/>
      <w:sz w:val="22"/>
      <w:szCs w:val="22"/>
    </w:rPr>
  </w:style>
  <w:style w:type="character" w:styleId="Hyperlink">
    <w:name w:val="Hyperlink"/>
    <w:basedOn w:val="DefaultParagraphFont"/>
    <w:rsid w:val="008D35CA"/>
    <w:rPr>
      <w:color w:val="0000FF" w:themeColor="hyperlink"/>
      <w:u w:val="single"/>
    </w:rPr>
  </w:style>
  <w:style w:type="character" w:styleId="CommentReference">
    <w:name w:val="annotation reference"/>
    <w:basedOn w:val="DefaultParagraphFont"/>
    <w:uiPriority w:val="99"/>
    <w:semiHidden/>
    <w:unhideWhenUsed/>
    <w:rsid w:val="00CA4B21"/>
    <w:rPr>
      <w:sz w:val="16"/>
      <w:szCs w:val="16"/>
    </w:rPr>
  </w:style>
  <w:style w:type="paragraph" w:styleId="CommentText">
    <w:name w:val="annotation text"/>
    <w:basedOn w:val="Normal"/>
    <w:link w:val="CommentTextChar"/>
    <w:uiPriority w:val="99"/>
    <w:semiHidden/>
    <w:unhideWhenUsed/>
    <w:rsid w:val="00CA4B21"/>
    <w:rPr>
      <w:sz w:val="20"/>
      <w:szCs w:val="20"/>
    </w:rPr>
  </w:style>
  <w:style w:type="character" w:customStyle="1" w:styleId="CommentTextChar">
    <w:name w:val="Comment Text Char"/>
    <w:basedOn w:val="DefaultParagraphFont"/>
    <w:link w:val="CommentText"/>
    <w:uiPriority w:val="99"/>
    <w:semiHidden/>
    <w:rsid w:val="00CA4B21"/>
  </w:style>
  <w:style w:type="paragraph" w:styleId="CommentSubject">
    <w:name w:val="annotation subject"/>
    <w:basedOn w:val="CommentText"/>
    <w:next w:val="CommentText"/>
    <w:link w:val="CommentSubjectChar"/>
    <w:uiPriority w:val="99"/>
    <w:semiHidden/>
    <w:unhideWhenUsed/>
    <w:rsid w:val="00CA4B21"/>
    <w:rPr>
      <w:b/>
      <w:bCs/>
    </w:rPr>
  </w:style>
  <w:style w:type="character" w:customStyle="1" w:styleId="CommentSubjectChar">
    <w:name w:val="Comment Subject Char"/>
    <w:basedOn w:val="CommentTextChar"/>
    <w:link w:val="CommentSubject"/>
    <w:uiPriority w:val="99"/>
    <w:semiHidden/>
    <w:rsid w:val="00CA4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6463">
      <w:bodyDiv w:val="1"/>
      <w:marLeft w:val="0"/>
      <w:marRight w:val="0"/>
      <w:marTop w:val="0"/>
      <w:marBottom w:val="0"/>
      <w:divBdr>
        <w:top w:val="none" w:sz="0" w:space="0" w:color="auto"/>
        <w:left w:val="none" w:sz="0" w:space="0" w:color="auto"/>
        <w:bottom w:val="none" w:sz="0" w:space="0" w:color="auto"/>
        <w:right w:val="none" w:sz="0" w:space="0" w:color="auto"/>
      </w:divBdr>
    </w:div>
    <w:div w:id="346636519">
      <w:bodyDiv w:val="1"/>
      <w:marLeft w:val="0"/>
      <w:marRight w:val="0"/>
      <w:marTop w:val="0"/>
      <w:marBottom w:val="0"/>
      <w:divBdr>
        <w:top w:val="none" w:sz="0" w:space="0" w:color="auto"/>
        <w:left w:val="none" w:sz="0" w:space="0" w:color="auto"/>
        <w:bottom w:val="none" w:sz="0" w:space="0" w:color="auto"/>
        <w:right w:val="none" w:sz="0" w:space="0" w:color="auto"/>
      </w:divBdr>
    </w:div>
    <w:div w:id="7551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2014-08-19T01:16:00Z</cp:lastPrinted>
  <dcterms:created xsi:type="dcterms:W3CDTF">2017-12-14T22:26:00Z</dcterms:created>
  <dcterms:modified xsi:type="dcterms:W3CDTF">2017-12-14T22:27:00Z</dcterms:modified>
</cp:coreProperties>
</file>