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3F8" w:rsidP="006223F8" w:rsidRDefault="006223F8" w14:paraId="26E3AAB9" w14:textId="577A63B1">
      <w:pPr>
        <w:pStyle w:val="BpSTitle"/>
      </w:pPr>
      <w:r>
        <w:t>10970</w:t>
      </w:r>
    </w:p>
    <w:p w:rsidR="006223F8" w:rsidP="006223F8" w:rsidRDefault="006223F8" w14:paraId="07194311" w14:textId="77777777">
      <w:pPr>
        <w:pStyle w:val="BpSTitle"/>
      </w:pPr>
      <w:r>
        <w:t>California Mesic Chaparral</w:t>
      </w:r>
    </w:p>
    <w:p w:rsidR="006223F8" w:rsidP="006223F8" w:rsidRDefault="006223F8" w14:paraId="6F2E9E11" w14:textId="2BB2A49A">
      <w:r>
        <w:t xmlns:w="http://schemas.openxmlformats.org/wordprocessingml/2006/main">BpS Model/Description Version: Aug. 2020</w:t>
      </w:r>
      <w:r>
        <w:tab/>
      </w:r>
      <w:r>
        <w:tab/>
      </w:r>
      <w:r>
        <w:tab/>
      </w:r>
      <w:r>
        <w:tab/>
      </w:r>
      <w:r>
        <w:tab/>
      </w:r>
      <w:r>
        <w:tab/>
      </w:r>
      <w:r>
        <w:tab/>
      </w:r>
    </w:p>
    <w:p w:rsidR="006223F8" w:rsidP="006223F8" w:rsidRDefault="006223F8" w14:paraId="6A72E989"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8"/>
        <w:gridCol w:w="2700"/>
        <w:gridCol w:w="2160"/>
        <w:gridCol w:w="3078"/>
      </w:tblGrid>
      <w:tr w:rsidRPr="006223F8" w:rsidR="006223F8" w:rsidTr="00810DB1" w14:paraId="5A319537" w14:textId="77777777">
        <w:tc>
          <w:tcPr>
            <w:tcW w:w="1638" w:type="dxa"/>
            <w:tcBorders>
              <w:top w:val="single" w:color="auto" w:sz="2" w:space="0"/>
              <w:left w:val="single" w:color="auto" w:sz="12" w:space="0"/>
              <w:bottom w:val="single" w:color="000000" w:sz="12" w:space="0"/>
            </w:tcBorders>
            <w:shd w:val="clear" w:color="auto" w:fill="auto"/>
          </w:tcPr>
          <w:p w:rsidRPr="006223F8" w:rsidR="006223F8" w:rsidP="00120936" w:rsidRDefault="006223F8" w14:paraId="5576143F" w14:textId="77777777">
            <w:pPr>
              <w:rPr>
                <w:b/>
                <w:bCs/>
              </w:rPr>
            </w:pPr>
            <w:r w:rsidRPr="006223F8">
              <w:rPr>
                <w:b/>
                <w:bCs/>
              </w:rPr>
              <w:t>Modelers</w:t>
            </w:r>
          </w:p>
        </w:tc>
        <w:tc>
          <w:tcPr>
            <w:tcW w:w="2700" w:type="dxa"/>
            <w:tcBorders>
              <w:top w:val="single" w:color="auto" w:sz="2" w:space="0"/>
              <w:bottom w:val="single" w:color="000000" w:sz="12" w:space="0"/>
              <w:right w:val="single" w:color="000000" w:sz="12" w:space="0"/>
            </w:tcBorders>
            <w:shd w:val="clear" w:color="auto" w:fill="auto"/>
          </w:tcPr>
          <w:p w:rsidRPr="006223F8" w:rsidR="006223F8" w:rsidP="00120936" w:rsidRDefault="006223F8" w14:paraId="2DF388CF" w14:textId="77777777">
            <w:pPr>
              <w:rPr>
                <w:b/>
                <w:bCs/>
              </w:rPr>
            </w:pPr>
          </w:p>
        </w:tc>
        <w:tc>
          <w:tcPr>
            <w:tcW w:w="2160" w:type="dxa"/>
            <w:tcBorders>
              <w:top w:val="single" w:color="auto" w:sz="2" w:space="0"/>
              <w:left w:val="single" w:color="000000" w:sz="12" w:space="0"/>
              <w:bottom w:val="single" w:color="000000" w:sz="12" w:space="0"/>
            </w:tcBorders>
            <w:shd w:val="clear" w:color="auto" w:fill="auto"/>
          </w:tcPr>
          <w:p w:rsidRPr="006223F8" w:rsidR="006223F8" w:rsidP="00120936" w:rsidRDefault="006223F8" w14:paraId="72D43175" w14:textId="77777777">
            <w:pPr>
              <w:rPr>
                <w:b/>
                <w:bCs/>
              </w:rPr>
            </w:pPr>
            <w:r w:rsidRPr="006223F8">
              <w:rPr>
                <w:b/>
                <w:bCs/>
              </w:rPr>
              <w:t>Reviewers</w:t>
            </w:r>
          </w:p>
        </w:tc>
        <w:tc>
          <w:tcPr>
            <w:tcW w:w="3078" w:type="dxa"/>
            <w:tcBorders>
              <w:top w:val="single" w:color="auto" w:sz="2" w:space="0"/>
              <w:bottom w:val="single" w:color="000000" w:sz="12" w:space="0"/>
            </w:tcBorders>
            <w:shd w:val="clear" w:color="auto" w:fill="auto"/>
          </w:tcPr>
          <w:p w:rsidRPr="006223F8" w:rsidR="006223F8" w:rsidP="00120936" w:rsidRDefault="006223F8" w14:paraId="517A418D" w14:textId="77777777">
            <w:pPr>
              <w:rPr>
                <w:b/>
                <w:bCs/>
              </w:rPr>
            </w:pPr>
          </w:p>
        </w:tc>
      </w:tr>
      <w:tr w:rsidRPr="006223F8" w:rsidR="006223F8" w:rsidTr="00810DB1" w14:paraId="74A38D72" w14:textId="77777777">
        <w:tc>
          <w:tcPr>
            <w:tcW w:w="1638" w:type="dxa"/>
            <w:tcBorders>
              <w:top w:val="single" w:color="000000" w:sz="12" w:space="0"/>
              <w:left w:val="single" w:color="auto" w:sz="12" w:space="0"/>
            </w:tcBorders>
            <w:shd w:val="clear" w:color="auto" w:fill="auto"/>
          </w:tcPr>
          <w:p w:rsidRPr="006223F8" w:rsidR="006223F8" w:rsidP="00120936" w:rsidRDefault="006223F8" w14:paraId="3B363466" w14:textId="77777777">
            <w:pPr>
              <w:rPr>
                <w:bCs/>
              </w:rPr>
            </w:pPr>
            <w:r w:rsidRPr="006223F8">
              <w:rPr>
                <w:bCs/>
              </w:rPr>
              <w:t>Todd Keeler-Wolf</w:t>
            </w:r>
          </w:p>
        </w:tc>
        <w:tc>
          <w:tcPr>
            <w:tcW w:w="2700" w:type="dxa"/>
            <w:tcBorders>
              <w:top w:val="single" w:color="000000" w:sz="12" w:space="0"/>
              <w:right w:val="single" w:color="000000" w:sz="12" w:space="0"/>
            </w:tcBorders>
            <w:shd w:val="clear" w:color="auto" w:fill="auto"/>
          </w:tcPr>
          <w:p w:rsidRPr="006223F8" w:rsidR="006223F8" w:rsidP="00120936" w:rsidRDefault="006223F8" w14:paraId="29850998" w14:textId="77777777">
            <w:r w:rsidRPr="006223F8">
              <w:t>tkwolf@dfg.ca.gov</w:t>
            </w:r>
          </w:p>
        </w:tc>
        <w:tc>
          <w:tcPr>
            <w:tcW w:w="2160" w:type="dxa"/>
            <w:tcBorders>
              <w:top w:val="single" w:color="000000" w:sz="12" w:space="0"/>
              <w:left w:val="single" w:color="000000" w:sz="12" w:space="0"/>
            </w:tcBorders>
            <w:shd w:val="clear" w:color="auto" w:fill="auto"/>
          </w:tcPr>
          <w:p w:rsidRPr="006223F8" w:rsidR="006223F8" w:rsidP="00120936" w:rsidRDefault="006223F8" w14:paraId="6FCDCC34" w14:textId="77777777">
            <w:r w:rsidRPr="006223F8">
              <w:t>Richard Minnich</w:t>
            </w:r>
          </w:p>
        </w:tc>
        <w:tc>
          <w:tcPr>
            <w:tcW w:w="3078" w:type="dxa"/>
            <w:tcBorders>
              <w:top w:val="single" w:color="000000" w:sz="12" w:space="0"/>
            </w:tcBorders>
            <w:shd w:val="clear" w:color="auto" w:fill="auto"/>
          </w:tcPr>
          <w:p w:rsidRPr="006223F8" w:rsidR="006223F8" w:rsidP="00120936" w:rsidRDefault="006223F8" w14:paraId="451FEBBD" w14:textId="77777777">
            <w:r w:rsidRPr="006223F8">
              <w:t>Richard.Minnich@ucr.edu</w:t>
            </w:r>
          </w:p>
        </w:tc>
      </w:tr>
      <w:tr w:rsidRPr="006223F8" w:rsidR="006223F8" w:rsidTr="00810DB1" w14:paraId="1E98E613" w14:textId="77777777">
        <w:tc>
          <w:tcPr>
            <w:tcW w:w="1638" w:type="dxa"/>
            <w:tcBorders>
              <w:left w:val="single" w:color="auto" w:sz="12" w:space="0"/>
            </w:tcBorders>
            <w:shd w:val="clear" w:color="auto" w:fill="auto"/>
          </w:tcPr>
          <w:p w:rsidRPr="006223F8" w:rsidR="006223F8" w:rsidP="00120936" w:rsidRDefault="006223F8" w14:paraId="41763BCF" w14:textId="77777777">
            <w:pPr>
              <w:rPr>
                <w:bCs/>
              </w:rPr>
            </w:pPr>
            <w:r w:rsidRPr="006223F8">
              <w:rPr>
                <w:bCs/>
              </w:rPr>
              <w:t>Jan Beyers</w:t>
            </w:r>
          </w:p>
        </w:tc>
        <w:tc>
          <w:tcPr>
            <w:tcW w:w="2700" w:type="dxa"/>
            <w:tcBorders>
              <w:right w:val="single" w:color="000000" w:sz="12" w:space="0"/>
            </w:tcBorders>
            <w:shd w:val="clear" w:color="auto" w:fill="auto"/>
          </w:tcPr>
          <w:p w:rsidRPr="006223F8" w:rsidR="006223F8" w:rsidP="00120936" w:rsidRDefault="006223F8" w14:paraId="6FE15587" w14:textId="77777777">
            <w:r w:rsidRPr="006223F8">
              <w:t>jbeyers@fs.fed.us</w:t>
            </w:r>
          </w:p>
        </w:tc>
        <w:tc>
          <w:tcPr>
            <w:tcW w:w="2160" w:type="dxa"/>
            <w:tcBorders>
              <w:left w:val="single" w:color="000000" w:sz="12" w:space="0"/>
            </w:tcBorders>
            <w:shd w:val="clear" w:color="auto" w:fill="auto"/>
          </w:tcPr>
          <w:p w:rsidRPr="006223F8" w:rsidR="006223F8" w:rsidP="00120936" w:rsidRDefault="006223F8" w14:paraId="329B1A60" w14:textId="77777777">
            <w:r w:rsidRPr="006223F8">
              <w:t>Jon Keeley</w:t>
            </w:r>
          </w:p>
        </w:tc>
        <w:tc>
          <w:tcPr>
            <w:tcW w:w="3078" w:type="dxa"/>
            <w:shd w:val="clear" w:color="auto" w:fill="auto"/>
          </w:tcPr>
          <w:p w:rsidRPr="006223F8" w:rsidR="006223F8" w:rsidP="00120936" w:rsidRDefault="006223F8" w14:paraId="034F91CC" w14:textId="77777777">
            <w:r w:rsidRPr="006223F8">
              <w:t>jon_keeley@usgs.gov</w:t>
            </w:r>
          </w:p>
        </w:tc>
      </w:tr>
      <w:tr w:rsidRPr="006223F8" w:rsidR="006223F8" w:rsidTr="00810DB1" w14:paraId="34DD3ABF" w14:textId="77777777">
        <w:tc>
          <w:tcPr>
            <w:tcW w:w="1638" w:type="dxa"/>
            <w:tcBorders>
              <w:left w:val="single" w:color="auto" w:sz="12" w:space="0"/>
              <w:bottom w:val="single" w:color="auto" w:sz="2" w:space="0"/>
            </w:tcBorders>
            <w:shd w:val="clear" w:color="auto" w:fill="auto"/>
          </w:tcPr>
          <w:p w:rsidRPr="006223F8" w:rsidR="006223F8" w:rsidP="00120936" w:rsidRDefault="006223F8" w14:paraId="6ABF2BC3" w14:textId="77777777">
            <w:pPr>
              <w:rPr>
                <w:bCs/>
              </w:rPr>
            </w:pPr>
            <w:r w:rsidRPr="006223F8">
              <w:rPr>
                <w:bCs/>
              </w:rPr>
              <w:t>Robert Taylor</w:t>
            </w:r>
          </w:p>
        </w:tc>
        <w:tc>
          <w:tcPr>
            <w:tcW w:w="2700" w:type="dxa"/>
            <w:tcBorders>
              <w:right w:val="single" w:color="000000" w:sz="12" w:space="0"/>
            </w:tcBorders>
            <w:shd w:val="clear" w:color="auto" w:fill="auto"/>
          </w:tcPr>
          <w:p w:rsidRPr="006223F8" w:rsidR="006223F8" w:rsidP="00120936" w:rsidRDefault="006223F8" w14:paraId="42FEC5E9" w14:textId="77777777">
            <w:r w:rsidRPr="006223F8">
              <w:t>robert_s_taylor@nps.gov</w:t>
            </w:r>
          </w:p>
        </w:tc>
        <w:tc>
          <w:tcPr>
            <w:tcW w:w="2160" w:type="dxa"/>
            <w:tcBorders>
              <w:left w:val="single" w:color="000000" w:sz="12" w:space="0"/>
              <w:bottom w:val="single" w:color="auto" w:sz="2" w:space="0"/>
            </w:tcBorders>
            <w:shd w:val="clear" w:color="auto" w:fill="auto"/>
          </w:tcPr>
          <w:p w:rsidRPr="006223F8" w:rsidR="006223F8" w:rsidP="00120936" w:rsidRDefault="006223F8" w14:paraId="42FB4EF7" w14:textId="77777777">
            <w:r w:rsidRPr="006223F8">
              <w:t>Richard Halsey</w:t>
            </w:r>
          </w:p>
        </w:tc>
        <w:tc>
          <w:tcPr>
            <w:tcW w:w="3078" w:type="dxa"/>
            <w:shd w:val="clear" w:color="auto" w:fill="auto"/>
          </w:tcPr>
          <w:p w:rsidRPr="006223F8" w:rsidR="006223F8" w:rsidP="00120936" w:rsidRDefault="006223F8" w14:paraId="3E1132F8" w14:textId="77777777">
            <w:r w:rsidRPr="006223F8">
              <w:t>richardhalsey@sbcglobal.net</w:t>
            </w:r>
          </w:p>
        </w:tc>
      </w:tr>
    </w:tbl>
    <w:p w:rsidR="006223F8" w:rsidP="006223F8" w:rsidRDefault="006223F8" w14:paraId="26238562" w14:textId="77777777"/>
    <w:p w:rsidR="006223F8" w:rsidP="006223F8" w:rsidRDefault="006223F8" w14:paraId="3BC0CBD5" w14:textId="77777777">
      <w:pPr>
        <w:pStyle w:val="InfoPara"/>
      </w:pPr>
      <w:r>
        <w:t>Vegetation Type</w:t>
      </w:r>
    </w:p>
    <w:p w:rsidR="006223F8" w:rsidP="006223F8" w:rsidRDefault="006223F8" w14:paraId="6E586BF0" w14:textId="72ADB17F">
      <w:bookmarkStart w:name="_GoBack" w:id="0"/>
      <w:bookmarkEnd w:id="0"/>
      <w:r>
        <w:t>Shrubland</w:t>
      </w:r>
    </w:p>
    <w:p w:rsidR="006223F8" w:rsidP="006223F8" w:rsidRDefault="006223F8" w14:paraId="5131D3EB" w14:textId="77777777">
      <w:pPr>
        <w:pStyle w:val="InfoPara"/>
      </w:pPr>
      <w:r>
        <w:t>Map Zones</w:t>
      </w:r>
    </w:p>
    <w:p w:rsidR="006223F8" w:rsidP="006223F8" w:rsidRDefault="00C7289A" w14:paraId="7F9BB044" w14:textId="7842D65F">
      <w:r>
        <w:t>4, 5</w:t>
      </w:r>
    </w:p>
    <w:p w:rsidR="006223F8" w:rsidP="006223F8" w:rsidRDefault="006223F8" w14:paraId="12C60F00" w14:textId="77777777">
      <w:pPr>
        <w:pStyle w:val="InfoPara"/>
      </w:pPr>
      <w:r>
        <w:t>Geographic Range</w:t>
      </w:r>
    </w:p>
    <w:p w:rsidR="006223F8" w:rsidP="006223F8" w:rsidRDefault="006223F8" w14:paraId="533A34DC" w14:textId="77777777">
      <w:r>
        <w:t>This system occurs throughout Mediterranean California away from the coastal fog belt.</w:t>
      </w:r>
    </w:p>
    <w:p w:rsidR="006223F8" w:rsidP="006223F8" w:rsidRDefault="006223F8" w14:paraId="7B0ACF29" w14:textId="77777777">
      <w:pPr>
        <w:pStyle w:val="InfoPara"/>
      </w:pPr>
      <w:r>
        <w:t>Biophysical Site Description</w:t>
      </w:r>
    </w:p>
    <w:p w:rsidR="006223F8" w:rsidP="006223F8" w:rsidRDefault="006223F8" w14:paraId="68BA3FAB" w14:textId="31C81F72">
      <w:r>
        <w:t xml:space="preserve">Commonly occurs in mesic site conditions (deep, well-drained soils) on north-facing slopes up to </w:t>
      </w:r>
      <w:r w:rsidR="00F921E5">
        <w:t>~</w:t>
      </w:r>
      <w:r>
        <w:t>1</w:t>
      </w:r>
      <w:r w:rsidR="00F921E5">
        <w:t>,</w:t>
      </w:r>
      <w:r>
        <w:t>500m (4</w:t>
      </w:r>
      <w:r w:rsidR="00F921E5">
        <w:t>,</w:t>
      </w:r>
      <w:r>
        <w:t>550ft) in northern California and up to 1</w:t>
      </w:r>
      <w:r w:rsidR="00F921E5">
        <w:t>,</w:t>
      </w:r>
      <w:r>
        <w:t>830m (6</w:t>
      </w:r>
      <w:r w:rsidR="00F921E5">
        <w:t>,</w:t>
      </w:r>
      <w:r>
        <w:t>000ft) in southern California. Average rainfall 14-25in.</w:t>
      </w:r>
    </w:p>
    <w:p w:rsidR="006223F8" w:rsidP="006223F8" w:rsidRDefault="006223F8" w14:paraId="4C2972FD" w14:textId="77777777">
      <w:pPr>
        <w:pStyle w:val="InfoPara"/>
      </w:pPr>
      <w:r>
        <w:t>Vegetation Description</w:t>
      </w:r>
    </w:p>
    <w:p w:rsidR="006223F8" w:rsidP="006223F8" w:rsidRDefault="006223F8" w14:paraId="6D2D3504" w14:textId="25011634">
      <w:r>
        <w:t xml:space="preserve">Mesic chaparral is composed of woody, sclerophyllous shrubs that generally vary from </w:t>
      </w:r>
      <w:r w:rsidR="00F921E5">
        <w:t>1-5m</w:t>
      </w:r>
      <w:r>
        <w:t xml:space="preserve"> (3-15ft) in height. Shrub cover is usually dense and continuous. Chaparral species tend to be fire-resilient, at least within certain parameters of fire return interval</w:t>
      </w:r>
      <w:r w:rsidR="00F921E5">
        <w:t xml:space="preserve"> (FRI)</w:t>
      </w:r>
      <w:r>
        <w:t xml:space="preserve"> and burning season, by either resprouting vigorously after fire or by producing fire-resistant seeds that germinate after fire has passed. Common species include </w:t>
      </w:r>
      <w:r w:rsidRPr="00810DB1">
        <w:rPr>
          <w:i/>
        </w:rPr>
        <w:t>Adenostoma fasciculatum</w:t>
      </w:r>
      <w:r>
        <w:t xml:space="preserve">, </w:t>
      </w:r>
      <w:r w:rsidRPr="00810DB1">
        <w:rPr>
          <w:i/>
        </w:rPr>
        <w:t>Arctostaphylos</w:t>
      </w:r>
      <w:r>
        <w:t xml:space="preserve"> spp., </w:t>
      </w:r>
      <w:r w:rsidRPr="00810DB1">
        <w:rPr>
          <w:i/>
        </w:rPr>
        <w:t>Quercus berberidifolia</w:t>
      </w:r>
      <w:r>
        <w:t xml:space="preserve">, </w:t>
      </w:r>
      <w:r w:rsidRPr="00810DB1">
        <w:rPr>
          <w:i/>
        </w:rPr>
        <w:t xml:space="preserve">Q. wislizeni </w:t>
      </w:r>
      <w:r>
        <w:t xml:space="preserve">v. </w:t>
      </w:r>
      <w:r w:rsidRPr="00810DB1">
        <w:rPr>
          <w:i/>
        </w:rPr>
        <w:t>fructescens</w:t>
      </w:r>
      <w:r>
        <w:t xml:space="preserve">, </w:t>
      </w:r>
      <w:r w:rsidRPr="00810DB1">
        <w:rPr>
          <w:i/>
        </w:rPr>
        <w:t>Ceanothus leucodermis</w:t>
      </w:r>
      <w:r>
        <w:t xml:space="preserve">, </w:t>
      </w:r>
      <w:r w:rsidRPr="00810DB1">
        <w:rPr>
          <w:i/>
        </w:rPr>
        <w:t>Fraxinus dipetala</w:t>
      </w:r>
      <w:r>
        <w:t xml:space="preserve">, </w:t>
      </w:r>
      <w:r w:rsidRPr="00810DB1">
        <w:rPr>
          <w:i/>
        </w:rPr>
        <w:t>Garrya</w:t>
      </w:r>
      <w:r>
        <w:t xml:space="preserve"> spp., </w:t>
      </w:r>
      <w:r w:rsidRPr="00810DB1">
        <w:rPr>
          <w:i/>
        </w:rPr>
        <w:t>Lonicera</w:t>
      </w:r>
      <w:r>
        <w:t xml:space="preserve"> spp., </w:t>
      </w:r>
      <w:r w:rsidRPr="00810DB1">
        <w:rPr>
          <w:i/>
        </w:rPr>
        <w:t>Prunus ilicifolia</w:t>
      </w:r>
      <w:r>
        <w:t xml:space="preserve">, </w:t>
      </w:r>
      <w:r w:rsidRPr="00810DB1">
        <w:rPr>
          <w:i/>
        </w:rPr>
        <w:t>Ribes</w:t>
      </w:r>
      <w:r>
        <w:t xml:space="preserve"> spp., </w:t>
      </w:r>
      <w:r w:rsidRPr="00810DB1">
        <w:rPr>
          <w:i/>
        </w:rPr>
        <w:t>Sambucus</w:t>
      </w:r>
      <w:r>
        <w:t xml:space="preserve"> spp., </w:t>
      </w:r>
      <w:r w:rsidRPr="00810DB1">
        <w:rPr>
          <w:i/>
        </w:rPr>
        <w:t>Umbellularia californica</w:t>
      </w:r>
      <w:r>
        <w:t xml:space="preserve">, and </w:t>
      </w:r>
      <w:r w:rsidRPr="00810DB1">
        <w:rPr>
          <w:i/>
        </w:rPr>
        <w:t>Aesculus californica</w:t>
      </w:r>
      <w:r>
        <w:t>. In the most mesic, low</w:t>
      </w:r>
      <w:r w:rsidR="00F921E5">
        <w:t>-</w:t>
      </w:r>
      <w:r>
        <w:t>solar</w:t>
      </w:r>
      <w:r w:rsidR="00F921E5">
        <w:t>-</w:t>
      </w:r>
      <w:r>
        <w:t xml:space="preserve">insolation settings, common dominants are </w:t>
      </w:r>
      <w:r w:rsidRPr="00810DB1">
        <w:rPr>
          <w:i/>
        </w:rPr>
        <w:t>Heteromeles arbutifolia</w:t>
      </w:r>
      <w:r>
        <w:t xml:space="preserve">, </w:t>
      </w:r>
      <w:r w:rsidRPr="00810DB1">
        <w:rPr>
          <w:i/>
        </w:rPr>
        <w:t>Toxicodendron diversiloba</w:t>
      </w:r>
      <w:r>
        <w:t xml:space="preserve">, </w:t>
      </w:r>
      <w:r w:rsidRPr="00810DB1">
        <w:rPr>
          <w:i/>
        </w:rPr>
        <w:t>Rhamnus</w:t>
      </w:r>
      <w:r>
        <w:t xml:space="preserve"> spp., and </w:t>
      </w:r>
      <w:r w:rsidRPr="00810DB1">
        <w:rPr>
          <w:i/>
        </w:rPr>
        <w:t>Prunus</w:t>
      </w:r>
      <w:r>
        <w:t xml:space="preserve"> spp. At the high end of the type (above </w:t>
      </w:r>
      <w:r w:rsidR="00F921E5">
        <w:t>~</w:t>
      </w:r>
      <w:r>
        <w:t>4</w:t>
      </w:r>
      <w:r w:rsidR="00F921E5">
        <w:t>,</w:t>
      </w:r>
      <w:r>
        <w:t>000ft)</w:t>
      </w:r>
      <w:r w:rsidR="00F921E5">
        <w:t>,</w:t>
      </w:r>
      <w:r>
        <w:t xml:space="preserve"> </w:t>
      </w:r>
      <w:r w:rsidRPr="00810DB1">
        <w:rPr>
          <w:i/>
        </w:rPr>
        <w:t>Arctostaphylos glandulosa</w:t>
      </w:r>
      <w:r>
        <w:t xml:space="preserve">, </w:t>
      </w:r>
      <w:r w:rsidRPr="00810DB1">
        <w:rPr>
          <w:i/>
        </w:rPr>
        <w:t>Quercus wislizeni</w:t>
      </w:r>
      <w:r>
        <w:t xml:space="preserve">, </w:t>
      </w:r>
      <w:r w:rsidRPr="00810DB1">
        <w:rPr>
          <w:i/>
        </w:rPr>
        <w:t>Cercocarpus montanus</w:t>
      </w:r>
      <w:r>
        <w:t xml:space="preserve"> var. </w:t>
      </w:r>
      <w:r w:rsidRPr="00810DB1">
        <w:rPr>
          <w:i/>
        </w:rPr>
        <w:t>glaber</w:t>
      </w:r>
      <w:r>
        <w:t xml:space="preserve">, and </w:t>
      </w:r>
      <w:r w:rsidRPr="00810DB1">
        <w:rPr>
          <w:i/>
        </w:rPr>
        <w:t>Quercus chrysolepis</w:t>
      </w:r>
      <w:r>
        <w:t xml:space="preserve"> are common associates. Most of these species readily resprout after fire.</w:t>
      </w:r>
    </w:p>
    <w:p w:rsidR="006223F8" w:rsidP="006223F8" w:rsidRDefault="006223F8" w14:paraId="7A57C3E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ADFA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Adenostoma fasciculatum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Chamise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QUBE5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berberidifolia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Scrub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QUWIF</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wislizeni var. frutescens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Interior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leucodermis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Chaparral whitethorn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 var. glaber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Birchleaf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ADSP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Adenostoma sparsifolium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Redshank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HEAR5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Heteromeles arbutifolia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TODI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Toxicodendron diversilobum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poison oak</w:t>
            </w:r>
          </w:p>
        </w:tc>
      </w:tr>
    </w:tbl>
    <w:p>
      <w:r>
        <w:rPr>
          <w:sz w:val="16"/>
        </w:rPr>
        <w:t>Species names are from the NRCS PLANTS database. Check species codes at http://plants.usda.gov.</w:t>
      </w:r>
    </w:p>
    <w:p w:rsidR="006223F8" w:rsidP="006223F8" w:rsidRDefault="006223F8" w14:paraId="47A7D301" w14:textId="77777777">
      <w:pPr>
        <w:pStyle w:val="InfoPara"/>
      </w:pPr>
      <w:r>
        <w:t>Disturbance Description</w:t>
      </w:r>
    </w:p>
    <w:p w:rsidR="006223F8" w:rsidP="006223F8" w:rsidRDefault="006223F8" w14:paraId="0C569B84" w14:textId="200FF2C3">
      <w:r>
        <w:t xml:space="preserve">Chaparral burns in high-intensity, stand-replacing crown fires that can burn </w:t>
      </w:r>
      <w:r w:rsidR="00F921E5">
        <w:t xml:space="preserve">1,000s </w:t>
      </w:r>
      <w:r>
        <w:t xml:space="preserve">of acres in a single event. Historic mean </w:t>
      </w:r>
      <w:r w:rsidR="003731CC">
        <w:t xml:space="preserve">FRIs </w:t>
      </w:r>
      <w:r>
        <w:t>are highly variable across the state</w:t>
      </w:r>
      <w:r w:rsidR="00F921E5">
        <w:t xml:space="preserve">, </w:t>
      </w:r>
      <w:r>
        <w:t xml:space="preserve">depending on species composition and other factors; they tend to be longer in coastal northern </w:t>
      </w:r>
      <w:r w:rsidR="00CB66F3">
        <w:t>C</w:t>
      </w:r>
      <w:r w:rsidR="00F921E5">
        <w:t>alifornia</w:t>
      </w:r>
      <w:r>
        <w:t xml:space="preserve"> than in southern </w:t>
      </w:r>
      <w:r w:rsidR="00CB66F3">
        <w:t>C</w:t>
      </w:r>
      <w:r w:rsidR="00F921E5">
        <w:t>alifornia</w:t>
      </w:r>
      <w:r>
        <w:t>, where summer lightning is more common. Season of burning can play a part in species composition. Occasionally, frost affects mortality and increases fuel buildup. In the last century</w:t>
      </w:r>
      <w:r w:rsidR="00F921E5">
        <w:t>,</w:t>
      </w:r>
      <w:r>
        <w:t xml:space="preserve"> the high frequency of human ignitions has reduced the</w:t>
      </w:r>
      <w:r w:rsidR="00810DB1">
        <w:t xml:space="preserve"> FRI </w:t>
      </w:r>
      <w:r>
        <w:t>interval to 30-35yrs in</w:t>
      </w:r>
      <w:r w:rsidR="00F921E5">
        <w:t xml:space="preserve"> southern California</w:t>
      </w:r>
      <w:r>
        <w:t>, with some areas burning much more frequently than that.</w:t>
      </w:r>
    </w:p>
    <w:p w:rsidR="006223F8" w:rsidP="006223F8" w:rsidRDefault="006223F8" w14:paraId="7198DBBC" w14:textId="77777777"/>
    <w:p w:rsidR="006223F8" w:rsidP="006223F8" w:rsidRDefault="006223F8" w14:paraId="1032B1C3" w14:textId="0676239E">
      <w:r>
        <w:t>Sediment cores taken from the Santa Barbara Channel in central California dating from the 16th and 17th centuries showed two major peaks in charcoal deposition about a century apart, suggesting historic presence of large fires (Mensing 1998</w:t>
      </w:r>
      <w:r w:rsidR="00F921E5">
        <w:t xml:space="preserve">; </w:t>
      </w:r>
      <w:r>
        <w:t xml:space="preserve">Mensing et al. 1999). Mensing (1998) and Mensing et al. (1999) found that the frequency of large charcoal peaks appeared fairly constant over the </w:t>
      </w:r>
      <w:r w:rsidR="00F921E5">
        <w:t>~</w:t>
      </w:r>
      <w:r>
        <w:t xml:space="preserve">560yr period documented in the cores. Their foremost conclusion was that their sediment stratigraphy did not document any strong change in frequency of charcoal peaks over the entire period or during any of the major land use periods (Native American, Spanish and early American, or modern American). They concluded that the frequency of really large fires (at least in southern Santa Barbara County) is controlled by decadal (and longer) drought cycles and by the annual fall occurrences of extreme fire weather, then as now. Season of burning may play a role in species composition. The largest fires are often the product of strong off-shore winds (such as the Santa Anas in </w:t>
      </w:r>
      <w:r w:rsidR="00F921E5">
        <w:t>southern California</w:t>
      </w:r>
      <w:r>
        <w:t>).</w:t>
      </w:r>
    </w:p>
    <w:p w:rsidR="006223F8" w:rsidP="006223F8" w:rsidRDefault="006223F8" w14:paraId="03DA4010" w14:textId="77777777"/>
    <w:p w:rsidR="006223F8" w:rsidP="006223F8" w:rsidRDefault="006223F8" w14:paraId="66D85E75" w14:textId="19231E84">
      <w:r>
        <w:t xml:space="preserve">A reviewer commented that there is little research that reports historic </w:t>
      </w:r>
      <w:r w:rsidR="00F921E5">
        <w:t>FRIs</w:t>
      </w:r>
      <w:r>
        <w:t xml:space="preserve"> for this system. However, there are a number of old-growth mesic chaparral stands that have existed for </w:t>
      </w:r>
      <w:r w:rsidR="00F921E5">
        <w:t xml:space="preserve">100s </w:t>
      </w:r>
      <w:r>
        <w:t>of years. These old-growth stands are not the result of fire suppression activity but a natural process. Tom Swetnam is currently working on a tree ring/fire scar project that may help us understand what the past fire regime was in mesic systems, but at the present moment all we know is that old-growth (100yrs</w:t>
      </w:r>
      <w:r w:rsidR="00F921E5">
        <w:t>+</w:t>
      </w:r>
      <w:r>
        <w:t>) mesic chaparral stands are being slowly eliminated by increasing fire frequency.</w:t>
      </w:r>
    </w:p>
    <w:p w:rsidR="006223F8" w:rsidP="006223F8" w:rsidRDefault="006223F8" w14:paraId="15AC94A2" w14:textId="77777777"/>
    <w:p w:rsidR="006223F8" w:rsidP="006223F8" w:rsidRDefault="006223F8" w14:paraId="18CED46F" w14:textId="045076BB">
      <w:bookmarkStart w:name="_Hlk505002998" w:id="1"/>
      <w:r>
        <w:t xml:space="preserve">Another reviewer recommended a 40yr return interval as this is the low end of </w:t>
      </w:r>
      <w:bookmarkEnd w:id="1"/>
      <w:r>
        <w:t>the Byrne et al. (1977) estimates. After considering review comments, modelers felt that an 80yr return interval better reflected the longer return interval that this type would have relative to the xeric (</w:t>
      </w:r>
      <w:r w:rsidR="00F921E5">
        <w:t>Biophysical Setting [</w:t>
      </w:r>
      <w:r>
        <w:t>BpS</w:t>
      </w:r>
      <w:r w:rsidR="00F921E5">
        <w:t>]</w:t>
      </w:r>
      <w:r>
        <w:t xml:space="preserve"> 1110 and 1105) types. One line of argument for the length of the </w:t>
      </w:r>
      <w:r w:rsidR="00F921E5">
        <w:t xml:space="preserve">FRI </w:t>
      </w:r>
      <w:r>
        <w:t xml:space="preserve">was that it is very difficult to initiate fire in mesic chaparral today in anything less than extreme fire weather and that fuel moisture is quite important in determining the resulting fire behavior. This condition presumably also constrained any historic Native American </w:t>
      </w:r>
      <w:r w:rsidR="00F921E5">
        <w:t xml:space="preserve">who </w:t>
      </w:r>
      <w:r>
        <w:t xml:space="preserve">may have been trying to manage shrublands with prescribed fire. Mensing's data </w:t>
      </w:r>
      <w:r w:rsidR="00F921E5">
        <w:t xml:space="preserve">(1998; Mensing et al. 1999) </w:t>
      </w:r>
      <w:r>
        <w:t>also show that the occurrence of large fires has not changed much since Chumash times and that</w:t>
      </w:r>
      <w:r w:rsidR="00F921E5">
        <w:t>,</w:t>
      </w:r>
      <w:r>
        <w:t xml:space="preserve"> then as now, big fires were correlated with drought cycles. Mensing's data also suggest that the relative abundance of chaparral (on a landscape scale) has not changed much since Chumash times and </w:t>
      </w:r>
      <w:r w:rsidR="00F921E5">
        <w:t xml:space="preserve">that </w:t>
      </w:r>
      <w:r>
        <w:t xml:space="preserve">no one (not Chumash, not Spanish, not American) has been successful at substantially altering the amount of chaparral in the south coast area. So the charcoal and </w:t>
      </w:r>
      <w:r>
        <w:lastRenderedPageBreak/>
        <w:t>sediment record support what we might conclude from modern observations of fire behavior in this vegetation: that the Chumash probably didn't light off big patches of mesic chaparral often.</w:t>
      </w:r>
    </w:p>
    <w:p w:rsidR="006223F8" w:rsidP="006223F8" w:rsidRDefault="006223F8" w14:paraId="51B86809"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77</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223F8" w:rsidP="006223F8" w:rsidRDefault="006223F8" w14:paraId="5CDB4A96" w14:textId="77777777">
      <w:pPr>
        <w:pStyle w:val="InfoPara"/>
      </w:pPr>
      <w:r>
        <w:t>Scale Description</w:t>
      </w:r>
    </w:p>
    <w:p w:rsidR="006223F8" w:rsidP="006223F8" w:rsidRDefault="006223F8" w14:paraId="63C9476A" w14:textId="5B5268CE">
      <w:r>
        <w:t>Mesic chaparral typically burns in large wildfires that consume 1</w:t>
      </w:r>
      <w:r w:rsidR="00F921E5">
        <w:t>,</w:t>
      </w:r>
      <w:r>
        <w:t xml:space="preserve">000s and 10,000s of acres; a small percentage burn </w:t>
      </w:r>
      <w:r w:rsidR="00F921E5">
        <w:t>&gt;</w:t>
      </w:r>
      <w:r>
        <w:t>100,000ac. Mesic chaparral tends to ignite only under more extreme weather conditions than xeric chaparral, and patches may remain unburned within a large fire that consumes mostly the south-facing stands. Some mesic chaparral may not burn for 100yrs or more.</w:t>
      </w:r>
    </w:p>
    <w:p w:rsidR="006223F8" w:rsidP="006223F8" w:rsidRDefault="006223F8" w14:paraId="3BC59A87" w14:textId="77777777"/>
    <w:p w:rsidR="006223F8" w:rsidP="006223F8" w:rsidRDefault="006223F8" w14:paraId="26C611E6" w14:textId="1167FF69">
      <w:r>
        <w:t>Fire ecologists disagree about the size distribution of fires prior to European settlement in California. A reviewer pointed to studies of fire distribution in Baja California, Mexico, which show small patch sizes (100s of ha); summer ignitions there result in fires that burn until they reach younger, less</w:t>
      </w:r>
      <w:r w:rsidR="003731CC">
        <w:t>-</w:t>
      </w:r>
      <w:r>
        <w:t>flammable vegetation and then go out. Fire suppression is generally not practiced, and these studies maintain that this pattern existed in southern California before and even for a while after European settlement (see Minnich 1983; Minnich 2001; Minnich 2006; Minnich and Chou 1997; Minnich et al. 2000). Other studies conducted in California have shown that large fires (1</w:t>
      </w:r>
      <w:r w:rsidR="003731CC">
        <w:t>,</w:t>
      </w:r>
      <w:r>
        <w:t xml:space="preserve">000s of ha) driven by Santa Ana or “sundowner” winds occurred throughout the 20th century, even before the era of effective fire suppression. These authors suggest that very large fall fires have always been characteristic of southern California chaparral. Both contingents base their analysis on relatively recent records </w:t>
      </w:r>
      <w:r w:rsidR="003731CC">
        <w:t>--</w:t>
      </w:r>
      <w:r>
        <w:t xml:space="preserve"> since the 1920s in general, a time when most fire starts were probably anthropogenic in both areas. They disagree on the extent to which large wind events occur in Baja California compared to Alta California. We can probably never resolve this debate.</w:t>
      </w:r>
    </w:p>
    <w:p w:rsidR="006223F8" w:rsidP="006223F8" w:rsidRDefault="006223F8" w14:paraId="59719C3F" w14:textId="77777777">
      <w:pPr>
        <w:pStyle w:val="InfoPara"/>
      </w:pPr>
      <w:r>
        <w:t>Adjacency or Identification Concerns</w:t>
      </w:r>
    </w:p>
    <w:p w:rsidR="006223F8" w:rsidP="006223F8" w:rsidRDefault="006223F8" w14:paraId="7683FBD1" w14:textId="5DBE20EE">
      <w:r>
        <w:t>Below ponderosa and sugar pine forests on the western slopes of the Sierra Nevada and more southern mountains; adjacent to mixed evergreen forests or woodlands in the coast ranges. Protected stands of mesic chaparral that have not burned in many years may contain individuals that reach tree-like stature, making identification more difficult from remotely</w:t>
      </w:r>
      <w:r w:rsidR="003731CC">
        <w:t xml:space="preserve"> s</w:t>
      </w:r>
      <w:r>
        <w:t>ensed data.</w:t>
      </w:r>
    </w:p>
    <w:p w:rsidR="006223F8" w:rsidP="006223F8" w:rsidRDefault="006223F8" w14:paraId="40608673" w14:textId="77777777">
      <w:pPr>
        <w:pStyle w:val="InfoPara"/>
      </w:pPr>
      <w:r>
        <w:t>Issues or Problems</w:t>
      </w:r>
    </w:p>
    <w:p w:rsidR="006223F8" w:rsidP="006223F8" w:rsidRDefault="006223F8" w14:paraId="5212B77A" w14:textId="620236BB">
      <w:r>
        <w:t xml:space="preserve">With increasing fire frequency from human ignitions, mesic chaparral can be degraded. Widespread nonnative grasses (e.g., </w:t>
      </w:r>
      <w:r w:rsidRPr="00810DB1">
        <w:rPr>
          <w:i/>
        </w:rPr>
        <w:t>Bromus</w:t>
      </w:r>
      <w:r>
        <w:t xml:space="preserve"> spp., </w:t>
      </w:r>
      <w:r w:rsidRPr="00810DB1">
        <w:rPr>
          <w:i/>
        </w:rPr>
        <w:t>Avena</w:t>
      </w:r>
      <w:r>
        <w:t xml:space="preserve"> spp.) may invade recently</w:t>
      </w:r>
      <w:r w:rsidR="003731CC">
        <w:t xml:space="preserve"> </w:t>
      </w:r>
      <w:r>
        <w:t>burned chaparral stands and increase the probability of an early reburn, before obligate-seeders have begun to set seed and before sprouting species have accumulated much stored reserves. An open stand or even type-conversion may result from repeated anthropogenic fires.</w:t>
      </w:r>
    </w:p>
    <w:p w:rsidR="006223F8" w:rsidP="006223F8" w:rsidRDefault="006223F8" w14:paraId="3315AB06" w14:textId="77777777">
      <w:pPr>
        <w:pStyle w:val="InfoPara"/>
      </w:pPr>
      <w:r>
        <w:t>Native Uncharacteristic Conditions</w:t>
      </w:r>
    </w:p>
    <w:p w:rsidR="006223F8" w:rsidP="006223F8" w:rsidRDefault="006223F8" w14:paraId="614EC7A4" w14:textId="77777777"/>
    <w:p w:rsidR="006223F8" w:rsidP="006223F8" w:rsidRDefault="006223F8" w14:paraId="264DBCD7" w14:textId="77777777">
      <w:pPr>
        <w:pStyle w:val="InfoPara"/>
      </w:pPr>
      <w:r>
        <w:lastRenderedPageBreak/>
        <w:t>Comments</w:t>
      </w:r>
    </w:p>
    <w:p w:rsidR="00C7289A" w:rsidP="006223F8" w:rsidRDefault="00C7289A" w14:paraId="725CA6F1" w14:textId="0940C00E">
      <w:r w:rsidRPr="00DF2600">
        <w:t>M</w:t>
      </w:r>
      <w:r w:rsidR="003731CC">
        <w:t>ap zones (M</w:t>
      </w:r>
      <w:r w:rsidRPr="00DF2600">
        <w:t>Zs</w:t>
      </w:r>
      <w:r w:rsidR="003731CC">
        <w:t>)</w:t>
      </w:r>
      <w:r w:rsidRPr="00DF2600">
        <w:t xml:space="preserve"> </w:t>
      </w:r>
      <w:r w:rsidR="003731CC">
        <w:t>0</w:t>
      </w:r>
      <w:r>
        <w:t xml:space="preserve">4 and </w:t>
      </w:r>
      <w:r w:rsidR="003731CC">
        <w:t>0</w:t>
      </w:r>
      <w:r>
        <w:t>5</w:t>
      </w:r>
      <w:r w:rsidRPr="00DF2600">
        <w:t xml:space="preserve"> were combined during 2015 BpS Review.</w:t>
      </w:r>
    </w:p>
    <w:p w:rsidR="00C7289A" w:rsidP="006223F8" w:rsidRDefault="00C7289A" w14:paraId="4F8D9473" w14:textId="77777777"/>
    <w:p w:rsidR="006223F8" w:rsidP="006223F8" w:rsidRDefault="00C7289A" w14:paraId="0F524AEA" w14:textId="3079B64A">
      <w:r>
        <w:t xml:space="preserve">This model in other zones </w:t>
      </w:r>
      <w:r w:rsidR="006223F8">
        <w:t xml:space="preserve">uses a 50yr </w:t>
      </w:r>
      <w:r w:rsidR="00810DB1">
        <w:t xml:space="preserve">return interval. </w:t>
      </w:r>
      <w:r w:rsidR="006223F8">
        <w:t>This is the mid-point between 40-</w:t>
      </w:r>
      <w:r w:rsidR="00CB66F3">
        <w:t>60yrs</w:t>
      </w:r>
      <w:r w:rsidR="006223F8">
        <w:t xml:space="preserve"> given by Byrne et al. (1977). This represents the average interval between large fires that appeared in the sediment cores. The interval may have been somewhat shorter if smaller fires (i.e., those that did not show up in the cores) had been included. For MZs</w:t>
      </w:r>
      <w:r w:rsidR="003731CC">
        <w:t xml:space="preserve"> </w:t>
      </w:r>
      <w:r w:rsidR="006223F8">
        <w:t>04 and 05</w:t>
      </w:r>
      <w:r w:rsidR="003731CC">
        <w:t>,</w:t>
      </w:r>
      <w:r w:rsidR="006223F8">
        <w:t xml:space="preserve"> this interval was actually lengthened to </w:t>
      </w:r>
      <w:r w:rsidR="003731CC">
        <w:t>~</w:t>
      </w:r>
      <w:r w:rsidR="006223F8">
        <w:t xml:space="preserve">80yrs to </w:t>
      </w:r>
      <w:r w:rsidR="00722910">
        <w:t>reflect</w:t>
      </w:r>
      <w:r w:rsidR="006223F8">
        <w:t xml:space="preserve"> the relative differences in </w:t>
      </w:r>
      <w:r w:rsidR="003731CC">
        <w:t>FRIs</w:t>
      </w:r>
      <w:r w:rsidR="006223F8">
        <w:t xml:space="preserve"> between the xeric (BpS 1110 and 1105) and the mesic (BpS 1097) models.</w:t>
      </w:r>
    </w:p>
    <w:p w:rsidR="006223F8" w:rsidP="006223F8" w:rsidRDefault="006223F8" w14:paraId="6310BF6F" w14:textId="77777777"/>
    <w:p w:rsidR="006223F8" w:rsidP="006223F8" w:rsidRDefault="00C7289A" w14:paraId="148CE9A8" w14:textId="4852F1B9">
      <w:r>
        <w:t xml:space="preserve">Reviewer comments </w:t>
      </w:r>
      <w:r w:rsidR="006223F8">
        <w:t xml:space="preserve">suggested that a longer </w:t>
      </w:r>
      <w:r w:rsidR="003731CC">
        <w:t>FRI</w:t>
      </w:r>
      <w:r w:rsidR="006223F8">
        <w:t xml:space="preserve"> is more appropriate for mesic chaparral. Alexandra Syphard (asyphard@yahoo.com) also helped author this model for MZs</w:t>
      </w:r>
      <w:r w:rsidR="003731CC">
        <w:t xml:space="preserve"> </w:t>
      </w:r>
      <w:r w:rsidR="006223F8">
        <w:t>04 and 05. Zach Principe (zprincipe@tnc.org), Hugh Safford (hughsafford@fs.fed.us)</w:t>
      </w:r>
      <w:r w:rsidR="003731CC">
        <w:t>,</w:t>
      </w:r>
      <w:r w:rsidR="006223F8">
        <w:t xml:space="preserve"> and Dave Schmidt also reviewed this model for MZs</w:t>
      </w:r>
      <w:r w:rsidR="003731CC">
        <w:t xml:space="preserve"> </w:t>
      </w:r>
      <w:r w:rsidR="006223F8">
        <w:t>04 and 05.</w:t>
      </w:r>
    </w:p>
    <w:p w:rsidR="00823481" w:rsidP="006223F8" w:rsidRDefault="00823481" w14:paraId="1E87412D" w14:textId="77777777"/>
    <w:p w:rsidR="006223F8" w:rsidP="006223F8" w:rsidRDefault="006223F8" w14:paraId="7CEC8DD2" w14:textId="77777777">
      <w:pPr>
        <w:pStyle w:val="ReportSection"/>
      </w:pPr>
      <w:r>
        <w:t>Succession Classes</w:t>
      </w:r>
    </w:p>
    <w:p w:rsidR="006223F8" w:rsidP="006223F8" w:rsidRDefault="006223F8" w14:paraId="1A09AF8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223F8" w:rsidP="006223F8" w:rsidRDefault="006223F8" w14:paraId="00A043E3" w14:textId="77777777">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6223F8" w:rsidP="006223F8" w:rsidRDefault="59C4EBE3" w14:paraId="366867AF" w14:textId="77777777">
      <w:r>
        <w:t>Upper Layer Lifeform: Shrub</w:t>
      </w:r>
    </w:p>
    <w:p w:rsidR="59C4EBE3" w:rsidP="59C4EBE3" w:rsidRDefault="59C4EBE3" w14:paraId="2AB3DF91" w14:textId="37254FA7"/>
    <w:p w:rsidR="006223F8" w:rsidP="006223F8" w:rsidRDefault="006223F8" w14:paraId="7F6B561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1908"/>
        <w:gridCol w:w="2220"/>
        <w:gridCol w:w="1956"/>
      </w:tblGrid>
      <w:tr w:rsidRPr="006223F8" w:rsidR="006223F8" w:rsidTr="006223F8" w14:paraId="676CE43B" w14:textId="77777777">
        <w:tc>
          <w:tcPr>
            <w:tcW w:w="1236" w:type="dxa"/>
            <w:tcBorders>
              <w:top w:val="single" w:color="auto" w:sz="2" w:space="0"/>
              <w:bottom w:val="single" w:color="000000" w:sz="12" w:space="0"/>
            </w:tcBorders>
            <w:shd w:val="clear" w:color="auto" w:fill="auto"/>
          </w:tcPr>
          <w:p w:rsidRPr="006223F8" w:rsidR="006223F8" w:rsidP="00E51057" w:rsidRDefault="006223F8" w14:paraId="53D27A75" w14:textId="77777777">
            <w:pPr>
              <w:rPr>
                <w:b/>
                <w:bCs/>
              </w:rPr>
            </w:pPr>
            <w:r w:rsidRPr="006223F8">
              <w:rPr>
                <w:b/>
                <w:bCs/>
              </w:rPr>
              <w:t>Symbol</w:t>
            </w:r>
          </w:p>
        </w:tc>
        <w:tc>
          <w:tcPr>
            <w:tcW w:w="1908" w:type="dxa"/>
            <w:tcBorders>
              <w:top w:val="single" w:color="auto" w:sz="2" w:space="0"/>
              <w:bottom w:val="single" w:color="000000" w:sz="12" w:space="0"/>
            </w:tcBorders>
            <w:shd w:val="clear" w:color="auto" w:fill="auto"/>
          </w:tcPr>
          <w:p w:rsidRPr="006223F8" w:rsidR="006223F8" w:rsidP="00E51057" w:rsidRDefault="006223F8" w14:paraId="4CB0CD12" w14:textId="77777777">
            <w:pPr>
              <w:rPr>
                <w:b/>
                <w:bCs/>
              </w:rPr>
            </w:pPr>
            <w:r w:rsidRPr="006223F8">
              <w:rPr>
                <w:b/>
                <w:bCs/>
              </w:rPr>
              <w:t>Scientific Name</w:t>
            </w:r>
          </w:p>
        </w:tc>
        <w:tc>
          <w:tcPr>
            <w:tcW w:w="2220" w:type="dxa"/>
            <w:tcBorders>
              <w:top w:val="single" w:color="auto" w:sz="2" w:space="0"/>
              <w:bottom w:val="single" w:color="000000" w:sz="12" w:space="0"/>
            </w:tcBorders>
            <w:shd w:val="clear" w:color="auto" w:fill="auto"/>
          </w:tcPr>
          <w:p w:rsidRPr="006223F8" w:rsidR="006223F8" w:rsidP="00E51057" w:rsidRDefault="006223F8" w14:paraId="35B7FAF7" w14:textId="77777777">
            <w:pPr>
              <w:rPr>
                <w:b/>
                <w:bCs/>
              </w:rPr>
            </w:pPr>
            <w:r w:rsidRPr="006223F8">
              <w:rPr>
                <w:b/>
                <w:bCs/>
              </w:rPr>
              <w:t>Common Name</w:t>
            </w:r>
          </w:p>
        </w:tc>
        <w:tc>
          <w:tcPr>
            <w:tcW w:w="1956" w:type="dxa"/>
            <w:tcBorders>
              <w:top w:val="single" w:color="auto" w:sz="2" w:space="0"/>
              <w:bottom w:val="single" w:color="000000" w:sz="12" w:space="0"/>
            </w:tcBorders>
            <w:shd w:val="clear" w:color="auto" w:fill="auto"/>
          </w:tcPr>
          <w:p w:rsidRPr="006223F8" w:rsidR="006223F8" w:rsidP="00E51057" w:rsidRDefault="006223F8" w14:paraId="6E239DE2" w14:textId="77777777">
            <w:pPr>
              <w:rPr>
                <w:b/>
                <w:bCs/>
              </w:rPr>
            </w:pPr>
            <w:r w:rsidRPr="006223F8">
              <w:rPr>
                <w:b/>
                <w:bCs/>
              </w:rPr>
              <w:t>Canopy Position</w:t>
            </w:r>
          </w:p>
        </w:tc>
      </w:tr>
      <w:tr w:rsidRPr="006223F8" w:rsidR="006223F8" w:rsidTr="006223F8" w14:paraId="03AEA90E" w14:textId="77777777">
        <w:tc>
          <w:tcPr>
            <w:tcW w:w="1236" w:type="dxa"/>
            <w:tcBorders>
              <w:top w:val="single" w:color="000000" w:sz="12" w:space="0"/>
            </w:tcBorders>
            <w:shd w:val="clear" w:color="auto" w:fill="auto"/>
          </w:tcPr>
          <w:p w:rsidRPr="006223F8" w:rsidR="006223F8" w:rsidP="00E51057" w:rsidRDefault="006223F8" w14:paraId="577C924F" w14:textId="77777777">
            <w:pPr>
              <w:rPr>
                <w:bCs/>
              </w:rPr>
            </w:pPr>
            <w:r w:rsidRPr="006223F8">
              <w:rPr>
                <w:bCs/>
              </w:rPr>
              <w:t>LOSC2</w:t>
            </w:r>
          </w:p>
        </w:tc>
        <w:tc>
          <w:tcPr>
            <w:tcW w:w="1908" w:type="dxa"/>
            <w:tcBorders>
              <w:top w:val="single" w:color="000000" w:sz="12" w:space="0"/>
            </w:tcBorders>
            <w:shd w:val="clear" w:color="auto" w:fill="auto"/>
          </w:tcPr>
          <w:p w:rsidRPr="006223F8" w:rsidR="006223F8" w:rsidP="00E51057" w:rsidRDefault="006223F8" w14:paraId="6105C999" w14:textId="77777777">
            <w:r w:rsidRPr="006223F8">
              <w:t>Lotus scoparius</w:t>
            </w:r>
          </w:p>
        </w:tc>
        <w:tc>
          <w:tcPr>
            <w:tcW w:w="2220" w:type="dxa"/>
            <w:tcBorders>
              <w:top w:val="single" w:color="000000" w:sz="12" w:space="0"/>
            </w:tcBorders>
            <w:shd w:val="clear" w:color="auto" w:fill="auto"/>
          </w:tcPr>
          <w:p w:rsidRPr="006223F8" w:rsidR="006223F8" w:rsidP="00E51057" w:rsidRDefault="006223F8" w14:paraId="3613D7D0" w14:textId="77777777">
            <w:r w:rsidRPr="006223F8">
              <w:t>Common deerweed</w:t>
            </w:r>
          </w:p>
        </w:tc>
        <w:tc>
          <w:tcPr>
            <w:tcW w:w="1956" w:type="dxa"/>
            <w:tcBorders>
              <w:top w:val="single" w:color="000000" w:sz="12" w:space="0"/>
            </w:tcBorders>
            <w:shd w:val="clear" w:color="auto" w:fill="auto"/>
          </w:tcPr>
          <w:p w:rsidRPr="006223F8" w:rsidR="006223F8" w:rsidP="00E51057" w:rsidRDefault="006223F8" w14:paraId="324B0940" w14:textId="77777777">
            <w:r w:rsidRPr="006223F8">
              <w:t>Lower</w:t>
            </w:r>
          </w:p>
        </w:tc>
      </w:tr>
      <w:tr w:rsidRPr="006223F8" w:rsidR="006223F8" w:rsidTr="006223F8" w14:paraId="78F3F293" w14:textId="77777777">
        <w:tc>
          <w:tcPr>
            <w:tcW w:w="1236" w:type="dxa"/>
            <w:shd w:val="clear" w:color="auto" w:fill="auto"/>
          </w:tcPr>
          <w:p w:rsidRPr="006223F8" w:rsidR="006223F8" w:rsidP="00E51057" w:rsidRDefault="006223F8" w14:paraId="5E983887" w14:textId="77777777">
            <w:pPr>
              <w:rPr>
                <w:bCs/>
              </w:rPr>
            </w:pPr>
            <w:r w:rsidRPr="006223F8">
              <w:rPr>
                <w:bCs/>
              </w:rPr>
              <w:t>PHACE</w:t>
            </w:r>
          </w:p>
        </w:tc>
        <w:tc>
          <w:tcPr>
            <w:tcW w:w="1908" w:type="dxa"/>
            <w:shd w:val="clear" w:color="auto" w:fill="auto"/>
          </w:tcPr>
          <w:p w:rsidRPr="006223F8" w:rsidR="006223F8" w:rsidP="00E51057" w:rsidRDefault="006223F8" w14:paraId="10BD86F6" w14:textId="77777777">
            <w:r w:rsidRPr="006223F8">
              <w:t>Phacelia</w:t>
            </w:r>
          </w:p>
        </w:tc>
        <w:tc>
          <w:tcPr>
            <w:tcW w:w="2220" w:type="dxa"/>
            <w:shd w:val="clear" w:color="auto" w:fill="auto"/>
          </w:tcPr>
          <w:p w:rsidRPr="006223F8" w:rsidR="006223F8" w:rsidP="00E51057" w:rsidRDefault="006223F8" w14:paraId="51EF3EC4" w14:textId="77777777">
            <w:r w:rsidRPr="006223F8">
              <w:t>Phacelia</w:t>
            </w:r>
          </w:p>
        </w:tc>
        <w:tc>
          <w:tcPr>
            <w:tcW w:w="1956" w:type="dxa"/>
            <w:shd w:val="clear" w:color="auto" w:fill="auto"/>
          </w:tcPr>
          <w:p w:rsidRPr="006223F8" w:rsidR="006223F8" w:rsidP="00E51057" w:rsidRDefault="006223F8" w14:paraId="6247D645" w14:textId="77777777">
            <w:r w:rsidRPr="006223F8">
              <w:t>Lower</w:t>
            </w:r>
          </w:p>
        </w:tc>
      </w:tr>
      <w:tr w:rsidRPr="006223F8" w:rsidR="006223F8" w:rsidTr="006223F8" w14:paraId="2331A068" w14:textId="77777777">
        <w:tc>
          <w:tcPr>
            <w:tcW w:w="1236" w:type="dxa"/>
            <w:shd w:val="clear" w:color="auto" w:fill="auto"/>
          </w:tcPr>
          <w:p w:rsidRPr="006223F8" w:rsidR="006223F8" w:rsidP="00E51057" w:rsidRDefault="006223F8" w14:paraId="41ADE59E" w14:textId="77777777">
            <w:pPr>
              <w:rPr>
                <w:bCs/>
              </w:rPr>
            </w:pPr>
            <w:r w:rsidRPr="006223F8">
              <w:rPr>
                <w:bCs/>
              </w:rPr>
              <w:t>CRYPT</w:t>
            </w:r>
          </w:p>
        </w:tc>
        <w:tc>
          <w:tcPr>
            <w:tcW w:w="1908" w:type="dxa"/>
            <w:shd w:val="clear" w:color="auto" w:fill="auto"/>
          </w:tcPr>
          <w:p w:rsidRPr="006223F8" w:rsidR="006223F8" w:rsidP="00E51057" w:rsidRDefault="006223F8" w14:paraId="474EADBF" w14:textId="77777777">
            <w:r w:rsidRPr="006223F8">
              <w:t>Cryptantha</w:t>
            </w:r>
          </w:p>
        </w:tc>
        <w:tc>
          <w:tcPr>
            <w:tcW w:w="2220" w:type="dxa"/>
            <w:shd w:val="clear" w:color="auto" w:fill="auto"/>
          </w:tcPr>
          <w:p w:rsidRPr="006223F8" w:rsidR="006223F8" w:rsidP="00E51057" w:rsidRDefault="006223F8" w14:paraId="306C5FF0" w14:textId="77777777">
            <w:r w:rsidRPr="006223F8">
              <w:t>Cryptantha</w:t>
            </w:r>
          </w:p>
        </w:tc>
        <w:tc>
          <w:tcPr>
            <w:tcW w:w="1956" w:type="dxa"/>
            <w:shd w:val="clear" w:color="auto" w:fill="auto"/>
          </w:tcPr>
          <w:p w:rsidRPr="006223F8" w:rsidR="006223F8" w:rsidP="00E51057" w:rsidRDefault="006223F8" w14:paraId="48A95513" w14:textId="77777777">
            <w:r w:rsidRPr="006223F8">
              <w:t>Lower</w:t>
            </w:r>
          </w:p>
        </w:tc>
      </w:tr>
      <w:tr w:rsidRPr="006223F8" w:rsidR="006223F8" w:rsidTr="006223F8" w14:paraId="4F676F17" w14:textId="77777777">
        <w:tc>
          <w:tcPr>
            <w:tcW w:w="1236" w:type="dxa"/>
            <w:shd w:val="clear" w:color="auto" w:fill="auto"/>
          </w:tcPr>
          <w:p w:rsidRPr="006223F8" w:rsidR="006223F8" w:rsidP="00E51057" w:rsidRDefault="006223F8" w14:paraId="41E37BD7" w14:textId="77777777">
            <w:pPr>
              <w:rPr>
                <w:bCs/>
              </w:rPr>
            </w:pPr>
            <w:r w:rsidRPr="006223F8">
              <w:rPr>
                <w:bCs/>
              </w:rPr>
              <w:t>EMMEN</w:t>
            </w:r>
          </w:p>
        </w:tc>
        <w:tc>
          <w:tcPr>
            <w:tcW w:w="1908" w:type="dxa"/>
            <w:shd w:val="clear" w:color="auto" w:fill="auto"/>
          </w:tcPr>
          <w:p w:rsidRPr="006223F8" w:rsidR="006223F8" w:rsidP="00E51057" w:rsidRDefault="006223F8" w14:paraId="4F12BA93" w14:textId="77777777">
            <w:r w:rsidRPr="006223F8">
              <w:t>Emmenanthe</w:t>
            </w:r>
          </w:p>
        </w:tc>
        <w:tc>
          <w:tcPr>
            <w:tcW w:w="2220" w:type="dxa"/>
            <w:shd w:val="clear" w:color="auto" w:fill="auto"/>
          </w:tcPr>
          <w:p w:rsidRPr="006223F8" w:rsidR="006223F8" w:rsidP="00E51057" w:rsidRDefault="006223F8" w14:paraId="1C8C8095" w14:textId="77777777">
            <w:r w:rsidRPr="006223F8">
              <w:t>Whisperingbells</w:t>
            </w:r>
          </w:p>
        </w:tc>
        <w:tc>
          <w:tcPr>
            <w:tcW w:w="1956" w:type="dxa"/>
            <w:shd w:val="clear" w:color="auto" w:fill="auto"/>
          </w:tcPr>
          <w:p w:rsidRPr="006223F8" w:rsidR="006223F8" w:rsidP="00E51057" w:rsidRDefault="006223F8" w14:paraId="552D8C2D" w14:textId="77777777">
            <w:r w:rsidRPr="006223F8">
              <w:t>Lower</w:t>
            </w:r>
          </w:p>
        </w:tc>
      </w:tr>
    </w:tbl>
    <w:p w:rsidR="006223F8" w:rsidP="006223F8" w:rsidRDefault="006223F8" w14:paraId="4E1DAFE7" w14:textId="77777777"/>
    <w:p w:rsidR="006223F8" w:rsidP="006223F8" w:rsidRDefault="006223F8" w14:paraId="63F215FF" w14:textId="77777777">
      <w:pPr>
        <w:pStyle w:val="SClassInfoPara"/>
      </w:pPr>
      <w:r>
        <w:t>Description</w:t>
      </w:r>
    </w:p>
    <w:p w:rsidR="006223F8" w:rsidP="006223F8" w:rsidRDefault="006223F8" w14:paraId="5942B2C0" w14:textId="311032EE">
      <w:r>
        <w:t>Above</w:t>
      </w:r>
      <w:r w:rsidR="003731CC">
        <w:t>-</w:t>
      </w:r>
      <w:r>
        <w:t>listed shrub seedlings and sprouts fill the stand vigorously, in addition to fire annuals, perennial geophyt</w:t>
      </w:r>
      <w:r w:rsidR="00C7289A">
        <w:t>es</w:t>
      </w:r>
      <w:r w:rsidR="003731CC">
        <w:t>,</w:t>
      </w:r>
      <w:r w:rsidR="00C7289A">
        <w:t xml:space="preserve"> and short-lived perennials. </w:t>
      </w:r>
    </w:p>
    <w:p w:rsidR="006223F8" w:rsidP="006223F8" w:rsidRDefault="006223F8" w14:paraId="6ED044CB" w14:textId="77777777"/>
    <w:p w:rsidR="006223F8" w:rsidP="006223F8" w:rsidRDefault="006223F8" w14:paraId="46EBFFCE" w14:textId="77777777">
      <w:r>
        <w:t>Herb species include common deerweed (</w:t>
      </w:r>
      <w:r w:rsidRPr="00810DB1">
        <w:rPr>
          <w:i/>
        </w:rPr>
        <w:t>Lotus scoparius</w:t>
      </w:r>
      <w:r>
        <w:t xml:space="preserve">), </w:t>
      </w:r>
      <w:r w:rsidRPr="00810DB1">
        <w:rPr>
          <w:i/>
        </w:rPr>
        <w:t>Phacelia</w:t>
      </w:r>
      <w:r>
        <w:t xml:space="preserve"> spp., </w:t>
      </w:r>
      <w:r w:rsidRPr="00810DB1">
        <w:rPr>
          <w:i/>
        </w:rPr>
        <w:t>cryptantha</w:t>
      </w:r>
      <w:r>
        <w:t xml:space="preserve"> spp., and </w:t>
      </w:r>
      <w:r w:rsidRPr="00810DB1">
        <w:rPr>
          <w:i/>
        </w:rPr>
        <w:t xml:space="preserve">Emmenanthe </w:t>
      </w:r>
      <w:r>
        <w:t>spp.</w:t>
      </w:r>
    </w:p>
    <w:p w:rsidR="006223F8" w:rsidP="59C4EBE3" w:rsidRDefault="006223F8" w14:paraId="64264C5C" w14:textId="3D860A9B"/>
    <w:p w:rsidR="006223F8" w:rsidP="006223F8" w:rsidRDefault="006223F8" w14:paraId="2C4C3FC9" w14:textId="77777777">
      <w:pPr>
        <w:pStyle w:val="InfoPara"/>
        <w:pBdr>
          <w:top w:val="single" w:color="auto" w:sz="4" w:space="1"/>
        </w:pBdr>
      </w:pPr>
      <w:r xmlns:w="http://schemas.openxmlformats.org/wordprocessingml/2006/main">
        <w:t>Class B</w:t>
      </w:r>
      <w:r xmlns:w="http://schemas.openxmlformats.org/wordprocessingml/2006/main">
        <w:tab/>
        <w:t>90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223F8" w:rsidP="006223F8" w:rsidRDefault="59C4EBE3" w14:paraId="6E5094B6" w14:textId="77777777">
      <w:r>
        <w:t>Upper Layer Lifeform: Tree</w:t>
      </w:r>
    </w:p>
    <w:p w:rsidRPr="003731CC" w:rsidR="006223F8" w:rsidP="00810DB1" w:rsidRDefault="006223F8" w14:paraId="70F11590" w14:textId="59374D7B">
      <w:pPr>
        <w:pStyle w:val="SClassInfoPara"/>
      </w:pPr>
      <w:r w:rsidRPr="00810DB1">
        <w:rPr>
          <w:i w:val="0"/>
          <w:u w:val="none"/>
        </w:rPr>
        <w:t>Upper</w:t>
      </w:r>
      <w:r w:rsidR="003731CC">
        <w:rPr>
          <w:i w:val="0"/>
          <w:u w:val="none"/>
        </w:rPr>
        <w:t>-l</w:t>
      </w:r>
      <w:r w:rsidRPr="00810DB1">
        <w:rPr>
          <w:i w:val="0"/>
          <w:u w:val="none"/>
        </w:rPr>
        <w:t xml:space="preserve">ayer </w:t>
      </w:r>
      <w:r w:rsidR="003731CC">
        <w:rPr>
          <w:i w:val="0"/>
          <w:u w:val="none"/>
        </w:rPr>
        <w:t>l</w:t>
      </w:r>
      <w:r w:rsidRPr="00810DB1">
        <w:rPr>
          <w:i w:val="0"/>
          <w:u w:val="none"/>
        </w:rPr>
        <w:t>ifeform is not the dominant lifeform</w:t>
      </w:r>
      <w:r w:rsidRPr="00810DB1" w:rsidR="003731CC">
        <w:rPr>
          <w:i w:val="0"/>
          <w:u w:val="none"/>
        </w:rPr>
        <w:t xml:space="preserve">. </w:t>
      </w:r>
      <w:r w:rsidRPr="003731CC">
        <w:rPr>
          <w:i w:val="0"/>
          <w:u w:val="none"/>
        </w:rPr>
        <w:t xml:space="preserve">Upper layer can be the emerging trees through the canopy of shrubs. The dominant shrub canopy closure is 70-100%. The sporadic tree canopy </w:t>
      </w:r>
      <w:r w:rsidRPr="003731CC">
        <w:rPr>
          <w:i w:val="0"/>
          <w:u w:val="none"/>
        </w:rPr>
        <w:lastRenderedPageBreak/>
        <w:t xml:space="preserve">can be 0-50% closure, less than </w:t>
      </w:r>
      <w:r w:rsidR="003731CC">
        <w:rPr>
          <w:i w:val="0"/>
          <w:u w:val="none"/>
        </w:rPr>
        <w:t>~</w:t>
      </w:r>
      <w:r w:rsidRPr="003731CC">
        <w:rPr>
          <w:i w:val="0"/>
          <w:u w:val="none"/>
        </w:rPr>
        <w:t>10m. Split these two classes on canopy closure of the shrub layer, rather than the tree layer.</w:t>
      </w:r>
    </w:p>
    <w:p w:rsidR="006223F8" w:rsidP="006223F8" w:rsidRDefault="006223F8" w14:paraId="6BD53584" w14:textId="77777777"/>
    <w:p w:rsidR="006223F8" w:rsidP="006223F8" w:rsidRDefault="006223F8" w14:paraId="6D72E8EF"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3186"/>
        <w:gridCol w:w="3186"/>
        <w:gridCol w:w="1956"/>
      </w:tblGrid>
      <w:tr w:rsidRPr="006223F8" w:rsidR="006223F8" w:rsidTr="006223F8" w14:paraId="6933FEBA" w14:textId="77777777">
        <w:tc>
          <w:tcPr>
            <w:tcW w:w="1248" w:type="dxa"/>
            <w:tcBorders>
              <w:top w:val="single" w:color="auto" w:sz="2" w:space="0"/>
              <w:bottom w:val="single" w:color="000000" w:sz="12" w:space="0"/>
            </w:tcBorders>
            <w:shd w:val="clear" w:color="auto" w:fill="auto"/>
          </w:tcPr>
          <w:p w:rsidRPr="006223F8" w:rsidR="006223F8" w:rsidP="00E378AD" w:rsidRDefault="006223F8" w14:paraId="6C5F0CE3" w14:textId="77777777">
            <w:pPr>
              <w:rPr>
                <w:b/>
                <w:bCs/>
              </w:rPr>
            </w:pPr>
            <w:r w:rsidRPr="006223F8">
              <w:rPr>
                <w:b/>
                <w:bCs/>
              </w:rPr>
              <w:t>Symbol</w:t>
            </w:r>
          </w:p>
        </w:tc>
        <w:tc>
          <w:tcPr>
            <w:tcW w:w="3186" w:type="dxa"/>
            <w:tcBorders>
              <w:top w:val="single" w:color="auto" w:sz="2" w:space="0"/>
              <w:bottom w:val="single" w:color="000000" w:sz="12" w:space="0"/>
            </w:tcBorders>
            <w:shd w:val="clear" w:color="auto" w:fill="auto"/>
          </w:tcPr>
          <w:p w:rsidRPr="006223F8" w:rsidR="006223F8" w:rsidP="00E378AD" w:rsidRDefault="006223F8" w14:paraId="157E483E" w14:textId="77777777">
            <w:pPr>
              <w:rPr>
                <w:b/>
                <w:bCs/>
              </w:rPr>
            </w:pPr>
            <w:r w:rsidRPr="006223F8">
              <w:rPr>
                <w:b/>
                <w:bCs/>
              </w:rPr>
              <w:t>Scientific Name</w:t>
            </w:r>
          </w:p>
        </w:tc>
        <w:tc>
          <w:tcPr>
            <w:tcW w:w="3186" w:type="dxa"/>
            <w:tcBorders>
              <w:top w:val="single" w:color="auto" w:sz="2" w:space="0"/>
              <w:bottom w:val="single" w:color="000000" w:sz="12" w:space="0"/>
            </w:tcBorders>
            <w:shd w:val="clear" w:color="auto" w:fill="auto"/>
          </w:tcPr>
          <w:p w:rsidRPr="006223F8" w:rsidR="006223F8" w:rsidP="00E378AD" w:rsidRDefault="006223F8" w14:paraId="28A63C08" w14:textId="77777777">
            <w:pPr>
              <w:rPr>
                <w:b/>
                <w:bCs/>
              </w:rPr>
            </w:pPr>
            <w:r w:rsidRPr="006223F8">
              <w:rPr>
                <w:b/>
                <w:bCs/>
              </w:rPr>
              <w:t>Common Name</w:t>
            </w:r>
          </w:p>
        </w:tc>
        <w:tc>
          <w:tcPr>
            <w:tcW w:w="1956" w:type="dxa"/>
            <w:tcBorders>
              <w:top w:val="single" w:color="auto" w:sz="2" w:space="0"/>
              <w:bottom w:val="single" w:color="000000" w:sz="12" w:space="0"/>
            </w:tcBorders>
            <w:shd w:val="clear" w:color="auto" w:fill="auto"/>
          </w:tcPr>
          <w:p w:rsidRPr="006223F8" w:rsidR="006223F8" w:rsidP="00E378AD" w:rsidRDefault="006223F8" w14:paraId="0C59B9A7" w14:textId="77777777">
            <w:pPr>
              <w:rPr>
                <w:b/>
                <w:bCs/>
              </w:rPr>
            </w:pPr>
            <w:r w:rsidRPr="006223F8">
              <w:rPr>
                <w:b/>
                <w:bCs/>
              </w:rPr>
              <w:t>Canopy Position</w:t>
            </w:r>
          </w:p>
        </w:tc>
      </w:tr>
      <w:tr w:rsidRPr="006223F8" w:rsidR="006223F8" w:rsidTr="006223F8" w14:paraId="294BE2E0" w14:textId="77777777">
        <w:tc>
          <w:tcPr>
            <w:tcW w:w="1248" w:type="dxa"/>
            <w:tcBorders>
              <w:top w:val="single" w:color="000000" w:sz="12" w:space="0"/>
            </w:tcBorders>
            <w:shd w:val="clear" w:color="auto" w:fill="auto"/>
          </w:tcPr>
          <w:p w:rsidRPr="006223F8" w:rsidR="006223F8" w:rsidP="00E378AD" w:rsidRDefault="006223F8" w14:paraId="0AC01538" w14:textId="77777777">
            <w:pPr>
              <w:rPr>
                <w:bCs/>
              </w:rPr>
            </w:pPr>
            <w:r w:rsidRPr="006223F8">
              <w:rPr>
                <w:bCs/>
              </w:rPr>
              <w:t>ADFA</w:t>
            </w:r>
          </w:p>
        </w:tc>
        <w:tc>
          <w:tcPr>
            <w:tcW w:w="3186" w:type="dxa"/>
            <w:tcBorders>
              <w:top w:val="single" w:color="000000" w:sz="12" w:space="0"/>
            </w:tcBorders>
            <w:shd w:val="clear" w:color="auto" w:fill="auto"/>
          </w:tcPr>
          <w:p w:rsidRPr="006223F8" w:rsidR="006223F8" w:rsidP="00E378AD" w:rsidRDefault="006223F8" w14:paraId="05FAAB30" w14:textId="77777777">
            <w:r w:rsidRPr="006223F8">
              <w:t>Adenostoma fasciculatum</w:t>
            </w:r>
          </w:p>
        </w:tc>
        <w:tc>
          <w:tcPr>
            <w:tcW w:w="3186" w:type="dxa"/>
            <w:tcBorders>
              <w:top w:val="single" w:color="000000" w:sz="12" w:space="0"/>
            </w:tcBorders>
            <w:shd w:val="clear" w:color="auto" w:fill="auto"/>
          </w:tcPr>
          <w:p w:rsidRPr="006223F8" w:rsidR="006223F8" w:rsidP="00E378AD" w:rsidRDefault="006223F8" w14:paraId="7C85F97F" w14:textId="77777777">
            <w:r w:rsidRPr="006223F8">
              <w:t>Chamise</w:t>
            </w:r>
          </w:p>
        </w:tc>
        <w:tc>
          <w:tcPr>
            <w:tcW w:w="1956" w:type="dxa"/>
            <w:tcBorders>
              <w:top w:val="single" w:color="000000" w:sz="12" w:space="0"/>
            </w:tcBorders>
            <w:shd w:val="clear" w:color="auto" w:fill="auto"/>
          </w:tcPr>
          <w:p w:rsidRPr="006223F8" w:rsidR="006223F8" w:rsidP="00E378AD" w:rsidRDefault="006223F8" w14:paraId="3AC16BA8" w14:textId="77777777">
            <w:r w:rsidRPr="006223F8">
              <w:t>Middle</w:t>
            </w:r>
          </w:p>
        </w:tc>
      </w:tr>
      <w:tr w:rsidRPr="006223F8" w:rsidR="006223F8" w:rsidTr="006223F8" w14:paraId="62071432" w14:textId="77777777">
        <w:tc>
          <w:tcPr>
            <w:tcW w:w="1248" w:type="dxa"/>
            <w:shd w:val="clear" w:color="auto" w:fill="auto"/>
          </w:tcPr>
          <w:p w:rsidRPr="006223F8" w:rsidR="006223F8" w:rsidP="00E378AD" w:rsidRDefault="006223F8" w14:paraId="5F4B72DB" w14:textId="77777777">
            <w:pPr>
              <w:rPr>
                <w:bCs/>
              </w:rPr>
            </w:pPr>
            <w:r w:rsidRPr="006223F8">
              <w:rPr>
                <w:bCs/>
              </w:rPr>
              <w:t>QUBE5</w:t>
            </w:r>
          </w:p>
        </w:tc>
        <w:tc>
          <w:tcPr>
            <w:tcW w:w="3186" w:type="dxa"/>
            <w:shd w:val="clear" w:color="auto" w:fill="auto"/>
          </w:tcPr>
          <w:p w:rsidRPr="006223F8" w:rsidR="006223F8" w:rsidP="00E378AD" w:rsidRDefault="006223F8" w14:paraId="6C822056" w14:textId="77777777">
            <w:r w:rsidRPr="006223F8">
              <w:t>Quercus berberidifolia</w:t>
            </w:r>
          </w:p>
        </w:tc>
        <w:tc>
          <w:tcPr>
            <w:tcW w:w="3186" w:type="dxa"/>
            <w:shd w:val="clear" w:color="auto" w:fill="auto"/>
          </w:tcPr>
          <w:p w:rsidRPr="006223F8" w:rsidR="006223F8" w:rsidP="00E378AD" w:rsidRDefault="006223F8" w14:paraId="571F68D8" w14:textId="77777777">
            <w:r w:rsidRPr="006223F8">
              <w:t>Scrub oak</w:t>
            </w:r>
          </w:p>
        </w:tc>
        <w:tc>
          <w:tcPr>
            <w:tcW w:w="1956" w:type="dxa"/>
            <w:shd w:val="clear" w:color="auto" w:fill="auto"/>
          </w:tcPr>
          <w:p w:rsidRPr="006223F8" w:rsidR="006223F8" w:rsidP="00E378AD" w:rsidRDefault="006223F8" w14:paraId="6B060BFF" w14:textId="77777777">
            <w:r w:rsidRPr="006223F8">
              <w:t>Mid-Upper</w:t>
            </w:r>
          </w:p>
        </w:tc>
      </w:tr>
      <w:tr w:rsidRPr="006223F8" w:rsidR="006223F8" w:rsidTr="006223F8" w14:paraId="1D59580F" w14:textId="77777777">
        <w:tc>
          <w:tcPr>
            <w:tcW w:w="1248" w:type="dxa"/>
            <w:shd w:val="clear" w:color="auto" w:fill="auto"/>
          </w:tcPr>
          <w:p w:rsidRPr="006223F8" w:rsidR="006223F8" w:rsidP="00E378AD" w:rsidRDefault="006223F8" w14:paraId="449EA4D8" w14:textId="77777777">
            <w:pPr>
              <w:rPr>
                <w:bCs/>
              </w:rPr>
            </w:pPr>
            <w:r w:rsidRPr="006223F8">
              <w:rPr>
                <w:bCs/>
              </w:rPr>
              <w:t>CELE2</w:t>
            </w:r>
          </w:p>
        </w:tc>
        <w:tc>
          <w:tcPr>
            <w:tcW w:w="3186" w:type="dxa"/>
            <w:shd w:val="clear" w:color="auto" w:fill="auto"/>
          </w:tcPr>
          <w:p w:rsidRPr="006223F8" w:rsidR="006223F8" w:rsidP="00E378AD" w:rsidRDefault="006223F8" w14:paraId="1526D4C7" w14:textId="77777777">
            <w:r w:rsidRPr="006223F8">
              <w:t>Ceanothus leucodermis</w:t>
            </w:r>
          </w:p>
        </w:tc>
        <w:tc>
          <w:tcPr>
            <w:tcW w:w="3186" w:type="dxa"/>
            <w:shd w:val="clear" w:color="auto" w:fill="auto"/>
          </w:tcPr>
          <w:p w:rsidRPr="006223F8" w:rsidR="006223F8" w:rsidP="00E378AD" w:rsidRDefault="006223F8" w14:paraId="0DBD95C3" w14:textId="77777777">
            <w:r w:rsidRPr="006223F8">
              <w:t>Chaparral whitethorn</w:t>
            </w:r>
          </w:p>
        </w:tc>
        <w:tc>
          <w:tcPr>
            <w:tcW w:w="1956" w:type="dxa"/>
            <w:shd w:val="clear" w:color="auto" w:fill="auto"/>
          </w:tcPr>
          <w:p w:rsidRPr="006223F8" w:rsidR="006223F8" w:rsidP="00E378AD" w:rsidRDefault="006223F8" w14:paraId="3D27078C" w14:textId="77777777">
            <w:r w:rsidRPr="006223F8">
              <w:t>Middle</w:t>
            </w:r>
          </w:p>
        </w:tc>
      </w:tr>
      <w:tr w:rsidRPr="006223F8" w:rsidR="006223F8" w:rsidTr="006223F8" w14:paraId="514C5943" w14:textId="77777777">
        <w:tc>
          <w:tcPr>
            <w:tcW w:w="1248" w:type="dxa"/>
            <w:shd w:val="clear" w:color="auto" w:fill="auto"/>
          </w:tcPr>
          <w:p w:rsidRPr="006223F8" w:rsidR="006223F8" w:rsidP="00E378AD" w:rsidRDefault="006223F8" w14:paraId="0793F4E5" w14:textId="77777777">
            <w:pPr>
              <w:rPr>
                <w:bCs/>
              </w:rPr>
            </w:pPr>
            <w:r w:rsidRPr="006223F8">
              <w:rPr>
                <w:bCs/>
              </w:rPr>
              <w:t>CEMOG</w:t>
            </w:r>
          </w:p>
        </w:tc>
        <w:tc>
          <w:tcPr>
            <w:tcW w:w="3186" w:type="dxa"/>
            <w:shd w:val="clear" w:color="auto" w:fill="auto"/>
          </w:tcPr>
          <w:p w:rsidRPr="006223F8" w:rsidR="006223F8" w:rsidP="00E378AD" w:rsidRDefault="006223F8" w14:paraId="5226A692" w14:textId="77777777">
            <w:r w:rsidRPr="006223F8">
              <w:t>Cercocarpus montanus var. glaber</w:t>
            </w:r>
          </w:p>
        </w:tc>
        <w:tc>
          <w:tcPr>
            <w:tcW w:w="3186" w:type="dxa"/>
            <w:shd w:val="clear" w:color="auto" w:fill="auto"/>
          </w:tcPr>
          <w:p w:rsidRPr="006223F8" w:rsidR="006223F8" w:rsidP="00E378AD" w:rsidRDefault="006223F8" w14:paraId="2FD0FD6A" w14:textId="77777777">
            <w:r w:rsidRPr="006223F8">
              <w:t>Birchleaf mountain mahogany</w:t>
            </w:r>
          </w:p>
        </w:tc>
        <w:tc>
          <w:tcPr>
            <w:tcW w:w="1956" w:type="dxa"/>
            <w:shd w:val="clear" w:color="auto" w:fill="auto"/>
          </w:tcPr>
          <w:p w:rsidRPr="006223F8" w:rsidR="006223F8" w:rsidP="00E378AD" w:rsidRDefault="006223F8" w14:paraId="7F96A532" w14:textId="77777777">
            <w:r w:rsidRPr="006223F8">
              <w:t>Lower</w:t>
            </w:r>
          </w:p>
        </w:tc>
      </w:tr>
    </w:tbl>
    <w:p w:rsidR="006223F8" w:rsidP="006223F8" w:rsidRDefault="006223F8" w14:paraId="790940F8" w14:textId="77777777"/>
    <w:p w:rsidR="006223F8" w:rsidP="006223F8" w:rsidRDefault="006223F8" w14:paraId="730E5DEE" w14:textId="77777777">
      <w:pPr>
        <w:pStyle w:val="SClassInfoPara"/>
      </w:pPr>
      <w:r>
        <w:t>Description</w:t>
      </w:r>
    </w:p>
    <w:p w:rsidR="006223F8" w:rsidP="006223F8" w:rsidRDefault="006223F8" w14:paraId="09366CA0" w14:textId="39A44C8A">
      <w:r>
        <w:t xml:space="preserve">Resprouting shrubs, shrubs growing from seedlings. Herbs only in openings. Greater than </w:t>
      </w:r>
      <w:r w:rsidR="003731CC">
        <w:t>8yrs</w:t>
      </w:r>
      <w:r>
        <w:t xml:space="preserve"> of age. Species include chamise (</w:t>
      </w:r>
      <w:r w:rsidRPr="00810DB1">
        <w:rPr>
          <w:i/>
        </w:rPr>
        <w:t>Adenostoma fasciculatum</w:t>
      </w:r>
      <w:r>
        <w:t xml:space="preserve">), </w:t>
      </w:r>
      <w:r w:rsidRPr="00810DB1">
        <w:rPr>
          <w:i/>
        </w:rPr>
        <w:t>Quercus berberidifolia</w:t>
      </w:r>
      <w:r>
        <w:t xml:space="preserve">, </w:t>
      </w:r>
      <w:r w:rsidRPr="00810DB1">
        <w:rPr>
          <w:i/>
        </w:rPr>
        <w:t>Cercocarpus montanus</w:t>
      </w:r>
      <w:r>
        <w:t xml:space="preserve"> var. </w:t>
      </w:r>
      <w:r w:rsidRPr="00810DB1">
        <w:rPr>
          <w:i/>
        </w:rPr>
        <w:t>glaber</w:t>
      </w:r>
      <w:r>
        <w:t xml:space="preserve">, and </w:t>
      </w:r>
      <w:r w:rsidRPr="00810DB1">
        <w:rPr>
          <w:i/>
        </w:rPr>
        <w:t>Ceanothus leucodermis</w:t>
      </w:r>
      <w:r>
        <w:t xml:space="preserve">. </w:t>
      </w:r>
    </w:p>
    <w:p w:rsidR="006223F8" w:rsidP="59C4EBE3" w:rsidRDefault="006223F8" w14:paraId="13F944C1" w14:textId="3611C5CD"/>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8</w:t>
            </w:r>
          </w:p>
        </w:tc>
      </w:tr>
      <w:tr>
        <w:tc>
          <w:p>
            <w:pPr>
              <w:jc w:val="center"/>
            </w:pPr>
            <w:r>
              <w:rPr>
                <w:sz w:val="20"/>
              </w:rPr>
              <w:t>Late1:CLS</w:t>
            </w:r>
          </w:p>
        </w:tc>
        <w:tc>
          <w:p>
            <w:pPr>
              <w:jc w:val="center"/>
            </w:pPr>
            <w:r>
              <w:rPr>
                <w:sz w:val="20"/>
              </w:rPr>
              <w:t>9</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0.0066</w:t>
            </w:r>
          </w:p>
        </w:tc>
        <w:tc>
          <w:p>
            <w:pPr>
              <w:jc w:val="center"/>
            </w:pPr>
            <w:r>
              <w:rPr>
                <w:sz w:val="20"/>
              </w:rPr>
              <w:t>152</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223F8" w:rsidP="006223F8" w:rsidRDefault="006223F8" w14:paraId="1A56278E" w14:textId="4149AF0C">
      <w:r>
        <w:t xml:space="preserve">Byrne, R.I., J. Michaelsen and A. Soutar. 1977. Fossil charcoal as a measure of wildfire frequency in southern California: a preliminary analysis. In: H.A. Mooney and C.E. Conrad, eds. Proceedings of the symposium on environmental consequences of fire and fuel management in Mediterranean ecosystems. </w:t>
      </w:r>
      <w:r w:rsidR="00CB66F3">
        <w:t>Gen. Tech. Rep.</w:t>
      </w:r>
      <w:r>
        <w:t xml:space="preserve"> WO-3. USDA Forest Service: 361-</w:t>
      </w:r>
      <w:r w:rsidR="00CB66F3">
        <w:t>367</w:t>
      </w:r>
      <w:r>
        <w:t>.</w:t>
      </w:r>
    </w:p>
    <w:p w:rsidR="006223F8" w:rsidP="006223F8" w:rsidRDefault="006223F8" w14:paraId="7638283B" w14:textId="77777777"/>
    <w:p w:rsidR="006223F8" w:rsidP="006223F8" w:rsidRDefault="006223F8" w14:paraId="636C61BB" w14:textId="42CD2977">
      <w:r>
        <w:t>Keeley J.E. 2002. Native American impacts on fire regimes of the California coastal ranges. Journal of Biogeography 29: 303-320.</w:t>
      </w:r>
    </w:p>
    <w:p w:rsidR="006223F8" w:rsidP="006223F8" w:rsidRDefault="006223F8" w14:paraId="4FEE3E57" w14:textId="77777777"/>
    <w:p w:rsidR="006223F8" w:rsidP="006223F8" w:rsidRDefault="006223F8" w14:paraId="01DA6FAB" w14:textId="53D2DAD9">
      <w:r>
        <w:t>Keeley, J.E. Fire in the South Coast region. 2005. In J. Fites-Kaufman, N. Sugihara and J. van Wangtendonk, eds. Fire Ecology of California Ecosystems. University of California Press. In press.</w:t>
      </w:r>
    </w:p>
    <w:p w:rsidR="006223F8" w:rsidP="006223F8" w:rsidRDefault="006223F8" w14:paraId="33FAA15A" w14:textId="77777777"/>
    <w:p w:rsidR="006223F8" w:rsidP="006223F8" w:rsidRDefault="006223F8" w14:paraId="310CD64F" w14:textId="77777777">
      <w:r>
        <w:t xml:space="preserve">Keeley, J.E., C.J. Fotheringham and M. Morais. 1999. Reexamining fire suppression impacts on brushland fire regimes. Science 284: 1829-1832. </w:t>
      </w:r>
    </w:p>
    <w:p w:rsidR="006223F8" w:rsidP="006223F8" w:rsidRDefault="006223F8" w14:paraId="548672A9" w14:textId="77777777"/>
    <w:p w:rsidR="006223F8" w:rsidP="006223F8" w:rsidRDefault="006223F8" w14:paraId="44E98EB1" w14:textId="77777777">
      <w:r>
        <w:t>Keeley, J.E. and C.J. Fotheringham. 2001. The historical role of fire in California shrublands. Conservation Biology 15: 1536-1548.</w:t>
      </w:r>
    </w:p>
    <w:p w:rsidR="006223F8" w:rsidP="006223F8" w:rsidRDefault="006223F8" w14:paraId="4F13F936" w14:textId="77777777"/>
    <w:p w:rsidR="006223F8" w:rsidP="006223F8" w:rsidRDefault="006223F8" w14:paraId="4C4C6F72" w14:textId="77777777">
      <w:r>
        <w:t>Keeley, J.E. and C.J. Fotheringham. 2001. History and management of crown-fire ecosystems: A summary and response. Conservation Biology 15: 1561-1567.</w:t>
      </w:r>
    </w:p>
    <w:p w:rsidR="006223F8" w:rsidP="006223F8" w:rsidRDefault="006223F8" w14:paraId="2B5C58A9" w14:textId="77777777"/>
    <w:p w:rsidR="006223F8" w:rsidP="006223F8" w:rsidRDefault="006223F8" w14:paraId="10C2029F" w14:textId="21697235">
      <w:r>
        <w:t xml:space="preserve">Keeley, J.E. and C.J. Fotheringham. 2003. Impact of past, present, and future fire regimes on North American Mediterranean shrublands, pp. 218-262. In Veblen, T.T., W.L. Baker, G. Montenegro and T.W. Swetnam, eds. Fire and Climatic Change in Temperate Ecosystems of the Western Americas. NY: Springer/ </w:t>
      </w:r>
    </w:p>
    <w:p w:rsidR="006223F8" w:rsidP="006223F8" w:rsidRDefault="006223F8" w14:paraId="7DEB3C37" w14:textId="77777777"/>
    <w:p w:rsidR="006223F8" w:rsidP="006223F8" w:rsidRDefault="006223F8" w14:paraId="4471FB7F" w14:textId="77777777">
      <w:r>
        <w:t>Mensing, S.A. 1998. 560 years of vegetation change in the region of Santa Barbara, California. Madroño 45(1): 1-11.</w:t>
      </w:r>
    </w:p>
    <w:p w:rsidR="006223F8" w:rsidP="006223F8" w:rsidRDefault="006223F8" w14:paraId="63CA182B" w14:textId="77777777"/>
    <w:p w:rsidR="006223F8" w:rsidP="006223F8" w:rsidRDefault="006223F8" w14:paraId="5B0E0C13" w14:textId="77777777">
      <w:r>
        <w:t>Mensing, S.A., J. Michaelsen et al. 1999. A 560-Year Record of Santa Ana Fires Reconstructed from Charcoal Deposited in the Santa Barbara Basin, California. Quaternary Research 51: 295-305.</w:t>
      </w:r>
    </w:p>
    <w:p w:rsidR="006223F8" w:rsidP="006223F8" w:rsidRDefault="006223F8" w14:paraId="44F228AB" w14:textId="77777777"/>
    <w:p w:rsidR="006223F8" w:rsidP="006223F8" w:rsidRDefault="006223F8" w14:paraId="190EF3F4" w14:textId="77777777">
      <w:r>
        <w:t>Moritz, M.A., J.E. Keeley, E.A. Johnson and A.A. Schaffner. 2004. Testing a basic assumption of shrubland fire management: Does the hazard of burning increase with the age of fuels?  Frontiers in Ecology and the Environment 2: 67-72.</w:t>
      </w:r>
    </w:p>
    <w:p w:rsidR="006223F8" w:rsidP="006223F8" w:rsidRDefault="006223F8" w14:paraId="6DB18438" w14:textId="77777777"/>
    <w:p w:rsidR="006223F8" w:rsidP="006223F8" w:rsidRDefault="006223F8" w14:paraId="4E2A5B78" w14:textId="77777777">
      <w:r>
        <w:t>NatureServe. 2007. International Ecological Classification Standard: Terrestrial Ecological Classifications. NatureServe Central Databases. Arlington, VA. Data current as of 10 February 2007.</w:t>
      </w:r>
    </w:p>
    <w:p w:rsidR="006223F8" w:rsidP="006223F8" w:rsidRDefault="006223F8" w14:paraId="4A03DF7D" w14:textId="77777777"/>
    <w:p w:rsidR="006223F8" w:rsidP="006223F8" w:rsidRDefault="006223F8" w14:paraId="11A19089" w14:textId="77777777">
      <w:r>
        <w:t>Wells P.V. 1962. Vegetation in relation to geological substratum and fire in the San Luis Obispo quadrangle, California. Ecological Monographs 32: 79-103.</w:t>
      </w:r>
    </w:p>
    <w:p w:rsidRPr="00A43E41" w:rsidR="004D5F12" w:rsidP="006223F8" w:rsidRDefault="004D5F12" w14:paraId="7E328E3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2406D" w14:textId="77777777" w:rsidR="00A625A9" w:rsidRDefault="00A625A9">
      <w:r>
        <w:separator/>
      </w:r>
    </w:p>
  </w:endnote>
  <w:endnote w:type="continuationSeparator" w:id="0">
    <w:p w14:paraId="6ECB5014" w14:textId="77777777" w:rsidR="00A625A9" w:rsidRDefault="00A625A9">
      <w:r>
        <w:continuationSeparator/>
      </w:r>
    </w:p>
  </w:endnote>
  <w:endnote w:type="continuationNotice" w:id="1">
    <w:p w14:paraId="139A8D09" w14:textId="77777777" w:rsidR="00A625A9" w:rsidRDefault="00A625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2DCC2" w14:textId="77777777" w:rsidR="006223F8" w:rsidRDefault="006223F8" w:rsidP="006223F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D1AE5" w14:textId="77777777" w:rsidR="00A625A9" w:rsidRDefault="00A625A9">
      <w:r>
        <w:separator/>
      </w:r>
    </w:p>
  </w:footnote>
  <w:footnote w:type="continuationSeparator" w:id="0">
    <w:p w14:paraId="1B27237F" w14:textId="77777777" w:rsidR="00A625A9" w:rsidRDefault="00A625A9">
      <w:r>
        <w:continuationSeparator/>
      </w:r>
    </w:p>
  </w:footnote>
  <w:footnote w:type="continuationNotice" w:id="1">
    <w:p w14:paraId="7FDC18BF" w14:textId="77777777" w:rsidR="00A625A9" w:rsidRDefault="00A625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2EFF8" w14:textId="77777777" w:rsidR="00A43E41" w:rsidRDefault="00A43E41" w:rsidP="006223F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3F8"/>
    <w:rsid w:val="00006AF9"/>
    <w:rsid w:val="0002152F"/>
    <w:rsid w:val="00023101"/>
    <w:rsid w:val="00031661"/>
    <w:rsid w:val="00036067"/>
    <w:rsid w:val="00045A78"/>
    <w:rsid w:val="00060925"/>
    <w:rsid w:val="00062E6C"/>
    <w:rsid w:val="000D2569"/>
    <w:rsid w:val="000F0FE2"/>
    <w:rsid w:val="001368CB"/>
    <w:rsid w:val="00140332"/>
    <w:rsid w:val="00190A7C"/>
    <w:rsid w:val="00191991"/>
    <w:rsid w:val="001A0625"/>
    <w:rsid w:val="001A09C3"/>
    <w:rsid w:val="001C2B3F"/>
    <w:rsid w:val="001C6795"/>
    <w:rsid w:val="002035A1"/>
    <w:rsid w:val="002103D4"/>
    <w:rsid w:val="00210B26"/>
    <w:rsid w:val="00240CE1"/>
    <w:rsid w:val="0025768B"/>
    <w:rsid w:val="00266C1F"/>
    <w:rsid w:val="00272BF1"/>
    <w:rsid w:val="00285F40"/>
    <w:rsid w:val="002A563D"/>
    <w:rsid w:val="002B45B7"/>
    <w:rsid w:val="00300328"/>
    <w:rsid w:val="00301476"/>
    <w:rsid w:val="00313322"/>
    <w:rsid w:val="003301EC"/>
    <w:rsid w:val="00367591"/>
    <w:rsid w:val="003706C4"/>
    <w:rsid w:val="0037120A"/>
    <w:rsid w:val="003731CC"/>
    <w:rsid w:val="003A3976"/>
    <w:rsid w:val="003C06B8"/>
    <w:rsid w:val="003C4AA1"/>
    <w:rsid w:val="003C6CFB"/>
    <w:rsid w:val="003D4155"/>
    <w:rsid w:val="003F322E"/>
    <w:rsid w:val="00400D76"/>
    <w:rsid w:val="004016D3"/>
    <w:rsid w:val="00413292"/>
    <w:rsid w:val="004B3810"/>
    <w:rsid w:val="004B661D"/>
    <w:rsid w:val="004B779E"/>
    <w:rsid w:val="004D5F12"/>
    <w:rsid w:val="00503E44"/>
    <w:rsid w:val="00511556"/>
    <w:rsid w:val="00531069"/>
    <w:rsid w:val="005641A7"/>
    <w:rsid w:val="00572597"/>
    <w:rsid w:val="00573E56"/>
    <w:rsid w:val="00587A2E"/>
    <w:rsid w:val="005A033C"/>
    <w:rsid w:val="005B1DDE"/>
    <w:rsid w:val="005C2928"/>
    <w:rsid w:val="005C475F"/>
    <w:rsid w:val="005F333A"/>
    <w:rsid w:val="0061440A"/>
    <w:rsid w:val="00621C0C"/>
    <w:rsid w:val="006223F8"/>
    <w:rsid w:val="00626A79"/>
    <w:rsid w:val="00683368"/>
    <w:rsid w:val="00691641"/>
    <w:rsid w:val="006A51EC"/>
    <w:rsid w:val="006C0ECB"/>
    <w:rsid w:val="006D2137"/>
    <w:rsid w:val="006E59C5"/>
    <w:rsid w:val="00700C23"/>
    <w:rsid w:val="0070333C"/>
    <w:rsid w:val="00703CDD"/>
    <w:rsid w:val="00722910"/>
    <w:rsid w:val="00751DBE"/>
    <w:rsid w:val="00760203"/>
    <w:rsid w:val="007742B4"/>
    <w:rsid w:val="007B2B17"/>
    <w:rsid w:val="007C7AF3"/>
    <w:rsid w:val="007E4B31"/>
    <w:rsid w:val="007F33B2"/>
    <w:rsid w:val="00810DB1"/>
    <w:rsid w:val="00823481"/>
    <w:rsid w:val="008327C1"/>
    <w:rsid w:val="0083523E"/>
    <w:rsid w:val="0085326E"/>
    <w:rsid w:val="00857297"/>
    <w:rsid w:val="008610DF"/>
    <w:rsid w:val="00863049"/>
    <w:rsid w:val="008658E9"/>
    <w:rsid w:val="00867BEE"/>
    <w:rsid w:val="008B679A"/>
    <w:rsid w:val="008D6868"/>
    <w:rsid w:val="008E273F"/>
    <w:rsid w:val="008F1823"/>
    <w:rsid w:val="00901410"/>
    <w:rsid w:val="00901CA2"/>
    <w:rsid w:val="009275B8"/>
    <w:rsid w:val="00945DBA"/>
    <w:rsid w:val="00956116"/>
    <w:rsid w:val="00964894"/>
    <w:rsid w:val="00967C07"/>
    <w:rsid w:val="009B1FAA"/>
    <w:rsid w:val="009C52D4"/>
    <w:rsid w:val="009C78BA"/>
    <w:rsid w:val="009D6227"/>
    <w:rsid w:val="009E0DB5"/>
    <w:rsid w:val="009F25DF"/>
    <w:rsid w:val="00A05F73"/>
    <w:rsid w:val="00A3657F"/>
    <w:rsid w:val="00A43E41"/>
    <w:rsid w:val="00A44540"/>
    <w:rsid w:val="00A44EF7"/>
    <w:rsid w:val="00A625A9"/>
    <w:rsid w:val="00A9239A"/>
    <w:rsid w:val="00A9365B"/>
    <w:rsid w:val="00B17612"/>
    <w:rsid w:val="00B55CB2"/>
    <w:rsid w:val="00B650FF"/>
    <w:rsid w:val="00B746D4"/>
    <w:rsid w:val="00B92A33"/>
    <w:rsid w:val="00BB346C"/>
    <w:rsid w:val="00BF3879"/>
    <w:rsid w:val="00C0481C"/>
    <w:rsid w:val="00C21B4A"/>
    <w:rsid w:val="00C3230C"/>
    <w:rsid w:val="00C52E14"/>
    <w:rsid w:val="00C7289A"/>
    <w:rsid w:val="00C908F2"/>
    <w:rsid w:val="00CB66F3"/>
    <w:rsid w:val="00CF5B29"/>
    <w:rsid w:val="00D04D5D"/>
    <w:rsid w:val="00D111B5"/>
    <w:rsid w:val="00D12502"/>
    <w:rsid w:val="00D37B60"/>
    <w:rsid w:val="00D61AC5"/>
    <w:rsid w:val="00D81349"/>
    <w:rsid w:val="00D90718"/>
    <w:rsid w:val="00D96D94"/>
    <w:rsid w:val="00DA2790"/>
    <w:rsid w:val="00DA6645"/>
    <w:rsid w:val="00DB5E0C"/>
    <w:rsid w:val="00DE3A47"/>
    <w:rsid w:val="00DE5B29"/>
    <w:rsid w:val="00E01EC8"/>
    <w:rsid w:val="00E02CF7"/>
    <w:rsid w:val="00E152C8"/>
    <w:rsid w:val="00E23FCB"/>
    <w:rsid w:val="00E61F9B"/>
    <w:rsid w:val="00E97299"/>
    <w:rsid w:val="00EC4A14"/>
    <w:rsid w:val="00ED3436"/>
    <w:rsid w:val="00ED69E5"/>
    <w:rsid w:val="00EF1C61"/>
    <w:rsid w:val="00EF6C66"/>
    <w:rsid w:val="00F12753"/>
    <w:rsid w:val="00F55FA9"/>
    <w:rsid w:val="00F86C13"/>
    <w:rsid w:val="00F873A7"/>
    <w:rsid w:val="00F921E5"/>
    <w:rsid w:val="00F948F2"/>
    <w:rsid w:val="00FA28B7"/>
    <w:rsid w:val="00FC5F4D"/>
    <w:rsid w:val="00FC671A"/>
    <w:rsid w:val="00FE3FF8"/>
    <w:rsid w:val="00FE41CA"/>
    <w:rsid w:val="00FE7C21"/>
    <w:rsid w:val="00FF0FAC"/>
    <w:rsid w:val="59C4E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72EFF"/>
  <w15:docId w15:val="{0F9E9197-3E26-42E1-B245-9062C146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23481"/>
    <w:pPr>
      <w:ind w:left="720"/>
    </w:pPr>
    <w:rPr>
      <w:rFonts w:ascii="Calibri" w:eastAsiaTheme="minorHAnsi" w:hAnsi="Calibri"/>
      <w:sz w:val="22"/>
      <w:szCs w:val="22"/>
    </w:rPr>
  </w:style>
  <w:style w:type="character" w:styleId="Hyperlink">
    <w:name w:val="Hyperlink"/>
    <w:basedOn w:val="DefaultParagraphFont"/>
    <w:rsid w:val="00823481"/>
    <w:rPr>
      <w:color w:val="0000FF" w:themeColor="hyperlink"/>
      <w:u w:val="single"/>
    </w:rPr>
  </w:style>
  <w:style w:type="paragraph" w:styleId="BalloonText">
    <w:name w:val="Balloon Text"/>
    <w:basedOn w:val="Normal"/>
    <w:link w:val="BalloonTextChar"/>
    <w:uiPriority w:val="99"/>
    <w:semiHidden/>
    <w:unhideWhenUsed/>
    <w:rsid w:val="00823481"/>
    <w:rPr>
      <w:rFonts w:ascii="Tahoma" w:hAnsi="Tahoma" w:cs="Tahoma"/>
      <w:sz w:val="16"/>
      <w:szCs w:val="16"/>
    </w:rPr>
  </w:style>
  <w:style w:type="character" w:customStyle="1" w:styleId="BalloonTextChar">
    <w:name w:val="Balloon Text Char"/>
    <w:basedOn w:val="DefaultParagraphFont"/>
    <w:link w:val="BalloonText"/>
    <w:uiPriority w:val="99"/>
    <w:semiHidden/>
    <w:rsid w:val="00823481"/>
    <w:rPr>
      <w:rFonts w:ascii="Tahoma" w:hAnsi="Tahoma" w:cs="Tahoma"/>
      <w:sz w:val="16"/>
      <w:szCs w:val="16"/>
    </w:rPr>
  </w:style>
  <w:style w:type="character" w:styleId="CommentReference">
    <w:name w:val="annotation reference"/>
    <w:basedOn w:val="DefaultParagraphFont"/>
    <w:uiPriority w:val="99"/>
    <w:semiHidden/>
    <w:unhideWhenUsed/>
    <w:rsid w:val="00F921E5"/>
    <w:rPr>
      <w:sz w:val="16"/>
      <w:szCs w:val="16"/>
    </w:rPr>
  </w:style>
  <w:style w:type="paragraph" w:styleId="CommentText">
    <w:name w:val="annotation text"/>
    <w:basedOn w:val="Normal"/>
    <w:link w:val="CommentTextChar"/>
    <w:uiPriority w:val="99"/>
    <w:semiHidden/>
    <w:unhideWhenUsed/>
    <w:rsid w:val="00F921E5"/>
    <w:rPr>
      <w:sz w:val="20"/>
      <w:szCs w:val="20"/>
    </w:rPr>
  </w:style>
  <w:style w:type="character" w:customStyle="1" w:styleId="CommentTextChar">
    <w:name w:val="Comment Text Char"/>
    <w:basedOn w:val="DefaultParagraphFont"/>
    <w:link w:val="CommentText"/>
    <w:uiPriority w:val="99"/>
    <w:semiHidden/>
    <w:rsid w:val="00F921E5"/>
  </w:style>
  <w:style w:type="paragraph" w:styleId="CommentSubject">
    <w:name w:val="annotation subject"/>
    <w:basedOn w:val="CommentText"/>
    <w:next w:val="CommentText"/>
    <w:link w:val="CommentSubjectChar"/>
    <w:uiPriority w:val="99"/>
    <w:semiHidden/>
    <w:unhideWhenUsed/>
    <w:rsid w:val="00F921E5"/>
    <w:rPr>
      <w:b/>
      <w:bCs/>
    </w:rPr>
  </w:style>
  <w:style w:type="character" w:customStyle="1" w:styleId="CommentSubjectChar">
    <w:name w:val="Comment Subject Char"/>
    <w:basedOn w:val="CommentTextChar"/>
    <w:link w:val="CommentSubject"/>
    <w:uiPriority w:val="99"/>
    <w:semiHidden/>
    <w:rsid w:val="00F921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101381">
      <w:bodyDiv w:val="1"/>
      <w:marLeft w:val="0"/>
      <w:marRight w:val="0"/>
      <w:marTop w:val="0"/>
      <w:marBottom w:val="0"/>
      <w:divBdr>
        <w:top w:val="none" w:sz="0" w:space="0" w:color="auto"/>
        <w:left w:val="none" w:sz="0" w:space="0" w:color="auto"/>
        <w:bottom w:val="none" w:sz="0" w:space="0" w:color="auto"/>
        <w:right w:val="none" w:sz="0" w:space="0" w:color="auto"/>
      </w:divBdr>
    </w:div>
    <w:div w:id="200130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2014-08-19T01:12:00Z</cp:lastPrinted>
  <dcterms:created xsi:type="dcterms:W3CDTF">2018-01-29T22:29:00Z</dcterms:created>
  <dcterms:modified xsi:type="dcterms:W3CDTF">2018-06-14T13:52:00Z</dcterms:modified>
</cp:coreProperties>
</file>