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E55" w:rsidRDefault="002E5E55" w:rsidP="002E5E55">
      <w:pPr>
        <w:pStyle w:val="BpSTitle"/>
      </w:pPr>
      <w:r>
        <w:t>11050</w:t>
      </w:r>
    </w:p>
    <w:p w:rsidR="002E5E55" w:rsidRDefault="002E5E55" w:rsidP="002E5E55">
      <w:pPr>
        <w:pStyle w:val="BpSTitle"/>
      </w:pPr>
      <w:r>
        <w:t>Northern and Central California Dry-Mesic Chaparral</w:t>
      </w:r>
    </w:p>
    <w:p w:rsidR="002E5E55" w:rsidRDefault="002E5E55" w:rsidP="008706E0">
      <w:pPr>
        <w:tabs>
          <w:tab w:val="left" w:pos="7200"/>
        </w:tabs>
      </w:pPr>
      <w:r>
        <w:t>BpS Model/Description Version: Aug. 2020</w:t>
      </w:r>
      <w:r w:rsidR="00FA6583">
        <w:tab/>
      </w:r>
    </w:p>
    <w:p w:rsidR="002E5E55" w:rsidRDefault="002E5E55" w:rsidP="008706E0">
      <w:pPr>
        <w:tabs>
          <w:tab w:val="left" w:pos="7200"/>
        </w:tabs>
      </w:pPr>
    </w:p>
    <w:tbl>
      <w:tblPr>
        <w:tblW w:w="10278"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2256"/>
        <w:gridCol w:w="2496"/>
        <w:gridCol w:w="1392"/>
        <w:gridCol w:w="4134"/>
      </w:tblGrid>
      <w:tr w:rsidR="002E5E55" w:rsidRPr="002E5E55" w:rsidTr="00CF71F4">
        <w:tc>
          <w:tcPr>
            <w:tcW w:w="2256" w:type="dxa"/>
            <w:tcBorders>
              <w:top w:val="single" w:sz="2" w:space="0" w:color="auto"/>
              <w:left w:val="single" w:sz="12" w:space="0" w:color="auto"/>
              <w:bottom w:val="single" w:sz="12" w:space="0" w:color="000000"/>
            </w:tcBorders>
            <w:shd w:val="clear" w:color="auto" w:fill="auto"/>
          </w:tcPr>
          <w:p w:rsidR="002E5E55" w:rsidRPr="002E5E55" w:rsidRDefault="002E5E55" w:rsidP="003D2324">
            <w:pPr>
              <w:rPr>
                <w:b/>
                <w:bCs/>
              </w:rPr>
            </w:pPr>
            <w:r w:rsidRPr="002E5E55">
              <w:rPr>
                <w:b/>
                <w:bCs/>
              </w:rPr>
              <w:t>Modelers</w:t>
            </w:r>
          </w:p>
        </w:tc>
        <w:tc>
          <w:tcPr>
            <w:tcW w:w="2496" w:type="dxa"/>
            <w:tcBorders>
              <w:top w:val="single" w:sz="2" w:space="0" w:color="auto"/>
              <w:bottom w:val="single" w:sz="12" w:space="0" w:color="000000"/>
              <w:right w:val="single" w:sz="12" w:space="0" w:color="000000"/>
            </w:tcBorders>
            <w:shd w:val="clear" w:color="auto" w:fill="auto"/>
          </w:tcPr>
          <w:p w:rsidR="002E5E55" w:rsidRPr="002E5E55" w:rsidRDefault="002E5E55" w:rsidP="003D2324">
            <w:pPr>
              <w:rPr>
                <w:b/>
                <w:bCs/>
              </w:rPr>
            </w:pPr>
          </w:p>
        </w:tc>
        <w:tc>
          <w:tcPr>
            <w:tcW w:w="1392" w:type="dxa"/>
            <w:tcBorders>
              <w:top w:val="single" w:sz="2" w:space="0" w:color="auto"/>
              <w:left w:val="single" w:sz="12" w:space="0" w:color="000000"/>
              <w:bottom w:val="single" w:sz="12" w:space="0" w:color="000000"/>
            </w:tcBorders>
            <w:shd w:val="clear" w:color="auto" w:fill="auto"/>
          </w:tcPr>
          <w:p w:rsidR="002E5E55" w:rsidRPr="002E5E55" w:rsidRDefault="002E5E55" w:rsidP="003D2324">
            <w:pPr>
              <w:rPr>
                <w:b/>
                <w:bCs/>
              </w:rPr>
            </w:pPr>
            <w:r w:rsidRPr="002E5E55">
              <w:rPr>
                <w:b/>
                <w:bCs/>
              </w:rPr>
              <w:t>Reviewers</w:t>
            </w:r>
          </w:p>
        </w:tc>
        <w:tc>
          <w:tcPr>
            <w:tcW w:w="4134" w:type="dxa"/>
            <w:tcBorders>
              <w:top w:val="single" w:sz="2" w:space="0" w:color="auto"/>
              <w:bottom w:val="single" w:sz="12" w:space="0" w:color="000000"/>
            </w:tcBorders>
            <w:shd w:val="clear" w:color="auto" w:fill="auto"/>
          </w:tcPr>
          <w:p w:rsidR="002E5E55" w:rsidRPr="002E5E55" w:rsidRDefault="002E5E55" w:rsidP="003D2324">
            <w:pPr>
              <w:rPr>
                <w:b/>
                <w:bCs/>
              </w:rPr>
            </w:pPr>
          </w:p>
        </w:tc>
      </w:tr>
      <w:tr w:rsidR="00434F3F" w:rsidRPr="002E5E55" w:rsidTr="00CF71F4">
        <w:tc>
          <w:tcPr>
            <w:tcW w:w="2256" w:type="dxa"/>
            <w:tcBorders>
              <w:top w:val="single" w:sz="12" w:space="0" w:color="000000"/>
              <w:left w:val="single" w:sz="12" w:space="0" w:color="auto"/>
            </w:tcBorders>
            <w:shd w:val="clear" w:color="auto" w:fill="auto"/>
          </w:tcPr>
          <w:p w:rsidR="00434F3F" w:rsidRPr="002E5E55" w:rsidRDefault="00434F3F" w:rsidP="00434F3F">
            <w:pPr>
              <w:rPr>
                <w:bCs/>
              </w:rPr>
            </w:pPr>
            <w:r w:rsidRPr="002E5E55">
              <w:rPr>
                <w:bCs/>
              </w:rPr>
              <w:t>Alexandra Syphard</w:t>
            </w:r>
          </w:p>
        </w:tc>
        <w:tc>
          <w:tcPr>
            <w:tcW w:w="2496" w:type="dxa"/>
            <w:tcBorders>
              <w:top w:val="single" w:sz="12" w:space="0" w:color="000000"/>
              <w:right w:val="single" w:sz="12" w:space="0" w:color="000000"/>
            </w:tcBorders>
            <w:shd w:val="clear" w:color="auto" w:fill="auto"/>
          </w:tcPr>
          <w:p w:rsidR="00434F3F" w:rsidRPr="002E5E55" w:rsidRDefault="00434F3F" w:rsidP="00434F3F">
            <w:r w:rsidRPr="002E5E55">
              <w:t>asyphard@yahoo.com</w:t>
            </w:r>
          </w:p>
        </w:tc>
        <w:tc>
          <w:tcPr>
            <w:tcW w:w="1392" w:type="dxa"/>
            <w:tcBorders>
              <w:top w:val="single" w:sz="12" w:space="0" w:color="000000"/>
              <w:left w:val="single" w:sz="12" w:space="0" w:color="000000"/>
            </w:tcBorders>
            <w:shd w:val="clear" w:color="auto" w:fill="auto"/>
          </w:tcPr>
          <w:p w:rsidR="00434F3F" w:rsidRPr="002E5E55" w:rsidRDefault="00434F3F" w:rsidP="00434F3F"/>
        </w:tc>
        <w:tc>
          <w:tcPr>
            <w:tcW w:w="4134" w:type="dxa"/>
            <w:tcBorders>
              <w:top w:val="single" w:sz="12" w:space="0" w:color="000000"/>
            </w:tcBorders>
            <w:shd w:val="clear" w:color="auto" w:fill="auto"/>
          </w:tcPr>
          <w:p w:rsidR="00434F3F" w:rsidRPr="002E5E55" w:rsidRDefault="00434F3F" w:rsidP="00434F3F"/>
        </w:tc>
      </w:tr>
      <w:tr w:rsidR="00434F3F" w:rsidRPr="002E5E55" w:rsidTr="00CF71F4">
        <w:tc>
          <w:tcPr>
            <w:tcW w:w="2256" w:type="dxa"/>
            <w:tcBorders>
              <w:left w:val="single" w:sz="12" w:space="0" w:color="auto"/>
            </w:tcBorders>
            <w:shd w:val="clear" w:color="auto" w:fill="auto"/>
          </w:tcPr>
          <w:p w:rsidR="00434F3F" w:rsidRPr="002E5E55" w:rsidRDefault="00434F3F" w:rsidP="00434F3F">
            <w:pPr>
              <w:rPr>
                <w:bCs/>
              </w:rPr>
            </w:pPr>
            <w:r w:rsidRPr="002E5E55">
              <w:rPr>
                <w:bCs/>
              </w:rPr>
              <w:t>John Foster</w:t>
            </w:r>
          </w:p>
        </w:tc>
        <w:tc>
          <w:tcPr>
            <w:tcW w:w="2496" w:type="dxa"/>
            <w:tcBorders>
              <w:right w:val="single" w:sz="12" w:space="0" w:color="000000"/>
            </w:tcBorders>
            <w:shd w:val="clear" w:color="auto" w:fill="auto"/>
          </w:tcPr>
          <w:p w:rsidR="00434F3F" w:rsidRPr="002E5E55" w:rsidRDefault="00434F3F" w:rsidP="00434F3F">
            <w:r w:rsidRPr="002E5E55">
              <w:t>jfoster@tnc.org</w:t>
            </w:r>
          </w:p>
        </w:tc>
        <w:tc>
          <w:tcPr>
            <w:tcW w:w="1392" w:type="dxa"/>
            <w:tcBorders>
              <w:left w:val="single" w:sz="12" w:space="0" w:color="000000"/>
            </w:tcBorders>
            <w:shd w:val="clear" w:color="auto" w:fill="auto"/>
          </w:tcPr>
          <w:p w:rsidR="00434F3F" w:rsidRPr="002E5E55" w:rsidRDefault="00434F3F" w:rsidP="00434F3F"/>
        </w:tc>
        <w:tc>
          <w:tcPr>
            <w:tcW w:w="4134" w:type="dxa"/>
            <w:shd w:val="clear" w:color="auto" w:fill="auto"/>
          </w:tcPr>
          <w:p w:rsidR="00434F3F" w:rsidRPr="002E5E55" w:rsidRDefault="00434F3F" w:rsidP="00434F3F"/>
        </w:tc>
      </w:tr>
      <w:tr w:rsidR="00434F3F" w:rsidRPr="002E5E55" w:rsidTr="00CF71F4">
        <w:tc>
          <w:tcPr>
            <w:tcW w:w="2256" w:type="dxa"/>
            <w:tcBorders>
              <w:left w:val="single" w:sz="12" w:space="0" w:color="auto"/>
              <w:bottom w:val="single" w:sz="2" w:space="0" w:color="auto"/>
            </w:tcBorders>
            <w:shd w:val="clear" w:color="auto" w:fill="auto"/>
          </w:tcPr>
          <w:p w:rsidR="00434F3F" w:rsidRPr="002E5E55" w:rsidRDefault="00434F3F" w:rsidP="00434F3F">
            <w:pPr>
              <w:rPr>
                <w:bCs/>
              </w:rPr>
            </w:pPr>
          </w:p>
        </w:tc>
        <w:tc>
          <w:tcPr>
            <w:tcW w:w="2496" w:type="dxa"/>
            <w:tcBorders>
              <w:right w:val="single" w:sz="12" w:space="0" w:color="000000"/>
            </w:tcBorders>
            <w:shd w:val="clear" w:color="auto" w:fill="auto"/>
          </w:tcPr>
          <w:p w:rsidR="00434F3F" w:rsidRPr="002E5E55" w:rsidRDefault="00434F3F" w:rsidP="00434F3F"/>
        </w:tc>
        <w:tc>
          <w:tcPr>
            <w:tcW w:w="1392" w:type="dxa"/>
            <w:tcBorders>
              <w:left w:val="single" w:sz="12" w:space="0" w:color="000000"/>
              <w:bottom w:val="single" w:sz="2" w:space="0" w:color="auto"/>
            </w:tcBorders>
            <w:shd w:val="clear" w:color="auto" w:fill="auto"/>
          </w:tcPr>
          <w:p w:rsidR="00434F3F" w:rsidRPr="002E5E55" w:rsidRDefault="00434F3F" w:rsidP="00434F3F"/>
        </w:tc>
        <w:tc>
          <w:tcPr>
            <w:tcW w:w="4134" w:type="dxa"/>
            <w:shd w:val="clear" w:color="auto" w:fill="auto"/>
          </w:tcPr>
          <w:p w:rsidR="00434F3F" w:rsidRPr="002E5E55" w:rsidRDefault="00434F3F" w:rsidP="00434F3F"/>
        </w:tc>
      </w:tr>
    </w:tbl>
    <w:p w:rsidR="002E5E55" w:rsidRDefault="002E5E55" w:rsidP="002E5E55"/>
    <w:p w:rsidR="00434F3F" w:rsidRDefault="00434F3F" w:rsidP="002E5E55">
      <w:pPr>
        <w:pStyle w:val="InfoPara"/>
      </w:pPr>
      <w:r>
        <w:t>Review</w:t>
      </w:r>
      <w:r w:rsidR="00A664FA">
        <w:t>er</w:t>
      </w:r>
      <w:r>
        <w:t xml:space="preserve">: </w:t>
      </w:r>
      <w:r w:rsidRPr="00434F3F">
        <w:rPr>
          <w:b w:val="0"/>
        </w:rPr>
        <w:t>Olivia Duren</w:t>
      </w:r>
    </w:p>
    <w:p w:rsidR="002E5E55" w:rsidRDefault="002E5E55" w:rsidP="002E5E55">
      <w:pPr>
        <w:pStyle w:val="InfoPara"/>
      </w:pPr>
      <w:r>
        <w:t>Vegetation Type</w:t>
      </w:r>
    </w:p>
    <w:p w:rsidR="002E5E55" w:rsidRDefault="002E5E55" w:rsidP="002E5E55">
      <w:r>
        <w:t>Shrubland</w:t>
      </w:r>
    </w:p>
    <w:p w:rsidR="002E5E55" w:rsidRDefault="002E5E55" w:rsidP="002E5E55">
      <w:pPr>
        <w:pStyle w:val="InfoPara"/>
      </w:pPr>
      <w:r>
        <w:t>Map Zones</w:t>
      </w:r>
    </w:p>
    <w:p w:rsidR="002E5E55" w:rsidRDefault="009005BA" w:rsidP="002E5E55">
      <w:r>
        <w:t>3, 6, 7</w:t>
      </w:r>
    </w:p>
    <w:p w:rsidR="002E5E55" w:rsidRDefault="002E5E55" w:rsidP="002E5E55">
      <w:pPr>
        <w:pStyle w:val="InfoPara"/>
      </w:pPr>
      <w:r>
        <w:t>Geographic Range</w:t>
      </w:r>
    </w:p>
    <w:p w:rsidR="002E5E55" w:rsidRDefault="002E5E55" w:rsidP="002E5E55">
      <w:r>
        <w:t>This system occurs throughout California</w:t>
      </w:r>
      <w:r w:rsidR="00FA6583">
        <w:t>,</w:t>
      </w:r>
      <w:r>
        <w:t xml:space="preserve"> away from the coastal fog belt, and through the northern end of the central valley and into southern Oregon.</w:t>
      </w:r>
    </w:p>
    <w:p w:rsidR="002E5E55" w:rsidRDefault="002E5E55" w:rsidP="002E5E55">
      <w:pPr>
        <w:pStyle w:val="InfoPara"/>
      </w:pPr>
      <w:r>
        <w:t>Biophysical Site Description</w:t>
      </w:r>
    </w:p>
    <w:p w:rsidR="002E5E55" w:rsidRDefault="002E5E55" w:rsidP="002E5E55">
      <w:r>
        <w:t xml:space="preserve">In the north coastal region, chaparral is diminished in extent compared to the southern part of the state. In the Sierra Nevada, chaparral occurs in the foothills on the western slopes. In the coast ranges, chaparral is found largely on interior slopes and in large patches in the Siskiyou, Cascade, and Klamath </w:t>
      </w:r>
      <w:r w:rsidR="00A664FA">
        <w:t>m</w:t>
      </w:r>
      <w:r>
        <w:t xml:space="preserve">ountains. The northern limits are the dry parts of the Rogue River watershed in Oregon. Annual precipitation should be </w:t>
      </w:r>
      <w:r w:rsidR="00FA6583">
        <w:t xml:space="preserve">greater </w:t>
      </w:r>
      <w:r>
        <w:t xml:space="preserve">than in the southern part of </w:t>
      </w:r>
      <w:r w:rsidR="00FD3888">
        <w:t>C</w:t>
      </w:r>
      <w:r w:rsidR="00FA6583">
        <w:t>alifornia</w:t>
      </w:r>
      <w:r w:rsidR="00A664FA">
        <w:t>:</w:t>
      </w:r>
      <w:r>
        <w:t xml:space="preserve"> up to 100cm.</w:t>
      </w:r>
      <w:r w:rsidR="00FA6583">
        <w:t xml:space="preserve"> </w:t>
      </w:r>
      <w:r>
        <w:t>Dry-mesic chaparral is located in the interior valleys and on xeric, south-facing slopes in the coastal ranges.</w:t>
      </w:r>
    </w:p>
    <w:p w:rsidR="002E5E55" w:rsidRDefault="002E5E55" w:rsidP="002E5E55">
      <w:pPr>
        <w:pStyle w:val="InfoPara"/>
      </w:pPr>
      <w:r>
        <w:t>Vegetation Description</w:t>
      </w:r>
    </w:p>
    <w:p w:rsidR="002E5E55" w:rsidRDefault="002E5E55" w:rsidP="002E5E55">
      <w:r>
        <w:t xml:space="preserve">This vegetation type is composed </w:t>
      </w:r>
      <w:r w:rsidR="00FA6583">
        <w:t xml:space="preserve">primarily </w:t>
      </w:r>
      <w:r>
        <w:t xml:space="preserve">of shallow-root obligate seeders or facultative seeders that generate a persistent seed bank cued by fire to germinate. The facultative seeders are also able to resprout </w:t>
      </w:r>
      <w:r w:rsidR="00FA6583">
        <w:t xml:space="preserve">after </w:t>
      </w:r>
      <w:r>
        <w:t>fire</w:t>
      </w:r>
      <w:r w:rsidR="003D2324">
        <w:t xml:space="preserve"> (facultative seeders comprise a minor part of this community in the Klamath Mountains)</w:t>
      </w:r>
      <w:r>
        <w:t xml:space="preserve">. </w:t>
      </w:r>
      <w:r w:rsidR="00FB6BCA">
        <w:t>Where canopy cover is high, t</w:t>
      </w:r>
      <w:r>
        <w:t>hese species generally do not recruit in the absence of fire</w:t>
      </w:r>
      <w:r w:rsidR="00FB6BCA">
        <w:t xml:space="preserve">. However, a low but sustained level of recruitment in canopy gaps, such as in stands </w:t>
      </w:r>
      <w:r w:rsidR="003C4079">
        <w:t>that are very old or</w:t>
      </w:r>
      <w:r w:rsidR="00F8733C">
        <w:t xml:space="preserve"> </w:t>
      </w:r>
      <w:r w:rsidR="00FB6BCA">
        <w:t>disturbed, may be sufficient to ensure persistence of this community type in long-unburned stands</w:t>
      </w:r>
      <w:r w:rsidR="003C4079">
        <w:t xml:space="preserve"> (Duren</w:t>
      </w:r>
      <w:r w:rsidR="00FD3888">
        <w:t xml:space="preserve"> and Muir 2010)</w:t>
      </w:r>
      <w:r w:rsidR="00FB6BCA">
        <w:t xml:space="preserve">. </w:t>
      </w:r>
      <w:r w:rsidR="00F8733C">
        <w:t xml:space="preserve">Dry-mesic chaparral </w:t>
      </w:r>
      <w:r>
        <w:t>require</w:t>
      </w:r>
      <w:r w:rsidR="00F8733C">
        <w:t>s at least</w:t>
      </w:r>
      <w:r>
        <w:t xml:space="preserve"> 5-25yrs to replenish </w:t>
      </w:r>
      <w:r w:rsidR="00A664FA">
        <w:t>its</w:t>
      </w:r>
      <w:r>
        <w:t xml:space="preserve"> seed bank (sufficient enough to produce seedlings </w:t>
      </w:r>
      <w:r w:rsidR="00FA6583">
        <w:t xml:space="preserve">after </w:t>
      </w:r>
      <w:r>
        <w:t>fire).</w:t>
      </w:r>
    </w:p>
    <w:p w:rsidR="002E5E55" w:rsidRDefault="002E5E55" w:rsidP="002E5E55"/>
    <w:p w:rsidR="002E5E55" w:rsidRDefault="002E5E55" w:rsidP="002E5E55">
      <w:r>
        <w:t xml:space="preserve">This system is made up of a mixture of mostly obligate seeders. Characteristic species include </w:t>
      </w:r>
      <w:r w:rsidRPr="008706E0">
        <w:rPr>
          <w:i/>
        </w:rPr>
        <w:t>Adenostoma fasciculatum</w:t>
      </w:r>
      <w:r w:rsidR="00FA6583">
        <w:t>,</w:t>
      </w:r>
      <w:r w:rsidRPr="008706E0">
        <w:rPr>
          <w:i/>
        </w:rPr>
        <w:t xml:space="preserve"> Ceanothus cuneatus</w:t>
      </w:r>
      <w:r w:rsidR="00FA6583">
        <w:t>,</w:t>
      </w:r>
      <w:r w:rsidRPr="008706E0">
        <w:rPr>
          <w:i/>
        </w:rPr>
        <w:t xml:space="preserve"> Arctostaphylos viscida</w:t>
      </w:r>
      <w:r w:rsidR="00FA6583">
        <w:t>,</w:t>
      </w:r>
      <w:r w:rsidRPr="008706E0">
        <w:rPr>
          <w:i/>
        </w:rPr>
        <w:t xml:space="preserve"> A</w:t>
      </w:r>
      <w:r w:rsidR="003C4079" w:rsidRPr="008706E0">
        <w:rPr>
          <w:i/>
        </w:rPr>
        <w:t>.</w:t>
      </w:r>
      <w:r w:rsidRPr="008706E0">
        <w:rPr>
          <w:i/>
        </w:rPr>
        <w:t xml:space="preserve"> manzanita</w:t>
      </w:r>
      <w:r w:rsidR="00FA6583">
        <w:t>,</w:t>
      </w:r>
      <w:r w:rsidRPr="008706E0">
        <w:rPr>
          <w:i/>
        </w:rPr>
        <w:t xml:space="preserve"> A</w:t>
      </w:r>
      <w:r w:rsidR="003C4079" w:rsidRPr="008706E0">
        <w:rPr>
          <w:i/>
        </w:rPr>
        <w:t>.</w:t>
      </w:r>
      <w:r w:rsidRPr="008706E0">
        <w:rPr>
          <w:i/>
        </w:rPr>
        <w:t xml:space="preserve"> glauca</w:t>
      </w:r>
      <w:r w:rsidR="00FA6583">
        <w:t>,</w:t>
      </w:r>
      <w:r w:rsidRPr="008706E0">
        <w:rPr>
          <w:i/>
        </w:rPr>
        <w:t xml:space="preserve"> A</w:t>
      </w:r>
      <w:r w:rsidR="003C4079" w:rsidRPr="008706E0">
        <w:rPr>
          <w:i/>
        </w:rPr>
        <w:t>.</w:t>
      </w:r>
      <w:r w:rsidRPr="008706E0">
        <w:rPr>
          <w:i/>
        </w:rPr>
        <w:t xml:space="preserve"> glandulosa</w:t>
      </w:r>
      <w:r w:rsidR="00FA6583">
        <w:t>,</w:t>
      </w:r>
      <w:r w:rsidRPr="008706E0">
        <w:rPr>
          <w:i/>
        </w:rPr>
        <w:t xml:space="preserve"> A</w:t>
      </w:r>
      <w:r w:rsidR="003C4079" w:rsidRPr="008706E0">
        <w:rPr>
          <w:i/>
        </w:rPr>
        <w:t>.</w:t>
      </w:r>
      <w:r w:rsidRPr="008706E0">
        <w:rPr>
          <w:i/>
        </w:rPr>
        <w:t xml:space="preserve"> stanfordiana</w:t>
      </w:r>
      <w:r w:rsidR="00FA6583">
        <w:t>,</w:t>
      </w:r>
      <w:r w:rsidRPr="008706E0">
        <w:rPr>
          <w:i/>
        </w:rPr>
        <w:t xml:space="preserve"> Fremontodendron californicum</w:t>
      </w:r>
      <w:r w:rsidR="00FA6583">
        <w:t>,</w:t>
      </w:r>
      <w:r w:rsidRPr="008706E0">
        <w:rPr>
          <w:i/>
        </w:rPr>
        <w:t xml:space="preserve"> Malacothamnus fasciculatus</w:t>
      </w:r>
      <w:r w:rsidR="00FA6583">
        <w:t>,</w:t>
      </w:r>
      <w:r w:rsidRPr="008706E0">
        <w:rPr>
          <w:i/>
        </w:rPr>
        <w:t xml:space="preserve"> Dendromecon rigida</w:t>
      </w:r>
      <w:r w:rsidR="00FA6583">
        <w:t>,</w:t>
      </w:r>
      <w:r w:rsidRPr="008706E0">
        <w:rPr>
          <w:i/>
        </w:rPr>
        <w:t xml:space="preserve"> </w:t>
      </w:r>
      <w:r w:rsidRPr="00FA6583">
        <w:t>and</w:t>
      </w:r>
      <w:r w:rsidRPr="008706E0">
        <w:rPr>
          <w:i/>
        </w:rPr>
        <w:t xml:space="preserve"> Pickeringia montana</w:t>
      </w:r>
      <w:r>
        <w:t>.</w:t>
      </w:r>
      <w:r w:rsidR="00FD3888">
        <w:t xml:space="preserve"> In Oregon’s Jackson and Josephine </w:t>
      </w:r>
      <w:r w:rsidR="00A664FA">
        <w:t>c</w:t>
      </w:r>
      <w:r w:rsidR="00FD3888">
        <w:t xml:space="preserve">ounties, additional </w:t>
      </w:r>
      <w:r w:rsidR="00A664FA">
        <w:t>species</w:t>
      </w:r>
      <w:r w:rsidR="00FD3888">
        <w:t xml:space="preserve"> are </w:t>
      </w:r>
      <w:r w:rsidR="00FD3888" w:rsidRPr="008706E0">
        <w:rPr>
          <w:i/>
        </w:rPr>
        <w:t>Cercocarpus betuloides</w:t>
      </w:r>
      <w:r w:rsidR="00FA6583">
        <w:t>,</w:t>
      </w:r>
      <w:r w:rsidR="00FD3888" w:rsidRPr="008706E0">
        <w:rPr>
          <w:i/>
        </w:rPr>
        <w:t xml:space="preserve"> Garrya fremontii</w:t>
      </w:r>
      <w:r w:rsidR="00FA6583">
        <w:t>,</w:t>
      </w:r>
      <w:r w:rsidR="00FD3888" w:rsidRPr="008706E0">
        <w:rPr>
          <w:i/>
        </w:rPr>
        <w:t xml:space="preserve"> Prunus subcordata</w:t>
      </w:r>
      <w:r w:rsidR="00FA6583">
        <w:t>,</w:t>
      </w:r>
      <w:r w:rsidR="00FD3888" w:rsidRPr="008706E0">
        <w:rPr>
          <w:i/>
        </w:rPr>
        <w:t xml:space="preserve"> </w:t>
      </w:r>
      <w:r w:rsidR="00FD3888" w:rsidRPr="00FA6583">
        <w:t>and</w:t>
      </w:r>
      <w:r w:rsidR="00FD3888" w:rsidRPr="008706E0">
        <w:rPr>
          <w:i/>
        </w:rPr>
        <w:t xml:space="preserve"> Toxicodendron diversilobum</w:t>
      </w:r>
      <w:r w:rsidR="00FD3888">
        <w:t>.</w:t>
      </w:r>
    </w:p>
    <w:p w:rsidR="002E5E55" w:rsidRDefault="002E5E55" w:rsidP="002E5E55">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4F7795" w:rsidRPr="004F7795" w:rsidTr="00102927">
        <w:tc>
          <w:tcPr>
            <w:tcW w:w="1164" w:type="dxa"/>
            <w:tcBorders>
              <w:top w:val="single" w:sz="2" w:space="0" w:color="auto"/>
              <w:bottom w:val="single" w:sz="12" w:space="0" w:color="000000"/>
            </w:tcBorders>
            <w:shd w:val="clear" w:color="auto" w:fill="auto"/>
          </w:tcPr>
          <w:p w:rsidR="004F7795" w:rsidRPr="004F7795" w:rsidRDefault="00CC58B0" w:rsidP="00BB0BE3">
            <w:pPr>
              <w:rPr>
                <w:b/>
                <w:bCs/>
              </w:rPr>
            </w:pPr>
            <w:r w:rsidRPr="004F7795">
              <w:rPr>
                <w:b/>
                <w:bCs/>
              </w:rPr>
              <w:lastRenderedPageBreak/>
              <w:t>Symbol</w:t>
            </w:r>
          </w:p>
        </w:tc>
        <w:tc>
          <w:tcPr>
            <w:tcW w:w="4413" w:type="dxa"/>
            <w:tcBorders>
              <w:top w:val="single" w:sz="2" w:space="0" w:color="auto"/>
              <w:bottom w:val="single" w:sz="12" w:space="0" w:color="000000"/>
            </w:tcBorders>
            <w:shd w:val="clear" w:color="auto" w:fill="auto"/>
          </w:tcPr>
          <w:p w:rsidR="004F7795" w:rsidRPr="004F7795" w:rsidRDefault="00CC58B0" w:rsidP="00BB0BE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rsidR="004F7795" w:rsidRPr="004F7795" w:rsidRDefault="00CC58B0" w:rsidP="00BB0BE3">
            <w:pPr>
              <w:rPr>
                <w:b/>
                <w:bCs/>
              </w:rPr>
            </w:pPr>
            <w:r w:rsidRPr="004F7795">
              <w:rPr>
                <w:b/>
                <w:bCs/>
              </w:rPr>
              <w:t>Common Name</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ADFA</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Adenostoma fasciculatum</w:t>
            </w:r>
          </w:p>
        </w:tc>
        <w:tc>
          <w:tcPr>
            <w:tcW w:w="3960" w:type="dxa"/>
            <w:tcBorders>
              <w:top w:val="single" w:sz="12" w:space="0" w:color="000000"/>
            </w:tcBorders>
            <w:shd w:val="clear" w:color="auto" w:fill="auto"/>
          </w:tcPr>
          <w:p w:rsidR="004F7795" w:rsidRPr="004F7795" w:rsidRDefault="00CC58B0" w:rsidP="00BB0BE3">
            <w:r w:rsidRPr="004F7795">
              <w:t>Chamise</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CECU</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Ceanothus cuneatus</w:t>
            </w:r>
          </w:p>
        </w:tc>
        <w:tc>
          <w:tcPr>
            <w:tcW w:w="3960" w:type="dxa"/>
            <w:tcBorders>
              <w:top w:val="single" w:sz="12" w:space="0" w:color="000000"/>
            </w:tcBorders>
            <w:shd w:val="clear" w:color="auto" w:fill="auto"/>
          </w:tcPr>
          <w:p w:rsidR="004F7795" w:rsidRPr="004F7795" w:rsidRDefault="00CC58B0" w:rsidP="00BB0BE3">
            <w:r w:rsidRPr="004F7795">
              <w:t>Buckbrush</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ARCTO3</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Arctostaphylos</w:t>
            </w:r>
          </w:p>
        </w:tc>
        <w:tc>
          <w:tcPr>
            <w:tcW w:w="3960" w:type="dxa"/>
            <w:tcBorders>
              <w:top w:val="single" w:sz="12" w:space="0" w:color="000000"/>
            </w:tcBorders>
            <w:shd w:val="clear" w:color="auto" w:fill="auto"/>
          </w:tcPr>
          <w:p w:rsidR="004F7795" w:rsidRPr="004F7795" w:rsidRDefault="00CC58B0" w:rsidP="00BB0BE3">
            <w:r w:rsidRPr="004F7795">
              <w:t>Manzanita</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FRCA6</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Fremontodendron californicum</w:t>
            </w:r>
          </w:p>
        </w:tc>
        <w:tc>
          <w:tcPr>
            <w:tcW w:w="3960" w:type="dxa"/>
            <w:tcBorders>
              <w:top w:val="single" w:sz="12" w:space="0" w:color="000000"/>
            </w:tcBorders>
            <w:shd w:val="clear" w:color="auto" w:fill="auto"/>
          </w:tcPr>
          <w:p w:rsidR="004F7795" w:rsidRPr="004F7795" w:rsidRDefault="00CC58B0" w:rsidP="00BB0BE3">
            <w:r w:rsidRPr="004F7795">
              <w:t>California flannelbush</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MAFA</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Malacothamnus fasciculatus</w:t>
            </w:r>
          </w:p>
        </w:tc>
        <w:tc>
          <w:tcPr>
            <w:tcW w:w="3960" w:type="dxa"/>
            <w:tcBorders>
              <w:top w:val="single" w:sz="12" w:space="0" w:color="000000"/>
            </w:tcBorders>
            <w:shd w:val="clear" w:color="auto" w:fill="auto"/>
          </w:tcPr>
          <w:p w:rsidR="004F7795" w:rsidRPr="004F7795" w:rsidRDefault="00CC58B0" w:rsidP="00BB0BE3">
            <w:r w:rsidRPr="004F7795">
              <w:t>Mendocino bushmallow</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DERI</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Dendromecon rigida</w:t>
            </w:r>
          </w:p>
        </w:tc>
        <w:tc>
          <w:tcPr>
            <w:tcW w:w="3960" w:type="dxa"/>
            <w:tcBorders>
              <w:top w:val="single" w:sz="12" w:space="0" w:color="000000"/>
            </w:tcBorders>
            <w:shd w:val="clear" w:color="auto" w:fill="auto"/>
          </w:tcPr>
          <w:p w:rsidR="004F7795" w:rsidRPr="004F7795" w:rsidRDefault="00CC58B0" w:rsidP="00BB0BE3">
            <w:r w:rsidRPr="004F7795">
              <w:t>Tree poppy</w:t>
            </w:r>
          </w:p>
        </w:tc>
      </w:tr>
      <w:tr w:rsidR="004F7795" w:rsidRPr="004F7795" w:rsidTr="00102927">
        <w:tc>
          <w:tcPr>
            <w:tcW w:w="1164" w:type="dxa"/>
            <w:tcBorders>
              <w:top w:val="single" w:sz="12" w:space="0" w:color="000000"/>
            </w:tcBorders>
            <w:shd w:val="clear" w:color="auto" w:fill="auto"/>
          </w:tcPr>
          <w:p w:rsidR="004F7795" w:rsidRPr="004F7795" w:rsidRDefault="00CC58B0" w:rsidP="00BB0BE3">
            <w:pPr>
              <w:rPr>
                <w:bCs/>
              </w:rPr>
            </w:pPr>
            <w:r w:rsidRPr="004F7795">
              <w:rPr>
                <w:bCs/>
              </w:rPr>
              <w:t>PIMO5</w:t>
            </w:r>
          </w:p>
        </w:tc>
        <w:tc>
          <w:tcPr>
            <w:tcW w:w="4413" w:type="dxa"/>
            <w:tcBorders>
              <w:top w:val="single" w:sz="12" w:space="0" w:color="000000"/>
            </w:tcBorders>
            <w:shd w:val="clear" w:color="auto" w:fill="auto"/>
          </w:tcPr>
          <w:p w:rsidR="004F7795" w:rsidRPr="0090342B" w:rsidRDefault="00CC58B0" w:rsidP="00BB0BE3">
            <w:pPr>
              <w:rPr>
                <w:i/>
              </w:rPr>
            </w:pPr>
            <w:r w:rsidRPr="0090342B">
              <w:rPr>
                <w:i/>
              </w:rPr>
              <w:t>Pickeringia montana</w:t>
            </w:r>
          </w:p>
        </w:tc>
        <w:tc>
          <w:tcPr>
            <w:tcW w:w="3960" w:type="dxa"/>
            <w:tcBorders>
              <w:top w:val="single" w:sz="12" w:space="0" w:color="000000"/>
            </w:tcBorders>
            <w:shd w:val="clear" w:color="auto" w:fill="auto"/>
          </w:tcPr>
          <w:p w:rsidR="004F7795" w:rsidRPr="004F7795" w:rsidRDefault="00CC58B0" w:rsidP="00BB0BE3">
            <w:r w:rsidRPr="004F7795">
              <w:t>Montana chaparral pea</w:t>
            </w:r>
          </w:p>
        </w:tc>
      </w:tr>
    </w:tbl>
    <w:p w:rsidR="00644152" w:rsidRDefault="00CC58B0">
      <w:r>
        <w:rPr>
          <w:sz w:val="16"/>
        </w:rPr>
        <w:t>Species names are from the NRCS PLANTS database. Check species codes at http://plants.usda.gov.</w:t>
      </w:r>
    </w:p>
    <w:p w:rsidR="002E5E55" w:rsidRDefault="002E5E55" w:rsidP="002E5E55">
      <w:pPr>
        <w:pStyle w:val="InfoPara"/>
      </w:pPr>
      <w:r>
        <w:t>Disturbance Description</w:t>
      </w:r>
    </w:p>
    <w:p w:rsidR="002E5E55" w:rsidRDefault="002E5E55" w:rsidP="002E5E55">
      <w:r>
        <w:t xml:space="preserve">Chaparral burns in high-intensity, stand-replacing crown fires, resulting in even-age stands in which the post-fire composition (after 5-10yrs) is largely the same as the pre-fire composition (referred to as </w:t>
      </w:r>
      <w:r w:rsidR="00FA6583">
        <w:t>“</w:t>
      </w:r>
      <w:r>
        <w:t>autosuccession</w:t>
      </w:r>
      <w:r w:rsidR="00FA6583">
        <w:t>”</w:t>
      </w:r>
      <w:r>
        <w:t xml:space="preserve"> by Hanes </w:t>
      </w:r>
      <w:r w:rsidR="00FA6583">
        <w:t>[</w:t>
      </w:r>
      <w:r>
        <w:t>1971</w:t>
      </w:r>
      <w:r w:rsidR="00FA6583">
        <w:t>]</w:t>
      </w:r>
      <w:r>
        <w:t xml:space="preserve">). The </w:t>
      </w:r>
      <w:r w:rsidR="0058058C">
        <w:t>fuel is</w:t>
      </w:r>
      <w:r>
        <w:t xml:space="preserve"> drier and more flammable than mesic chaparral. </w:t>
      </w:r>
      <w:r w:rsidR="003C4079" w:rsidRPr="008706E0">
        <w:rPr>
          <w:i/>
        </w:rPr>
        <w:t>Adenostoma fasciculatum</w:t>
      </w:r>
      <w:r w:rsidRPr="008706E0">
        <w:rPr>
          <w:i/>
        </w:rPr>
        <w:t xml:space="preserve"> </w:t>
      </w:r>
      <w:r>
        <w:t>is particularly flammable</w:t>
      </w:r>
      <w:r w:rsidR="00A664FA">
        <w:t>,</w:t>
      </w:r>
      <w:r>
        <w:t xml:space="preserve"> with a large </w:t>
      </w:r>
      <w:r w:rsidR="009005BA">
        <w:t>surface</w:t>
      </w:r>
      <w:r w:rsidR="00FA6583">
        <w:t xml:space="preserve"> </w:t>
      </w:r>
      <w:r w:rsidR="009005BA">
        <w:t>area</w:t>
      </w:r>
      <w:r w:rsidR="00FA6583">
        <w:t>-</w:t>
      </w:r>
      <w:r w:rsidR="009005BA">
        <w:t>to</w:t>
      </w:r>
      <w:r w:rsidR="00FA6583">
        <w:t>-</w:t>
      </w:r>
      <w:r w:rsidR="009005BA">
        <w:t xml:space="preserve">volume ratio. </w:t>
      </w:r>
      <w:r>
        <w:t xml:space="preserve">Mean fire return intervals </w:t>
      </w:r>
      <w:r w:rsidR="00FA6583">
        <w:t xml:space="preserve">(FRIs) </w:t>
      </w:r>
      <w:r>
        <w:t>vary according to species composition and environmental conditions.</w:t>
      </w:r>
      <w:r w:rsidR="007415D2">
        <w:t xml:space="preserve"> </w:t>
      </w:r>
      <w:r>
        <w:t xml:space="preserve">Sediment cores taken from the Santa Barbara Channel in central California dating from the 16th and 17th </w:t>
      </w:r>
      <w:r w:rsidR="0058058C">
        <w:t>centuries indicate</w:t>
      </w:r>
      <w:r>
        <w:t xml:space="preserve"> that large fires burned the Santa Ynez and Santa Lucia </w:t>
      </w:r>
      <w:r w:rsidR="00A664FA">
        <w:t>m</w:t>
      </w:r>
      <w:r>
        <w:t>ountain</w:t>
      </w:r>
      <w:r w:rsidR="00FA6583">
        <w:t>s</w:t>
      </w:r>
      <w:r>
        <w:t xml:space="preserve"> every 40-60yrs. Season of burning may play a role in species composition. The largest fires are often the product of strong offshore winds (such as the Santa Anas in southern C</w:t>
      </w:r>
      <w:r w:rsidR="00FA6583">
        <w:t>alifornia</w:t>
      </w:r>
      <w:r>
        <w:t>).</w:t>
      </w:r>
    </w:p>
    <w:p w:rsidR="00ED34B5" w:rsidRDefault="00ED34B5" w:rsidP="00ED34B5">
      <w:pPr>
        <w:pStyle w:val="InfoPara"/>
      </w:pPr>
      <w:r>
        <w:t>Fire Frequency</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644152">
        <w:tc>
          <w:tcPr>
            <w:tcW w:w="0" w:type="auto"/>
          </w:tcPr>
          <w:p w:rsidR="00644152" w:rsidRDefault="00CC58B0">
            <w:pPr>
              <w:jc w:val="center"/>
            </w:pPr>
            <w:r>
              <w:rPr>
                <w:b/>
                <w:sz w:val="20"/>
              </w:rPr>
              <w:t>Severity</w:t>
            </w:r>
          </w:p>
        </w:tc>
        <w:tc>
          <w:tcPr>
            <w:tcW w:w="0" w:type="auto"/>
          </w:tcPr>
          <w:p w:rsidR="00644152" w:rsidRDefault="00CC58B0">
            <w:pPr>
              <w:jc w:val="center"/>
            </w:pPr>
            <w:r>
              <w:rPr>
                <w:b/>
                <w:sz w:val="20"/>
              </w:rPr>
              <w:t>Avg FI</w:t>
            </w:r>
          </w:p>
        </w:tc>
        <w:tc>
          <w:tcPr>
            <w:tcW w:w="0" w:type="auto"/>
          </w:tcPr>
          <w:p w:rsidR="00644152" w:rsidRDefault="00CC58B0">
            <w:pPr>
              <w:jc w:val="center"/>
            </w:pPr>
            <w:r>
              <w:rPr>
                <w:b/>
                <w:sz w:val="20"/>
              </w:rPr>
              <w:t>Percent of All Fires</w:t>
            </w:r>
          </w:p>
        </w:tc>
        <w:tc>
          <w:tcPr>
            <w:tcW w:w="0" w:type="auto"/>
          </w:tcPr>
          <w:p w:rsidR="00644152" w:rsidRDefault="00CC58B0">
            <w:pPr>
              <w:jc w:val="center"/>
            </w:pPr>
            <w:r>
              <w:rPr>
                <w:b/>
                <w:sz w:val="20"/>
              </w:rPr>
              <w:t>Min FI</w:t>
            </w:r>
          </w:p>
        </w:tc>
        <w:tc>
          <w:tcPr>
            <w:tcW w:w="0" w:type="auto"/>
          </w:tcPr>
          <w:p w:rsidR="00644152" w:rsidRDefault="00CC58B0">
            <w:pPr>
              <w:jc w:val="center"/>
            </w:pPr>
            <w:r>
              <w:rPr>
                <w:b/>
                <w:sz w:val="20"/>
              </w:rPr>
              <w:t>Max FI</w:t>
            </w:r>
          </w:p>
        </w:tc>
      </w:tr>
      <w:tr w:rsidR="00644152">
        <w:tc>
          <w:tcPr>
            <w:tcW w:w="0" w:type="auto"/>
          </w:tcPr>
          <w:p w:rsidR="00644152" w:rsidRDefault="00CC58B0">
            <w:pPr>
              <w:jc w:val="center"/>
            </w:pPr>
            <w:r>
              <w:t>Replacement</w:t>
            </w:r>
          </w:p>
        </w:tc>
        <w:tc>
          <w:tcPr>
            <w:tcW w:w="0" w:type="auto"/>
          </w:tcPr>
          <w:p w:rsidR="00644152" w:rsidRDefault="00CC58B0">
            <w:pPr>
              <w:jc w:val="center"/>
            </w:pPr>
            <w:r>
              <w:t>74</w:t>
            </w:r>
          </w:p>
        </w:tc>
        <w:tc>
          <w:tcPr>
            <w:tcW w:w="0" w:type="auto"/>
          </w:tcPr>
          <w:p w:rsidR="00644152" w:rsidRDefault="00CC58B0">
            <w:pPr>
              <w:jc w:val="center"/>
            </w:pPr>
            <w:r>
              <w:t>100</w:t>
            </w:r>
          </w:p>
        </w:tc>
        <w:tc>
          <w:tcPr>
            <w:tcW w:w="0" w:type="auto"/>
          </w:tcPr>
          <w:p w:rsidR="00644152" w:rsidRDefault="00CC58B0">
            <w:pPr>
              <w:jc w:val="center"/>
            </w:pPr>
            <w:r>
              <w:t>30</w:t>
            </w:r>
          </w:p>
        </w:tc>
        <w:tc>
          <w:tcPr>
            <w:tcW w:w="0" w:type="auto"/>
          </w:tcPr>
          <w:p w:rsidR="00644152" w:rsidRDefault="00CC58B0">
            <w:pPr>
              <w:jc w:val="center"/>
            </w:pPr>
            <w:r>
              <w:t>125</w:t>
            </w:r>
          </w:p>
        </w:tc>
      </w:tr>
      <w:tr w:rsidR="00644152">
        <w:tc>
          <w:tcPr>
            <w:tcW w:w="0" w:type="auto"/>
          </w:tcPr>
          <w:p w:rsidR="00644152" w:rsidRDefault="00CC58B0">
            <w:pPr>
              <w:jc w:val="center"/>
            </w:pPr>
            <w:r>
              <w:t>Moderate (Mixed)</w:t>
            </w:r>
          </w:p>
        </w:tc>
        <w:tc>
          <w:tcPr>
            <w:tcW w:w="0" w:type="auto"/>
          </w:tcPr>
          <w:p w:rsidR="00644152" w:rsidRDefault="00644152">
            <w:pPr>
              <w:jc w:val="center"/>
            </w:pPr>
          </w:p>
        </w:tc>
        <w:tc>
          <w:tcPr>
            <w:tcW w:w="0" w:type="auto"/>
          </w:tcPr>
          <w:p w:rsidR="00644152" w:rsidRDefault="00644152">
            <w:pPr>
              <w:jc w:val="center"/>
            </w:pPr>
          </w:p>
        </w:tc>
        <w:tc>
          <w:tcPr>
            <w:tcW w:w="0" w:type="auto"/>
          </w:tcPr>
          <w:p w:rsidR="00644152" w:rsidRDefault="00644152">
            <w:pPr>
              <w:jc w:val="center"/>
            </w:pPr>
          </w:p>
        </w:tc>
        <w:tc>
          <w:tcPr>
            <w:tcW w:w="0" w:type="auto"/>
          </w:tcPr>
          <w:p w:rsidR="00644152" w:rsidRDefault="00644152">
            <w:pPr>
              <w:jc w:val="center"/>
            </w:pPr>
          </w:p>
        </w:tc>
      </w:tr>
      <w:tr w:rsidR="00644152">
        <w:tc>
          <w:tcPr>
            <w:tcW w:w="0" w:type="auto"/>
          </w:tcPr>
          <w:p w:rsidR="00644152" w:rsidRDefault="00CC58B0">
            <w:pPr>
              <w:jc w:val="center"/>
            </w:pPr>
            <w:r>
              <w:t>Low (Surface)</w:t>
            </w:r>
          </w:p>
        </w:tc>
        <w:tc>
          <w:tcPr>
            <w:tcW w:w="0" w:type="auto"/>
          </w:tcPr>
          <w:p w:rsidR="00644152" w:rsidRDefault="00644152">
            <w:pPr>
              <w:jc w:val="center"/>
            </w:pPr>
          </w:p>
        </w:tc>
        <w:tc>
          <w:tcPr>
            <w:tcW w:w="0" w:type="auto"/>
          </w:tcPr>
          <w:p w:rsidR="00644152" w:rsidRDefault="00644152">
            <w:pPr>
              <w:jc w:val="center"/>
            </w:pPr>
          </w:p>
        </w:tc>
        <w:tc>
          <w:tcPr>
            <w:tcW w:w="0" w:type="auto"/>
          </w:tcPr>
          <w:p w:rsidR="00644152" w:rsidRDefault="00644152">
            <w:pPr>
              <w:jc w:val="center"/>
            </w:pPr>
          </w:p>
        </w:tc>
        <w:tc>
          <w:tcPr>
            <w:tcW w:w="0" w:type="auto"/>
          </w:tcPr>
          <w:p w:rsidR="00644152" w:rsidRDefault="00644152">
            <w:pPr>
              <w:jc w:val="center"/>
            </w:pPr>
          </w:p>
        </w:tc>
      </w:tr>
      <w:tr w:rsidR="00644152">
        <w:tc>
          <w:tcPr>
            <w:tcW w:w="0" w:type="auto"/>
          </w:tcPr>
          <w:p w:rsidR="00644152" w:rsidRDefault="00CC58B0">
            <w:pPr>
              <w:jc w:val="center"/>
            </w:pPr>
            <w:r>
              <w:t>All Fires</w:t>
            </w:r>
          </w:p>
        </w:tc>
        <w:tc>
          <w:tcPr>
            <w:tcW w:w="0" w:type="auto"/>
          </w:tcPr>
          <w:p w:rsidR="00644152" w:rsidRDefault="00CC58B0">
            <w:pPr>
              <w:jc w:val="center"/>
            </w:pPr>
            <w:r>
              <w:t>74</w:t>
            </w:r>
          </w:p>
        </w:tc>
        <w:tc>
          <w:tcPr>
            <w:tcW w:w="0" w:type="auto"/>
          </w:tcPr>
          <w:p w:rsidR="00644152" w:rsidRDefault="00CC58B0">
            <w:pPr>
              <w:jc w:val="center"/>
            </w:pPr>
            <w:r>
              <w:t>100</w:t>
            </w:r>
          </w:p>
        </w:tc>
        <w:tc>
          <w:tcPr>
            <w:tcW w:w="0" w:type="auto"/>
          </w:tcPr>
          <w:p w:rsidR="00644152" w:rsidRDefault="00644152">
            <w:pPr>
              <w:jc w:val="center"/>
            </w:pPr>
          </w:p>
        </w:tc>
        <w:tc>
          <w:tcPr>
            <w:tcW w:w="0" w:type="auto"/>
          </w:tcPr>
          <w:p w:rsidR="00644152" w:rsidRDefault="00644152">
            <w:pPr>
              <w:jc w:val="center"/>
            </w:pPr>
          </w:p>
        </w:tc>
      </w:tr>
    </w:tbl>
    <w:p w:rsidR="00644152" w:rsidRDefault="00CC58B0">
      <w:r>
        <w:rPr>
          <w:sz w:val="16"/>
        </w:rPr>
        <w:t xml:space="preserve">Fire interval is expressed in years for each fire severity class and for all types of fire combined (All Fires). Average FI is the central tendency modeled. </w:t>
      </w:r>
      <w:r>
        <w:rPr>
          <w:sz w:val="16"/>
        </w:rPr>
        <w:t>Percent of all fires is the percent of all fires modeled in that severity class. Minimum and Maximum FIs show the relative range of fire intervals as estimated by model contributors, if known.</w:t>
      </w:r>
    </w:p>
    <w:p w:rsidR="002E5E55" w:rsidRDefault="002E5E55" w:rsidP="002E5E55">
      <w:pPr>
        <w:pStyle w:val="InfoPara"/>
      </w:pPr>
      <w:r>
        <w:t>Scale Description</w:t>
      </w:r>
    </w:p>
    <w:p w:rsidR="002E5E55" w:rsidRDefault="002E5E55" w:rsidP="002E5E55">
      <w:r>
        <w:t xml:space="preserve">Wildfires </w:t>
      </w:r>
      <w:r w:rsidR="00592DEC">
        <w:t>can</w:t>
      </w:r>
      <w:r>
        <w:t xml:space="preserve"> burn </w:t>
      </w:r>
      <w:r w:rsidR="00FA6583">
        <w:t>thousands</w:t>
      </w:r>
      <w:r>
        <w:t xml:space="preserve"> and </w:t>
      </w:r>
      <w:r w:rsidR="00FA6583">
        <w:t>tens of thousands</w:t>
      </w:r>
      <w:r>
        <w:t xml:space="preserve"> of acres</w:t>
      </w:r>
      <w:r w:rsidR="00592DEC">
        <w:t>, especially when driven by Santa Ana winds</w:t>
      </w:r>
      <w:r>
        <w:t>; a small percentage burn</w:t>
      </w:r>
      <w:r w:rsidR="00FA6583">
        <w:t>s</w:t>
      </w:r>
      <w:r>
        <w:t xml:space="preserve"> </w:t>
      </w:r>
      <w:r w:rsidR="00A664FA">
        <w:t>&gt;</w:t>
      </w:r>
      <w:r>
        <w:t>100,000ac.</w:t>
      </w:r>
      <w:r w:rsidR="00FD3888">
        <w:t xml:space="preserve"> </w:t>
      </w:r>
      <w:r w:rsidR="00CF2C94">
        <w:t>In some areas</w:t>
      </w:r>
      <w:r w:rsidR="00FA6583">
        <w:t>,</w:t>
      </w:r>
      <w:r w:rsidR="00CF2C94">
        <w:t xml:space="preserve"> typical fire size may be much smaller. For example, i</w:t>
      </w:r>
      <w:r w:rsidR="00FD3888">
        <w:t xml:space="preserve">n Jackson and Josephine </w:t>
      </w:r>
      <w:r w:rsidR="00A664FA">
        <w:t>c</w:t>
      </w:r>
      <w:r w:rsidR="00FD3888">
        <w:t>ounty chaparral stands, mean area burned was 111ac prior to 1940 (taken as the year of effective fire suppression)</w:t>
      </w:r>
      <w:r w:rsidR="00FA6583">
        <w:t xml:space="preserve"> and</w:t>
      </w:r>
      <w:r w:rsidR="00FD3888">
        <w:t xml:space="preserve"> 57ac </w:t>
      </w:r>
      <w:r w:rsidR="00FA6583">
        <w:t>there</w:t>
      </w:r>
      <w:r w:rsidR="00FD3888">
        <w:t>a</w:t>
      </w:r>
      <w:r w:rsidR="00FA6583">
        <w:t>fter</w:t>
      </w:r>
      <w:r w:rsidR="00FD3888">
        <w:t xml:space="preserve"> (based on fire record maintained by BLM, 1910</w:t>
      </w:r>
      <w:r w:rsidR="00FA6583">
        <w:t>-</w:t>
      </w:r>
      <w:r w:rsidR="00FD3888">
        <w:t xml:space="preserve">2007; </w:t>
      </w:r>
      <w:r w:rsidR="00FA6583">
        <w:t>s</w:t>
      </w:r>
      <w:r w:rsidR="00FD3888">
        <w:t xml:space="preserve">ee Appendix D in Duren </w:t>
      </w:r>
      <w:r w:rsidR="00FA6583">
        <w:t>[</w:t>
      </w:r>
      <w:r w:rsidR="00FD3888">
        <w:t>2009</w:t>
      </w:r>
      <w:r w:rsidR="00FA6583">
        <w:t>]</w:t>
      </w:r>
      <w:r w:rsidR="00FD3888">
        <w:t>).</w:t>
      </w:r>
    </w:p>
    <w:p w:rsidR="002E5E55" w:rsidRDefault="002E5E55" w:rsidP="002E5E55">
      <w:pPr>
        <w:pStyle w:val="InfoPara"/>
      </w:pPr>
      <w:r>
        <w:t>Adjacency or Identification Concerns</w:t>
      </w:r>
    </w:p>
    <w:p w:rsidR="00FB15AA" w:rsidRPr="00FB15AA" w:rsidRDefault="002E5E55" w:rsidP="00FB15AA">
      <w:pPr>
        <w:pStyle w:val="HTMLPreformatted"/>
        <w:rPr>
          <w:rFonts w:ascii="Times New Roman" w:hAnsi="Times New Roman" w:cs="Times New Roman"/>
          <w:color w:val="000000"/>
          <w:sz w:val="24"/>
          <w:szCs w:val="24"/>
        </w:rPr>
      </w:pPr>
      <w:r w:rsidRPr="00FB15AA">
        <w:rPr>
          <w:rFonts w:ascii="Times New Roman" w:hAnsi="Times New Roman" w:cs="Times New Roman"/>
          <w:sz w:val="24"/>
          <w:szCs w:val="24"/>
        </w:rPr>
        <w:t>In northern C</w:t>
      </w:r>
      <w:r w:rsidR="00FA6583" w:rsidRPr="00FB15AA">
        <w:rPr>
          <w:rFonts w:ascii="Times New Roman" w:hAnsi="Times New Roman" w:cs="Times New Roman"/>
          <w:sz w:val="24"/>
          <w:szCs w:val="24"/>
        </w:rPr>
        <w:t>alifornia</w:t>
      </w:r>
      <w:r w:rsidRPr="00FB15AA">
        <w:rPr>
          <w:rFonts w:ascii="Times New Roman" w:hAnsi="Times New Roman" w:cs="Times New Roman"/>
          <w:sz w:val="24"/>
          <w:szCs w:val="24"/>
        </w:rPr>
        <w:t>, chaparral can merge</w:t>
      </w:r>
      <w:r w:rsidR="00FB15AA" w:rsidRPr="00FB15AA">
        <w:rPr>
          <w:rFonts w:ascii="Times New Roman" w:hAnsi="Times New Roman" w:cs="Times New Roman"/>
          <w:sz w:val="24"/>
          <w:szCs w:val="24"/>
        </w:rPr>
        <w:t xml:space="preserve"> with annual grass and </w:t>
      </w:r>
      <w:bookmarkStart w:id="0" w:name="_Hlk508277608"/>
      <w:r w:rsidR="00FB15AA" w:rsidRPr="00FB15AA">
        <w:rPr>
          <w:rFonts w:ascii="Times New Roman" w:hAnsi="Times New Roman" w:cs="Times New Roman"/>
          <w:sz w:val="24"/>
          <w:szCs w:val="24"/>
        </w:rPr>
        <w:t xml:space="preserve">blue oak-gray </w:t>
      </w:r>
      <w:r w:rsidRPr="00FB15AA">
        <w:rPr>
          <w:rFonts w:ascii="Times New Roman" w:hAnsi="Times New Roman" w:cs="Times New Roman"/>
          <w:sz w:val="24"/>
          <w:szCs w:val="24"/>
        </w:rPr>
        <w:t xml:space="preserve">pine </w:t>
      </w:r>
      <w:r w:rsidR="00FB15AA" w:rsidRPr="00FB15AA">
        <w:rPr>
          <w:rFonts w:ascii="Times New Roman" w:hAnsi="Times New Roman" w:cs="Times New Roman"/>
          <w:sz w:val="24"/>
          <w:szCs w:val="24"/>
        </w:rPr>
        <w:t>(</w:t>
      </w:r>
      <w:r w:rsidR="00FB15AA" w:rsidRPr="00FB15AA">
        <w:rPr>
          <w:rFonts w:ascii="Times New Roman" w:hAnsi="Times New Roman" w:cs="Times New Roman"/>
          <w:color w:val="000000"/>
          <w:sz w:val="24"/>
          <w:szCs w:val="24"/>
        </w:rPr>
        <w:t>Pinus</w:t>
      </w:r>
    </w:p>
    <w:p w:rsidR="002E5E55" w:rsidRPr="00FB15AA" w:rsidRDefault="00FB15AA" w:rsidP="00FB15AA">
      <w:pPr>
        <w:pStyle w:val="HTMLPreformatted"/>
        <w:rPr>
          <w:rFonts w:ascii="Times New Roman" w:hAnsi="Times New Roman" w:cs="Times New Roman"/>
          <w:color w:val="000000"/>
          <w:sz w:val="24"/>
          <w:szCs w:val="24"/>
        </w:rPr>
      </w:pPr>
      <w:r w:rsidRPr="00FB15AA">
        <w:rPr>
          <w:rFonts w:ascii="Times New Roman" w:hAnsi="Times New Roman" w:cs="Times New Roman"/>
          <w:color w:val="000000"/>
          <w:sz w:val="24"/>
          <w:szCs w:val="24"/>
        </w:rPr>
        <w:t>Sabiniana)</w:t>
      </w:r>
      <w:bookmarkEnd w:id="0"/>
      <w:r w:rsidRPr="00FB15AA">
        <w:rPr>
          <w:rFonts w:ascii="Times New Roman" w:hAnsi="Times New Roman" w:cs="Times New Roman"/>
          <w:color w:val="000000"/>
          <w:sz w:val="24"/>
          <w:szCs w:val="24"/>
        </w:rPr>
        <w:t xml:space="preserve"> </w:t>
      </w:r>
      <w:r w:rsidR="002E5E55" w:rsidRPr="00FB15AA">
        <w:rPr>
          <w:rFonts w:ascii="Times New Roman" w:hAnsi="Times New Roman" w:cs="Times New Roman"/>
          <w:sz w:val="24"/>
          <w:szCs w:val="24"/>
        </w:rPr>
        <w:t>at lower elevations, and with coastal oak, ponderosa pine, or mixed</w:t>
      </w:r>
      <w:r w:rsidR="00FA6583" w:rsidRPr="00FB15AA">
        <w:rPr>
          <w:rFonts w:ascii="Times New Roman" w:hAnsi="Times New Roman" w:cs="Times New Roman"/>
          <w:sz w:val="24"/>
          <w:szCs w:val="24"/>
        </w:rPr>
        <w:t>-</w:t>
      </w:r>
      <w:r w:rsidR="002E5E55" w:rsidRPr="00FB15AA">
        <w:rPr>
          <w:rFonts w:ascii="Times New Roman" w:hAnsi="Times New Roman" w:cs="Times New Roman"/>
          <w:sz w:val="24"/>
          <w:szCs w:val="24"/>
        </w:rPr>
        <w:t>conifer forest types at higher elevations. In the central coastal regions of C</w:t>
      </w:r>
      <w:r w:rsidR="00FA6583" w:rsidRPr="00FB15AA">
        <w:rPr>
          <w:rFonts w:ascii="Times New Roman" w:hAnsi="Times New Roman" w:cs="Times New Roman"/>
          <w:sz w:val="24"/>
          <w:szCs w:val="24"/>
        </w:rPr>
        <w:t>alifornia</w:t>
      </w:r>
      <w:r w:rsidR="002E5E55" w:rsidRPr="00FB15AA">
        <w:rPr>
          <w:rFonts w:ascii="Times New Roman" w:hAnsi="Times New Roman" w:cs="Times New Roman"/>
          <w:sz w:val="24"/>
          <w:szCs w:val="24"/>
        </w:rPr>
        <w:t>, chaparral forms a patchwork with grassland, coastal sage scrub, and broadleaf and coniferous forest</w:t>
      </w:r>
      <w:r w:rsidR="00FA6583" w:rsidRPr="00FB15AA">
        <w:rPr>
          <w:rFonts w:ascii="Times New Roman" w:hAnsi="Times New Roman" w:cs="Times New Roman"/>
          <w:sz w:val="24"/>
          <w:szCs w:val="24"/>
        </w:rPr>
        <w:t>s</w:t>
      </w:r>
      <w:r w:rsidR="002E5E55" w:rsidRPr="00FB15AA">
        <w:rPr>
          <w:rFonts w:ascii="Times New Roman" w:hAnsi="Times New Roman" w:cs="Times New Roman"/>
          <w:sz w:val="24"/>
          <w:szCs w:val="24"/>
        </w:rPr>
        <w:t>.</w:t>
      </w:r>
    </w:p>
    <w:p w:rsidR="002E5E55" w:rsidRDefault="002E5E55" w:rsidP="002E5E55"/>
    <w:p w:rsidR="002E5E55" w:rsidRDefault="002E5E55" w:rsidP="002E5E55">
      <w:pPr>
        <w:pStyle w:val="InfoPara"/>
      </w:pPr>
      <w:r>
        <w:t>Issues or Problems</w:t>
      </w:r>
    </w:p>
    <w:p w:rsidR="00FD3888" w:rsidRDefault="002E5E55" w:rsidP="002E5E55">
      <w:r>
        <w:t>Due to the length of time required to replenish seed</w:t>
      </w:r>
      <w:r w:rsidR="00686CF3">
        <w:t xml:space="preserve"> </w:t>
      </w:r>
      <w:r>
        <w:t>banks, obligate seeders are sensitive to repeat fires (FRI</w:t>
      </w:r>
      <w:r w:rsidR="00686CF3">
        <w:t xml:space="preserve"> </w:t>
      </w:r>
      <w:r w:rsidR="00A664FA">
        <w:t>of</w:t>
      </w:r>
      <w:r>
        <w:t xml:space="preserve"> 5-12yrs). With increasing fire frequency from human ignitions and the presence of exotic annual grasses, there is a potential for widespread type conversi</w:t>
      </w:r>
      <w:r w:rsidR="003C4079">
        <w:t>on of shrublands to grasslands</w:t>
      </w:r>
      <w:r w:rsidR="00686CF3">
        <w:t>.</w:t>
      </w:r>
      <w:r w:rsidR="003C4079">
        <w:t xml:space="preserve"> </w:t>
      </w:r>
      <w:r w:rsidR="00686CF3">
        <w:t>A</w:t>
      </w:r>
      <w:r w:rsidR="003C4079">
        <w:t>ccording to Halsey (pers</w:t>
      </w:r>
      <w:r w:rsidR="00686CF3">
        <w:t>.</w:t>
      </w:r>
      <w:r w:rsidR="003C4079">
        <w:t xml:space="preserve"> comm</w:t>
      </w:r>
      <w:r w:rsidR="00686CF3">
        <w:t>.</w:t>
      </w:r>
      <w:r w:rsidR="003C4079">
        <w:t>)</w:t>
      </w:r>
      <w:r w:rsidR="00686CF3">
        <w:t>,</w:t>
      </w:r>
      <w:r w:rsidR="003C4079">
        <w:t xml:space="preserve"> there has already been much type conversion of this </w:t>
      </w:r>
      <w:r w:rsidR="00686CF3">
        <w:t>biophysical setting (BpS)</w:t>
      </w:r>
      <w:r w:rsidR="003C4079">
        <w:t xml:space="preserve">. </w:t>
      </w:r>
      <w:r w:rsidR="00592DEC">
        <w:t xml:space="preserve">In southern </w:t>
      </w:r>
      <w:r w:rsidR="00686CF3">
        <w:t>California,</w:t>
      </w:r>
      <w:r w:rsidR="00592DEC">
        <w:t xml:space="preserve"> </w:t>
      </w:r>
      <w:r>
        <w:t>exotic grasses (</w:t>
      </w:r>
      <w:r w:rsidRPr="008706E0">
        <w:rPr>
          <w:i/>
        </w:rPr>
        <w:t>Avena</w:t>
      </w:r>
      <w:r>
        <w:t xml:space="preserve"> spp. and </w:t>
      </w:r>
      <w:r w:rsidRPr="008706E0">
        <w:rPr>
          <w:i/>
        </w:rPr>
        <w:t>Bromus</w:t>
      </w:r>
      <w:r>
        <w:t xml:space="preserve"> spp.) can sustain very high fire frequency and </w:t>
      </w:r>
      <w:r w:rsidR="00A664FA">
        <w:t xml:space="preserve">can </w:t>
      </w:r>
      <w:r>
        <w:t>promote fire, thereby causing a positive feedback cycle of increasing fire frequency.</w:t>
      </w:r>
      <w:r w:rsidR="003C4079">
        <w:t xml:space="preserve"> However, i</w:t>
      </w:r>
      <w:r w:rsidR="00592DEC">
        <w:t>n the Klamath M</w:t>
      </w:r>
      <w:r w:rsidR="00686CF3">
        <w:t>ountains</w:t>
      </w:r>
      <w:r w:rsidR="00A664FA">
        <w:t>,</w:t>
      </w:r>
      <w:r w:rsidR="00592DEC">
        <w:t xml:space="preserve"> f</w:t>
      </w:r>
      <w:r w:rsidR="00FD3888">
        <w:t>ire frequency in chaparral (as well as in landscape as a whole) appears to have been reduced since 1940 (based on fire record</w:t>
      </w:r>
      <w:r w:rsidR="00686CF3">
        <w:t>s</w:t>
      </w:r>
      <w:r w:rsidR="00FD3888">
        <w:t xml:space="preserve"> maintained by BLM, 1910</w:t>
      </w:r>
      <w:r w:rsidR="00686CF3">
        <w:t>-</w:t>
      </w:r>
      <w:r w:rsidR="00FD3888">
        <w:t xml:space="preserve">2007; </w:t>
      </w:r>
      <w:r w:rsidR="00686CF3">
        <w:t>s</w:t>
      </w:r>
      <w:r w:rsidR="00FD3888">
        <w:t xml:space="preserve">ee Appendix D in Duren </w:t>
      </w:r>
      <w:r w:rsidR="00686CF3">
        <w:t>[</w:t>
      </w:r>
      <w:r w:rsidR="00FD3888">
        <w:t>2009</w:t>
      </w:r>
      <w:r w:rsidR="00686CF3">
        <w:t>]</w:t>
      </w:r>
      <w:r w:rsidR="00FD3888">
        <w:t>).</w:t>
      </w:r>
    </w:p>
    <w:p w:rsidR="00CF2C94" w:rsidRPr="003D2324" w:rsidRDefault="00CF2C94" w:rsidP="002E5E55"/>
    <w:p w:rsidR="00CF2C94" w:rsidRPr="00592DEC" w:rsidRDefault="00CF2C94" w:rsidP="00CF2C94">
      <w:pPr>
        <w:pStyle w:val="CommentText"/>
        <w:rPr>
          <w:sz w:val="24"/>
          <w:szCs w:val="24"/>
        </w:rPr>
      </w:pPr>
      <w:r w:rsidRPr="00592DEC">
        <w:rPr>
          <w:sz w:val="24"/>
          <w:szCs w:val="24"/>
        </w:rPr>
        <w:t xml:space="preserve">In some areas, a more pressing issue may be fuels management. </w:t>
      </w:r>
      <w:r w:rsidR="003D2324" w:rsidRPr="00592DEC">
        <w:rPr>
          <w:sz w:val="24"/>
          <w:szCs w:val="24"/>
        </w:rPr>
        <w:t>P</w:t>
      </w:r>
      <w:r w:rsidRPr="00592DEC">
        <w:rPr>
          <w:sz w:val="24"/>
          <w:szCs w:val="24"/>
        </w:rPr>
        <w:t>rescriptions that greatly reduce chaparral canopy cover degrade stands ecologically</w:t>
      </w:r>
      <w:r w:rsidR="00686CF3">
        <w:rPr>
          <w:sz w:val="24"/>
          <w:szCs w:val="24"/>
        </w:rPr>
        <w:t>.</w:t>
      </w:r>
      <w:r w:rsidRPr="00592DEC">
        <w:rPr>
          <w:sz w:val="24"/>
          <w:szCs w:val="24"/>
        </w:rPr>
        <w:t xml:space="preserve"> </w:t>
      </w:r>
      <w:r w:rsidR="00686CF3">
        <w:rPr>
          <w:sz w:val="24"/>
          <w:szCs w:val="24"/>
        </w:rPr>
        <w:t>O</w:t>
      </w:r>
      <w:r w:rsidRPr="00592DEC">
        <w:rPr>
          <w:sz w:val="24"/>
          <w:szCs w:val="24"/>
        </w:rPr>
        <w:t>bligate-seeding species recruitm</w:t>
      </w:r>
      <w:r w:rsidR="00D34FCA" w:rsidRPr="00D34FCA">
        <w:rPr>
          <w:sz w:val="24"/>
          <w:szCs w:val="24"/>
        </w:rPr>
        <w:t>ent after treatment is 10-100</w:t>
      </w:r>
      <w:r w:rsidR="00686CF3">
        <w:rPr>
          <w:sz w:val="24"/>
          <w:szCs w:val="24"/>
        </w:rPr>
        <w:t>+</w:t>
      </w:r>
      <w:r w:rsidR="00D34FCA">
        <w:rPr>
          <w:sz w:val="24"/>
          <w:szCs w:val="24"/>
        </w:rPr>
        <w:t xml:space="preserve"> times</w:t>
      </w:r>
      <w:r w:rsidRPr="00592DEC">
        <w:rPr>
          <w:sz w:val="24"/>
          <w:szCs w:val="24"/>
        </w:rPr>
        <w:t xml:space="preserve"> lower than after fire, and non-native annuals invade (Duren and Muir 2010).</w:t>
      </w:r>
    </w:p>
    <w:p w:rsidR="00CF2C94" w:rsidRDefault="00CF2C94" w:rsidP="002E5E55"/>
    <w:p w:rsidR="002E5E55" w:rsidRDefault="002E5E55" w:rsidP="002E5E55">
      <w:pPr>
        <w:pStyle w:val="InfoPara"/>
      </w:pPr>
      <w:r>
        <w:t>Native Uncharacteristic Conditions</w:t>
      </w:r>
    </w:p>
    <w:p w:rsidR="002E5E55" w:rsidRDefault="0058058C" w:rsidP="002E5E55">
      <w:r>
        <w:t>The b</w:t>
      </w:r>
      <w:r w:rsidR="002E5E55">
        <w:t>iggest issue</w:t>
      </w:r>
      <w:r>
        <w:t>s in this BpS are</w:t>
      </w:r>
      <w:r w:rsidR="002E5E55">
        <w:t xml:space="preserve"> exotic annual grasses and type conversion of shrublands under repeated fires</w:t>
      </w:r>
      <w:r w:rsidR="00CF2C94">
        <w:t xml:space="preserve"> and fuel treatments</w:t>
      </w:r>
      <w:r w:rsidR="002E5E55">
        <w:t>.</w:t>
      </w:r>
    </w:p>
    <w:p w:rsidR="002E5E55" w:rsidRDefault="002E5E55" w:rsidP="002E5E55">
      <w:pPr>
        <w:pStyle w:val="InfoPara"/>
      </w:pPr>
      <w:r>
        <w:t>Comments</w:t>
      </w:r>
    </w:p>
    <w:p w:rsidR="00592DEC" w:rsidRDefault="00592DEC" w:rsidP="00592DEC">
      <w:pPr>
        <w:pStyle w:val="InfoPara"/>
        <w:rPr>
          <w:b w:val="0"/>
        </w:rPr>
      </w:pPr>
      <w:r>
        <w:rPr>
          <w:b w:val="0"/>
        </w:rPr>
        <w:t>During the 2016 model review period</w:t>
      </w:r>
      <w:r w:rsidR="00686CF3">
        <w:rPr>
          <w:b w:val="0"/>
        </w:rPr>
        <w:t>,</w:t>
      </w:r>
      <w:r>
        <w:rPr>
          <w:b w:val="0"/>
        </w:rPr>
        <w:t xml:space="preserve"> this model was r</w:t>
      </w:r>
      <w:r w:rsidRPr="00F04DF8">
        <w:rPr>
          <w:b w:val="0"/>
        </w:rPr>
        <w:t>eviewed</w:t>
      </w:r>
      <w:r>
        <w:rPr>
          <w:b w:val="0"/>
        </w:rPr>
        <w:t xml:space="preserve"> and descriptive changes made</w:t>
      </w:r>
      <w:r w:rsidRPr="00F04DF8">
        <w:rPr>
          <w:b w:val="0"/>
        </w:rPr>
        <w:t xml:space="preserve"> by Olivia Duren </w:t>
      </w:r>
      <w:r w:rsidR="00686CF3">
        <w:rPr>
          <w:b w:val="0"/>
        </w:rPr>
        <w:t>(</w:t>
      </w:r>
      <w:r w:rsidRPr="000A4321">
        <w:rPr>
          <w:b w:val="0"/>
        </w:rPr>
        <w:t>olivia@thefreshwatertrust.org</w:t>
      </w:r>
      <w:r w:rsidR="00686CF3">
        <w:rPr>
          <w:b w:val="0"/>
        </w:rPr>
        <w:t>)</w:t>
      </w:r>
      <w:r>
        <w:rPr>
          <w:b w:val="0"/>
        </w:rPr>
        <w:t xml:space="preserve">. </w:t>
      </w:r>
      <w:r w:rsidR="0058058C">
        <w:rPr>
          <w:b w:val="0"/>
        </w:rPr>
        <w:t xml:space="preserve">Keith Perchemlides (The Nature Conservancy) provided information used to define </w:t>
      </w:r>
      <w:r w:rsidR="00434F3F">
        <w:rPr>
          <w:b w:val="0"/>
        </w:rPr>
        <w:t>succession</w:t>
      </w:r>
      <w:r w:rsidR="0058058C">
        <w:rPr>
          <w:b w:val="0"/>
        </w:rPr>
        <w:t xml:space="preserve"> class mapping rules. </w:t>
      </w:r>
      <w:r w:rsidR="002225EE">
        <w:rPr>
          <w:b w:val="0"/>
        </w:rPr>
        <w:t xml:space="preserve">During the review, there was discussion about the applicability of this model further south in CA especially to the southern extent of the Sierra Nevada (map zone 6). Future review should consider this issue. </w:t>
      </w:r>
    </w:p>
    <w:p w:rsidR="002E5E55" w:rsidRDefault="002E5E55" w:rsidP="002E5E55">
      <w:pPr>
        <w:pStyle w:val="ReportSection"/>
      </w:pPr>
      <w:r>
        <w:t>Succession Classes</w:t>
      </w:r>
    </w:p>
    <w:p w:rsidR="002E5E55" w:rsidRDefault="002E5E55" w:rsidP="002E5E55"/>
    <w:p w:rsidR="00644152" w:rsidRDefault="00CC58B0">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6"/>
        <w:gridCol w:w="910"/>
        <w:gridCol w:w="810"/>
        <w:gridCol w:w="723"/>
        <w:gridCol w:w="723"/>
        <w:gridCol w:w="723"/>
        <w:gridCol w:w="718"/>
        <w:gridCol w:w="723"/>
        <w:gridCol w:w="723"/>
        <w:gridCol w:w="723"/>
        <w:gridCol w:w="723"/>
        <w:gridCol w:w="725"/>
      </w:tblGrid>
      <w:tr w:rsidR="00644152">
        <w:tc>
          <w:tcPr>
            <w:tcW w:w="1041" w:type="dxa"/>
            <w:vMerge w:val="restart"/>
            <w:vAlign w:val="bottom"/>
          </w:tcPr>
          <w:p w:rsidR="00F43331" w:rsidRPr="00F43331" w:rsidRDefault="00CC58B0" w:rsidP="00F43331">
            <w:pPr>
              <w:jc w:val="center"/>
              <w:rPr>
                <w:b/>
              </w:rPr>
            </w:pPr>
            <w:r w:rsidRPr="00F43331">
              <w:rPr>
                <w:b/>
              </w:rPr>
              <w:t>Upper Layer Lifeform</w:t>
            </w:r>
          </w:p>
        </w:tc>
        <w:tc>
          <w:tcPr>
            <w:tcW w:w="861" w:type="dxa"/>
            <w:vMerge w:val="restart"/>
            <w:vAlign w:val="bottom"/>
          </w:tcPr>
          <w:p w:rsidR="00F43331" w:rsidRPr="00F43331" w:rsidRDefault="00CC58B0" w:rsidP="00F43331">
            <w:pPr>
              <w:jc w:val="center"/>
              <w:rPr>
                <w:b/>
              </w:rPr>
            </w:pPr>
            <w:r w:rsidRPr="00F43331">
              <w:rPr>
                <w:b/>
              </w:rPr>
              <w:t>Height (m)</w:t>
            </w:r>
          </w:p>
        </w:tc>
        <w:tc>
          <w:tcPr>
            <w:tcW w:w="7448" w:type="dxa"/>
            <w:gridSpan w:val="10"/>
            <w:vAlign w:val="bottom"/>
          </w:tcPr>
          <w:p w:rsidR="00F43331" w:rsidRPr="00F43331" w:rsidRDefault="00CC58B0" w:rsidP="00F43331">
            <w:pPr>
              <w:jc w:val="center"/>
              <w:rPr>
                <w:b/>
              </w:rPr>
            </w:pPr>
            <w:r w:rsidRPr="00F43331">
              <w:rPr>
                <w:b/>
              </w:rPr>
              <w:t>Canopy Cover (%)</w:t>
            </w:r>
          </w:p>
        </w:tc>
      </w:tr>
      <w:tr w:rsidR="00644152">
        <w:tc>
          <w:tcPr>
            <w:tcW w:w="1041" w:type="dxa"/>
            <w:vMerge/>
          </w:tcPr>
          <w:p w:rsidR="00F43331" w:rsidRDefault="00CC58B0"/>
        </w:tc>
        <w:tc>
          <w:tcPr>
            <w:tcW w:w="861" w:type="dxa"/>
            <w:vMerge/>
          </w:tcPr>
          <w:p w:rsidR="00F43331" w:rsidRDefault="00CC58B0"/>
        </w:tc>
        <w:tc>
          <w:tcPr>
            <w:tcW w:w="833" w:type="dxa"/>
          </w:tcPr>
          <w:p w:rsidR="00F43331" w:rsidRDefault="00CC58B0">
            <w:r>
              <w:rPr>
                <w:b/>
              </w:rPr>
              <w:t>0-10</w:t>
            </w:r>
          </w:p>
        </w:tc>
        <w:tc>
          <w:tcPr>
            <w:tcW w:w="735" w:type="dxa"/>
          </w:tcPr>
          <w:p w:rsidR="00F43331" w:rsidRDefault="00CC58B0">
            <w:r>
              <w:rPr>
                <w:b/>
              </w:rPr>
              <w:t>11-20</w:t>
            </w:r>
          </w:p>
        </w:tc>
        <w:tc>
          <w:tcPr>
            <w:tcW w:w="735" w:type="dxa"/>
          </w:tcPr>
          <w:p w:rsidR="00F43331" w:rsidRDefault="00CC58B0">
            <w:r>
              <w:rPr>
                <w:b/>
              </w:rPr>
              <w:t>21-30</w:t>
            </w:r>
          </w:p>
        </w:tc>
        <w:tc>
          <w:tcPr>
            <w:tcW w:w="735" w:type="dxa"/>
          </w:tcPr>
          <w:p w:rsidR="00F43331" w:rsidRDefault="00CC58B0">
            <w:r>
              <w:rPr>
                <w:b/>
              </w:rPr>
              <w:t>31-40</w:t>
            </w:r>
          </w:p>
        </w:tc>
        <w:tc>
          <w:tcPr>
            <w:tcW w:w="735" w:type="dxa"/>
          </w:tcPr>
          <w:p w:rsidR="00F43331" w:rsidRDefault="00CC58B0">
            <w:r>
              <w:rPr>
                <w:b/>
              </w:rPr>
              <w:t>41 - 50</w:t>
            </w:r>
          </w:p>
        </w:tc>
        <w:tc>
          <w:tcPr>
            <w:tcW w:w="735" w:type="dxa"/>
          </w:tcPr>
          <w:p w:rsidR="00F43331" w:rsidRDefault="00CC58B0">
            <w:r>
              <w:rPr>
                <w:b/>
              </w:rPr>
              <w:t>51-60</w:t>
            </w:r>
          </w:p>
        </w:tc>
        <w:tc>
          <w:tcPr>
            <w:tcW w:w="735" w:type="dxa"/>
          </w:tcPr>
          <w:p w:rsidR="00F43331" w:rsidRDefault="00CC58B0">
            <w:r>
              <w:rPr>
                <w:b/>
              </w:rPr>
              <w:t>61-70</w:t>
            </w:r>
          </w:p>
        </w:tc>
        <w:tc>
          <w:tcPr>
            <w:tcW w:w="735" w:type="dxa"/>
          </w:tcPr>
          <w:p w:rsidR="00F43331" w:rsidRDefault="00CC58B0">
            <w:r>
              <w:rPr>
                <w:b/>
              </w:rPr>
              <w:t>71-80</w:t>
            </w:r>
          </w:p>
        </w:tc>
        <w:tc>
          <w:tcPr>
            <w:tcW w:w="735" w:type="dxa"/>
          </w:tcPr>
          <w:p w:rsidR="00F43331" w:rsidRDefault="00CC58B0">
            <w:r>
              <w:rPr>
                <w:b/>
              </w:rPr>
              <w:t>81-90</w:t>
            </w:r>
          </w:p>
        </w:tc>
        <w:tc>
          <w:tcPr>
            <w:tcW w:w="735" w:type="dxa"/>
          </w:tcPr>
          <w:p w:rsidR="00F43331" w:rsidRDefault="00CC58B0">
            <w:r>
              <w:rPr>
                <w:b/>
              </w:rPr>
              <w:t>91-100</w:t>
            </w:r>
          </w:p>
        </w:tc>
      </w:tr>
      <w:tr w:rsidR="00644152">
        <w:tc>
          <w:tcPr>
            <w:tcW w:w="0" w:type="auto"/>
          </w:tcPr>
          <w:p w:rsidR="00644152" w:rsidRDefault="00CC58B0">
            <w:pPr>
              <w:jc w:val="center"/>
            </w:pPr>
            <w:r>
              <w:rPr>
                <w:sz w:val="20"/>
              </w:rPr>
              <w:t>Herb</w:t>
            </w:r>
          </w:p>
        </w:tc>
        <w:tc>
          <w:tcPr>
            <w:tcW w:w="0" w:type="auto"/>
          </w:tcPr>
          <w:p w:rsidR="00644152" w:rsidRDefault="00CC58B0">
            <w:pPr>
              <w:jc w:val="center"/>
            </w:pPr>
            <w:r>
              <w:rPr>
                <w:sz w:val="20"/>
              </w:rPr>
              <w:t>0-0.5</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r>
      <w:tr w:rsidR="00644152">
        <w:tc>
          <w:tcPr>
            <w:tcW w:w="0" w:type="auto"/>
          </w:tcPr>
          <w:p w:rsidR="00644152" w:rsidRDefault="00CC58B0">
            <w:pPr>
              <w:jc w:val="center"/>
            </w:pPr>
            <w:r>
              <w:rPr>
                <w:sz w:val="20"/>
              </w:rPr>
              <w:t>Herb</w:t>
            </w:r>
          </w:p>
        </w:tc>
        <w:tc>
          <w:tcPr>
            <w:tcW w:w="0" w:type="auto"/>
          </w:tcPr>
          <w:p w:rsidR="00644152" w:rsidRDefault="00CC58B0">
            <w:pPr>
              <w:jc w:val="center"/>
            </w:pPr>
            <w:r>
              <w:rPr>
                <w:sz w:val="20"/>
              </w:rPr>
              <w:t>0.5-1.0</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r>
      <w:tr w:rsidR="00644152">
        <w:tc>
          <w:tcPr>
            <w:tcW w:w="0" w:type="auto"/>
          </w:tcPr>
          <w:p w:rsidR="00644152" w:rsidRDefault="00CC58B0">
            <w:pPr>
              <w:jc w:val="center"/>
            </w:pPr>
            <w:r>
              <w:rPr>
                <w:sz w:val="20"/>
              </w:rPr>
              <w:t>Herb</w:t>
            </w:r>
          </w:p>
        </w:tc>
        <w:tc>
          <w:tcPr>
            <w:tcW w:w="0" w:type="auto"/>
          </w:tcPr>
          <w:p w:rsidR="00644152" w:rsidRDefault="00CC58B0">
            <w:pPr>
              <w:jc w:val="center"/>
            </w:pPr>
            <w:r>
              <w:rPr>
                <w:sz w:val="20"/>
              </w:rPr>
              <w:t>&gt;1.0</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r>
      <w:tr w:rsidR="00644152">
        <w:tc>
          <w:tcPr>
            <w:tcW w:w="0" w:type="auto"/>
          </w:tcPr>
          <w:p w:rsidR="00644152" w:rsidRDefault="00CC58B0">
            <w:pPr>
              <w:jc w:val="center"/>
            </w:pPr>
            <w:r>
              <w:rPr>
                <w:sz w:val="20"/>
              </w:rPr>
              <w:t>Shrub</w:t>
            </w:r>
          </w:p>
        </w:tc>
        <w:tc>
          <w:tcPr>
            <w:tcW w:w="0" w:type="auto"/>
          </w:tcPr>
          <w:p w:rsidR="00644152" w:rsidRDefault="00CC58B0">
            <w:pPr>
              <w:jc w:val="center"/>
            </w:pPr>
            <w:r>
              <w:rPr>
                <w:sz w:val="20"/>
              </w:rPr>
              <w:t>0-0.5</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r>
      <w:tr w:rsidR="00644152">
        <w:tc>
          <w:tcPr>
            <w:tcW w:w="0" w:type="auto"/>
          </w:tcPr>
          <w:p w:rsidR="00644152" w:rsidRDefault="00CC58B0">
            <w:pPr>
              <w:jc w:val="center"/>
            </w:pPr>
            <w:r>
              <w:rPr>
                <w:sz w:val="20"/>
              </w:rPr>
              <w:t>Shrub</w:t>
            </w:r>
          </w:p>
        </w:tc>
        <w:tc>
          <w:tcPr>
            <w:tcW w:w="0" w:type="auto"/>
          </w:tcPr>
          <w:p w:rsidR="00644152" w:rsidRDefault="00CC58B0">
            <w:pPr>
              <w:jc w:val="center"/>
            </w:pPr>
            <w:r>
              <w:rPr>
                <w:sz w:val="20"/>
              </w:rPr>
              <w:t>0.5-1.0</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r>
      <w:tr w:rsidR="00644152">
        <w:tc>
          <w:tcPr>
            <w:tcW w:w="0" w:type="auto"/>
          </w:tcPr>
          <w:p w:rsidR="00644152" w:rsidRDefault="00CC58B0">
            <w:pPr>
              <w:jc w:val="center"/>
            </w:pPr>
            <w:r>
              <w:rPr>
                <w:sz w:val="20"/>
              </w:rPr>
              <w:t>Shrub</w:t>
            </w:r>
          </w:p>
        </w:tc>
        <w:tc>
          <w:tcPr>
            <w:tcW w:w="0" w:type="auto"/>
          </w:tcPr>
          <w:p w:rsidR="00644152" w:rsidRDefault="00CC58B0">
            <w:pPr>
              <w:jc w:val="center"/>
            </w:pPr>
            <w:r>
              <w:rPr>
                <w:sz w:val="20"/>
              </w:rPr>
              <w:t>1.0-3.0</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r>
      <w:tr w:rsidR="00644152">
        <w:tc>
          <w:tcPr>
            <w:tcW w:w="0" w:type="auto"/>
          </w:tcPr>
          <w:p w:rsidR="00644152" w:rsidRDefault="00CC58B0">
            <w:pPr>
              <w:jc w:val="center"/>
            </w:pPr>
            <w:r>
              <w:rPr>
                <w:sz w:val="20"/>
              </w:rPr>
              <w:t>Shrub</w:t>
            </w:r>
          </w:p>
        </w:tc>
        <w:tc>
          <w:tcPr>
            <w:tcW w:w="0" w:type="auto"/>
          </w:tcPr>
          <w:p w:rsidR="00644152" w:rsidRDefault="00CC58B0">
            <w:pPr>
              <w:jc w:val="center"/>
            </w:pPr>
            <w:r>
              <w:rPr>
                <w:sz w:val="20"/>
              </w:rPr>
              <w:t>&gt;3.0</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A</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r>
      <w:tr w:rsidR="00644152">
        <w:tc>
          <w:tcPr>
            <w:tcW w:w="0" w:type="auto"/>
          </w:tcPr>
          <w:p w:rsidR="00644152" w:rsidRDefault="00CC58B0">
            <w:pPr>
              <w:jc w:val="center"/>
            </w:pPr>
            <w:r>
              <w:rPr>
                <w:sz w:val="20"/>
              </w:rPr>
              <w:t>Tree</w:t>
            </w:r>
          </w:p>
        </w:tc>
        <w:tc>
          <w:tcPr>
            <w:tcW w:w="0" w:type="auto"/>
          </w:tcPr>
          <w:p w:rsidR="00644152" w:rsidRDefault="00CC58B0">
            <w:pPr>
              <w:jc w:val="center"/>
            </w:pPr>
            <w:r>
              <w:rPr>
                <w:sz w:val="20"/>
              </w:rPr>
              <w:t>0-5</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r>
      <w:tr w:rsidR="00644152">
        <w:tc>
          <w:tcPr>
            <w:tcW w:w="0" w:type="auto"/>
          </w:tcPr>
          <w:p w:rsidR="00644152" w:rsidRDefault="00CC58B0">
            <w:pPr>
              <w:jc w:val="center"/>
            </w:pPr>
            <w:r>
              <w:rPr>
                <w:sz w:val="20"/>
              </w:rPr>
              <w:t>Tree</w:t>
            </w:r>
          </w:p>
        </w:tc>
        <w:tc>
          <w:tcPr>
            <w:tcW w:w="0" w:type="auto"/>
          </w:tcPr>
          <w:p w:rsidR="00644152" w:rsidRDefault="00CC58B0">
            <w:pPr>
              <w:jc w:val="center"/>
            </w:pPr>
            <w:r>
              <w:rPr>
                <w:sz w:val="20"/>
              </w:rPr>
              <w:t>5-10</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r>
      <w:tr w:rsidR="00644152">
        <w:tc>
          <w:tcPr>
            <w:tcW w:w="0" w:type="auto"/>
          </w:tcPr>
          <w:p w:rsidR="00644152" w:rsidRDefault="00CC58B0">
            <w:pPr>
              <w:jc w:val="center"/>
            </w:pPr>
            <w:r>
              <w:rPr>
                <w:sz w:val="20"/>
              </w:rPr>
              <w:t>Tree</w:t>
            </w:r>
          </w:p>
        </w:tc>
        <w:tc>
          <w:tcPr>
            <w:tcW w:w="0" w:type="auto"/>
          </w:tcPr>
          <w:p w:rsidR="00644152" w:rsidRDefault="00CC58B0">
            <w:pPr>
              <w:jc w:val="center"/>
            </w:pPr>
            <w:r>
              <w:rPr>
                <w:sz w:val="20"/>
              </w:rPr>
              <w:t>10-25</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r>
      <w:tr w:rsidR="00644152">
        <w:tc>
          <w:tcPr>
            <w:tcW w:w="0" w:type="auto"/>
          </w:tcPr>
          <w:p w:rsidR="00644152" w:rsidRDefault="00CC58B0">
            <w:pPr>
              <w:jc w:val="center"/>
            </w:pPr>
            <w:r>
              <w:rPr>
                <w:sz w:val="20"/>
              </w:rPr>
              <w:t>Tree</w:t>
            </w:r>
          </w:p>
        </w:tc>
        <w:tc>
          <w:tcPr>
            <w:tcW w:w="0" w:type="auto"/>
          </w:tcPr>
          <w:p w:rsidR="00644152" w:rsidRDefault="00CC58B0">
            <w:pPr>
              <w:jc w:val="center"/>
            </w:pPr>
            <w:r>
              <w:rPr>
                <w:sz w:val="20"/>
              </w:rPr>
              <w:t>25-50</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r>
      <w:tr w:rsidR="00644152">
        <w:tc>
          <w:tcPr>
            <w:tcW w:w="0" w:type="auto"/>
          </w:tcPr>
          <w:p w:rsidR="00644152" w:rsidRDefault="00CC58B0">
            <w:pPr>
              <w:jc w:val="center"/>
            </w:pPr>
            <w:r>
              <w:rPr>
                <w:sz w:val="20"/>
              </w:rPr>
              <w:t>Tree</w:t>
            </w:r>
          </w:p>
        </w:tc>
        <w:tc>
          <w:tcPr>
            <w:tcW w:w="0" w:type="auto"/>
          </w:tcPr>
          <w:p w:rsidR="00644152" w:rsidRDefault="00CC58B0">
            <w:pPr>
              <w:jc w:val="center"/>
            </w:pPr>
            <w:r>
              <w:rPr>
                <w:sz w:val="20"/>
              </w:rPr>
              <w:t>&gt;50</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B</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c>
          <w:tcPr>
            <w:tcW w:w="0" w:type="auto"/>
          </w:tcPr>
          <w:p w:rsidR="00644152" w:rsidRDefault="00CC58B0">
            <w:pPr>
              <w:jc w:val="center"/>
            </w:pPr>
            <w:r>
              <w:rPr>
                <w:sz w:val="20"/>
              </w:rPr>
              <w:t>UN</w:t>
            </w:r>
          </w:p>
        </w:tc>
      </w:tr>
    </w:tbl>
    <w:p w:rsidR="00644152" w:rsidRDefault="00CC58B0">
      <w:r>
        <w:rPr>
          <w:sz w:val="20"/>
        </w:rPr>
        <w:t xml:space="preserve">Succession class letters A-E are </w:t>
      </w:r>
      <w:r>
        <w:rPr>
          <w:sz w:val="20"/>
        </w:rPr>
        <w:t xml:space="preserve">described in the Succession Class Description section. Some classes use a leafform distinction where a qualifier is added to the class letter: Brdl (broadleaf), Con (conifer), or Mix (mixed conifer and broadleaf). UN refers to uncharacteristic native or a </w:t>
      </w:r>
      <w:r>
        <w:rPr>
          <w:sz w:val="20"/>
        </w:rPr>
        <w:t>combination of height and cover that would not be expected under the reference condition. NP refers to not possible or a combination of height and cover which is not physiologically possible for the species in the BpS.</w:t>
      </w:r>
    </w:p>
    <w:p w:rsidR="00644152" w:rsidRDefault="00CC58B0">
      <w:r>
        <w:br/>
      </w:r>
    </w:p>
    <w:p w:rsidR="00644152" w:rsidRDefault="00CC58B0">
      <w:r>
        <w:rPr>
          <w:b/>
        </w:rPr>
        <w:t>Description</w:t>
      </w:r>
    </w:p>
    <w:p w:rsidR="002E5E55" w:rsidRDefault="002E5E55" w:rsidP="002E5E55">
      <w:pPr>
        <w:pStyle w:val="InfoPara"/>
      </w:pPr>
      <w:r>
        <w:t>Class A</w:t>
      </w:r>
      <w:r>
        <w:tab/>
        <w:t>1</w:t>
      </w:r>
      <w:r w:rsidR="00620C47">
        <w:t>3</w:t>
      </w:r>
      <w:bookmarkStart w:id="1" w:name="_GoBack"/>
      <w:bookmarkEnd w:id="1"/>
      <w:r>
        <w:tab/>
      </w:r>
      <w:r>
        <w:tab/>
      </w:r>
      <w:r>
        <w:tab/>
      </w:r>
      <w:r>
        <w:tab/>
      </w:r>
      <w:r>
        <w:tab/>
        <w:t xml:space="preserve">Early Development 1 - </w:t>
      </w:r>
      <w:r w:rsidR="000A0496">
        <w:t>All</w:t>
      </w:r>
    </w:p>
    <w:p w:rsidR="002E5E55" w:rsidRDefault="002E5E55" w:rsidP="002E5E55"/>
    <w:p w:rsidR="002E5E55" w:rsidRDefault="002E5E55" w:rsidP="002E5E55">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257"/>
        <w:gridCol w:w="2763"/>
        <w:gridCol w:w="2220"/>
        <w:gridCol w:w="1956"/>
      </w:tblGrid>
      <w:tr w:rsidR="002E5E55" w:rsidRPr="002E5E55" w:rsidTr="009C222B">
        <w:tc>
          <w:tcPr>
            <w:tcW w:w="1257"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Symbol</w:t>
            </w:r>
          </w:p>
        </w:tc>
        <w:tc>
          <w:tcPr>
            <w:tcW w:w="2763"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Scientific Name</w:t>
            </w:r>
          </w:p>
        </w:tc>
        <w:tc>
          <w:tcPr>
            <w:tcW w:w="2220"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Common Name</w:t>
            </w:r>
          </w:p>
        </w:tc>
        <w:tc>
          <w:tcPr>
            <w:tcW w:w="1956"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Canopy Position</w:t>
            </w:r>
          </w:p>
        </w:tc>
      </w:tr>
      <w:tr w:rsidR="002E5E55" w:rsidRPr="002E5E55" w:rsidTr="009C222B">
        <w:tc>
          <w:tcPr>
            <w:tcW w:w="1257" w:type="dxa"/>
            <w:tcBorders>
              <w:top w:val="single" w:sz="12" w:space="0" w:color="000000"/>
            </w:tcBorders>
            <w:shd w:val="clear" w:color="auto" w:fill="auto"/>
          </w:tcPr>
          <w:p w:rsidR="002E5E55" w:rsidRPr="002E5E55" w:rsidRDefault="002E5E55" w:rsidP="003D2324">
            <w:pPr>
              <w:rPr>
                <w:bCs/>
              </w:rPr>
            </w:pPr>
            <w:r w:rsidRPr="002E5E55">
              <w:rPr>
                <w:bCs/>
              </w:rPr>
              <w:t>ADFA</w:t>
            </w:r>
          </w:p>
        </w:tc>
        <w:tc>
          <w:tcPr>
            <w:tcW w:w="2763" w:type="dxa"/>
            <w:tcBorders>
              <w:top w:val="single" w:sz="12" w:space="0" w:color="000000"/>
            </w:tcBorders>
            <w:shd w:val="clear" w:color="auto" w:fill="auto"/>
          </w:tcPr>
          <w:p w:rsidR="002E5E55" w:rsidRPr="002E5E55" w:rsidRDefault="002E5E55" w:rsidP="003D2324">
            <w:r w:rsidRPr="002E5E55">
              <w:t>Adenostoma fasciculatum</w:t>
            </w:r>
          </w:p>
        </w:tc>
        <w:tc>
          <w:tcPr>
            <w:tcW w:w="2220" w:type="dxa"/>
            <w:tcBorders>
              <w:top w:val="single" w:sz="12" w:space="0" w:color="000000"/>
            </w:tcBorders>
            <w:shd w:val="clear" w:color="auto" w:fill="auto"/>
          </w:tcPr>
          <w:p w:rsidR="002E5E55" w:rsidRPr="002E5E55" w:rsidRDefault="002E5E55" w:rsidP="003D2324">
            <w:r w:rsidRPr="002E5E55">
              <w:t>Chamise</w:t>
            </w:r>
          </w:p>
        </w:tc>
        <w:tc>
          <w:tcPr>
            <w:tcW w:w="1956" w:type="dxa"/>
            <w:tcBorders>
              <w:top w:val="single" w:sz="12" w:space="0" w:color="000000"/>
            </w:tcBorders>
            <w:shd w:val="clear" w:color="auto" w:fill="auto"/>
          </w:tcPr>
          <w:p w:rsidR="002E5E55" w:rsidRPr="002E5E55" w:rsidRDefault="009C222B" w:rsidP="003D2324">
            <w:r>
              <w:t>Upper</w:t>
            </w:r>
          </w:p>
        </w:tc>
      </w:tr>
      <w:tr w:rsidR="002E5E55" w:rsidRPr="002E5E55" w:rsidTr="009C222B">
        <w:tc>
          <w:tcPr>
            <w:tcW w:w="1257" w:type="dxa"/>
            <w:shd w:val="clear" w:color="auto" w:fill="auto"/>
          </w:tcPr>
          <w:p w:rsidR="002E5E55" w:rsidRPr="002E5E55" w:rsidRDefault="002E5E55" w:rsidP="003D2324">
            <w:pPr>
              <w:rPr>
                <w:bCs/>
              </w:rPr>
            </w:pPr>
            <w:r w:rsidRPr="002E5E55">
              <w:rPr>
                <w:bCs/>
              </w:rPr>
              <w:t>LOSC2</w:t>
            </w:r>
          </w:p>
        </w:tc>
        <w:tc>
          <w:tcPr>
            <w:tcW w:w="2763" w:type="dxa"/>
            <w:shd w:val="clear" w:color="auto" w:fill="auto"/>
          </w:tcPr>
          <w:p w:rsidR="002E5E55" w:rsidRPr="002E5E55" w:rsidRDefault="002E5E55" w:rsidP="003D2324">
            <w:r w:rsidRPr="002E5E55">
              <w:t>Lotus scoparius</w:t>
            </w:r>
          </w:p>
        </w:tc>
        <w:tc>
          <w:tcPr>
            <w:tcW w:w="2220" w:type="dxa"/>
            <w:shd w:val="clear" w:color="auto" w:fill="auto"/>
          </w:tcPr>
          <w:p w:rsidR="002E5E55" w:rsidRPr="002E5E55" w:rsidRDefault="002E5E55" w:rsidP="003D2324">
            <w:r w:rsidRPr="002E5E55">
              <w:t>Common deerweed</w:t>
            </w:r>
          </w:p>
        </w:tc>
        <w:tc>
          <w:tcPr>
            <w:tcW w:w="1956" w:type="dxa"/>
            <w:shd w:val="clear" w:color="auto" w:fill="auto"/>
          </w:tcPr>
          <w:p w:rsidR="002E5E55" w:rsidRPr="002E5E55" w:rsidRDefault="009C222B" w:rsidP="003D2324">
            <w:r>
              <w:t>Upper</w:t>
            </w:r>
          </w:p>
        </w:tc>
      </w:tr>
      <w:tr w:rsidR="002E5E55" w:rsidRPr="002E5E55" w:rsidTr="009C222B">
        <w:tc>
          <w:tcPr>
            <w:tcW w:w="1257" w:type="dxa"/>
            <w:shd w:val="clear" w:color="auto" w:fill="auto"/>
          </w:tcPr>
          <w:p w:rsidR="002E5E55" w:rsidRPr="002E5E55" w:rsidRDefault="00592DEC" w:rsidP="003D2324">
            <w:pPr>
              <w:rPr>
                <w:bCs/>
              </w:rPr>
            </w:pPr>
            <w:r>
              <w:rPr>
                <w:bCs/>
              </w:rPr>
              <w:t>CEANO</w:t>
            </w:r>
          </w:p>
        </w:tc>
        <w:tc>
          <w:tcPr>
            <w:tcW w:w="2763" w:type="dxa"/>
            <w:shd w:val="clear" w:color="auto" w:fill="auto"/>
          </w:tcPr>
          <w:p w:rsidR="002E5E55" w:rsidRPr="002E5E55" w:rsidRDefault="009C222B" w:rsidP="003D2324">
            <w:r>
              <w:t>Ceanothus</w:t>
            </w:r>
          </w:p>
        </w:tc>
        <w:tc>
          <w:tcPr>
            <w:tcW w:w="2220" w:type="dxa"/>
            <w:shd w:val="clear" w:color="auto" w:fill="auto"/>
          </w:tcPr>
          <w:p w:rsidR="002E5E55" w:rsidRPr="002E5E55" w:rsidRDefault="009C222B" w:rsidP="003D2324">
            <w:r>
              <w:t>Ceanothus</w:t>
            </w:r>
          </w:p>
        </w:tc>
        <w:tc>
          <w:tcPr>
            <w:tcW w:w="1956" w:type="dxa"/>
            <w:shd w:val="clear" w:color="auto" w:fill="auto"/>
          </w:tcPr>
          <w:p w:rsidR="002E5E55" w:rsidRPr="002E5E55" w:rsidRDefault="009C222B" w:rsidP="003D2324">
            <w:r>
              <w:t>Upper</w:t>
            </w:r>
          </w:p>
        </w:tc>
      </w:tr>
      <w:tr w:rsidR="009C222B" w:rsidRPr="002E5E55" w:rsidTr="009C222B">
        <w:tc>
          <w:tcPr>
            <w:tcW w:w="1257" w:type="dxa"/>
            <w:shd w:val="clear" w:color="auto" w:fill="auto"/>
          </w:tcPr>
          <w:p w:rsidR="009C222B" w:rsidRPr="002E5E55" w:rsidRDefault="009C222B" w:rsidP="009C222B">
            <w:pPr>
              <w:rPr>
                <w:bCs/>
              </w:rPr>
            </w:pPr>
            <w:r>
              <w:rPr>
                <w:bCs/>
              </w:rPr>
              <w:t>ARCTO3</w:t>
            </w:r>
          </w:p>
        </w:tc>
        <w:tc>
          <w:tcPr>
            <w:tcW w:w="2763" w:type="dxa"/>
            <w:shd w:val="clear" w:color="auto" w:fill="auto"/>
          </w:tcPr>
          <w:p w:rsidR="009C222B" w:rsidRPr="002E5E55" w:rsidRDefault="009C222B" w:rsidP="009C222B">
            <w:r w:rsidRPr="002E5E55">
              <w:t>Arctostaphylos</w:t>
            </w:r>
          </w:p>
        </w:tc>
        <w:tc>
          <w:tcPr>
            <w:tcW w:w="2220" w:type="dxa"/>
            <w:shd w:val="clear" w:color="auto" w:fill="auto"/>
          </w:tcPr>
          <w:p w:rsidR="009C222B" w:rsidRPr="002E5E55" w:rsidRDefault="009C222B" w:rsidP="009C222B">
            <w:r w:rsidRPr="002E5E55">
              <w:t>Manzanita</w:t>
            </w:r>
          </w:p>
        </w:tc>
        <w:tc>
          <w:tcPr>
            <w:tcW w:w="1956" w:type="dxa"/>
            <w:shd w:val="clear" w:color="auto" w:fill="auto"/>
          </w:tcPr>
          <w:p w:rsidR="009C222B" w:rsidRPr="002E5E55" w:rsidRDefault="009C222B" w:rsidP="009C222B">
            <w:r>
              <w:t>Upper</w:t>
            </w:r>
          </w:p>
        </w:tc>
      </w:tr>
    </w:tbl>
    <w:p w:rsidR="002E5E55" w:rsidRDefault="002E5E55" w:rsidP="002E5E55"/>
    <w:p w:rsidR="002E5E55" w:rsidRDefault="002E5E55" w:rsidP="002E5E55">
      <w:pPr>
        <w:pStyle w:val="SClassInfoPara"/>
      </w:pPr>
      <w:r>
        <w:t>Description</w:t>
      </w:r>
    </w:p>
    <w:p w:rsidR="002E5E55" w:rsidRDefault="002E5E55" w:rsidP="002E5E55">
      <w:r>
        <w:t xml:space="preserve">The shrub species listed </w:t>
      </w:r>
      <w:r w:rsidR="00686CF3">
        <w:t xml:space="preserve">in the previous table </w:t>
      </w:r>
      <w:r>
        <w:t>will be present as seedlings from a fire-cued seed</w:t>
      </w:r>
      <w:r w:rsidR="00686CF3">
        <w:t xml:space="preserve"> </w:t>
      </w:r>
      <w:r>
        <w:t>bank, resprouts from facultative seeders, in addition to fire annuals, perennial geophyte</w:t>
      </w:r>
      <w:r w:rsidR="009005BA">
        <w:t>s</w:t>
      </w:r>
      <w:r w:rsidR="00686CF3">
        <w:t>,</w:t>
      </w:r>
      <w:r w:rsidR="009005BA">
        <w:t xml:space="preserve"> and short-lived perennials. </w:t>
      </w:r>
      <w:r>
        <w:t xml:space="preserve">Herb species </w:t>
      </w:r>
      <w:r w:rsidR="00592DEC">
        <w:t xml:space="preserve">may </w:t>
      </w:r>
      <w:r>
        <w:t>include common deerweed (</w:t>
      </w:r>
      <w:r w:rsidRPr="008706E0">
        <w:rPr>
          <w:i/>
        </w:rPr>
        <w:t>Lotus scoparius</w:t>
      </w:r>
      <w:r>
        <w:t xml:space="preserve">), </w:t>
      </w:r>
      <w:r w:rsidRPr="008706E0">
        <w:rPr>
          <w:i/>
        </w:rPr>
        <w:t>Phacelia</w:t>
      </w:r>
      <w:r>
        <w:t xml:space="preserve"> spp., </w:t>
      </w:r>
      <w:r w:rsidR="005C4AD4" w:rsidRPr="008706E0">
        <w:rPr>
          <w:i/>
        </w:rPr>
        <w:t>C</w:t>
      </w:r>
      <w:r w:rsidRPr="008706E0">
        <w:rPr>
          <w:i/>
        </w:rPr>
        <w:t>ryptantha</w:t>
      </w:r>
      <w:r>
        <w:t xml:space="preserve"> spp., and </w:t>
      </w:r>
      <w:r w:rsidRPr="008706E0">
        <w:rPr>
          <w:i/>
        </w:rPr>
        <w:t>Emmenanthe</w:t>
      </w:r>
      <w:r>
        <w:t xml:space="preserve"> spp.</w:t>
      </w:r>
      <w:r w:rsidR="003C4079">
        <w:t xml:space="preserve"> </w:t>
      </w:r>
      <w:r>
        <w:t xml:space="preserve">The temporary post-fire vegetation starts to drop out within approximately </w:t>
      </w:r>
      <w:r w:rsidR="005C4AD4">
        <w:t>5</w:t>
      </w:r>
      <w:r>
        <w:t xml:space="preserve">yrs, after which the seedlings begin to predominate in similar composition as pre-fire </w:t>
      </w:r>
      <w:r w:rsidR="009005BA">
        <w:t>conditions.</w:t>
      </w:r>
      <w:r w:rsidR="00FA6583">
        <w:t xml:space="preserve"> </w:t>
      </w:r>
    </w:p>
    <w:p w:rsidR="004E4A30" w:rsidRDefault="004E4A30" w:rsidP="002E5E55"/>
    <w:p w:rsidR="004E4A30" w:rsidRDefault="004E4A30" w:rsidP="002E5E55">
      <w:r>
        <w:t xml:space="preserve">The relationship of age </w:t>
      </w:r>
      <w:r w:rsidR="005C4AD4">
        <w:t xml:space="preserve">to </w:t>
      </w:r>
      <w:r>
        <w:t>height or cover of chaparral varies greatly with species and setting. Estimates of cover and height provided here are intended for use in mapping, not field identification of s-classes.</w:t>
      </w:r>
    </w:p>
    <w:p w:rsidR="002E5E55" w:rsidRDefault="002E5E55" w:rsidP="002E5E55"/>
    <w:p w:rsidR="00644152" w:rsidRDefault="00CC58B0">
      <w:r>
        <w:rPr>
          <w:i/>
          <w:u w:val="single"/>
        </w:rPr>
        <w:t>Maximum Tree Size Class</w:t>
      </w:r>
      <w:r>
        <w:br/>
        <w:t>None</w:t>
      </w:r>
    </w:p>
    <w:p w:rsidR="002E5E55" w:rsidRDefault="002E5E55" w:rsidP="002E5E55">
      <w:pPr>
        <w:pStyle w:val="InfoPara"/>
        <w:pBdr>
          <w:top w:val="single" w:sz="4" w:space="1" w:color="auto"/>
        </w:pBdr>
      </w:pPr>
      <w:r>
        <w:t>Class B</w:t>
      </w:r>
      <w:r>
        <w:tab/>
        <w:t>87</w:t>
      </w:r>
      <w:r w:rsidR="00CC58B0">
        <w:tab/>
      </w:r>
      <w:r w:rsidR="00CC58B0">
        <w:tab/>
      </w:r>
      <w:r w:rsidR="00CC58B0">
        <w:tab/>
      </w:r>
      <w:r w:rsidR="00CC58B0">
        <w:tab/>
      </w:r>
      <w:r w:rsidR="00CC58B0">
        <w:t>Late Development 1 - Closed</w:t>
      </w:r>
    </w:p>
    <w:p w:rsidR="002E5E55" w:rsidRDefault="002E5E55" w:rsidP="002E5E55"/>
    <w:p w:rsidR="002E5E55" w:rsidRDefault="002E5E55" w:rsidP="002E5E55">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257"/>
        <w:gridCol w:w="2751"/>
        <w:gridCol w:w="2412"/>
        <w:gridCol w:w="1956"/>
      </w:tblGrid>
      <w:tr w:rsidR="002E5E55" w:rsidRPr="002E5E55" w:rsidTr="009C222B">
        <w:tc>
          <w:tcPr>
            <w:tcW w:w="1257"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Symbol</w:t>
            </w:r>
          </w:p>
        </w:tc>
        <w:tc>
          <w:tcPr>
            <w:tcW w:w="2751"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Scientific Name</w:t>
            </w:r>
          </w:p>
        </w:tc>
        <w:tc>
          <w:tcPr>
            <w:tcW w:w="2412"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Common Name</w:t>
            </w:r>
          </w:p>
        </w:tc>
        <w:tc>
          <w:tcPr>
            <w:tcW w:w="1956" w:type="dxa"/>
            <w:tcBorders>
              <w:top w:val="single" w:sz="2" w:space="0" w:color="auto"/>
              <w:bottom w:val="single" w:sz="12" w:space="0" w:color="000000"/>
            </w:tcBorders>
            <w:shd w:val="clear" w:color="auto" w:fill="auto"/>
          </w:tcPr>
          <w:p w:rsidR="002E5E55" w:rsidRPr="002E5E55" w:rsidRDefault="002E5E55" w:rsidP="003D2324">
            <w:pPr>
              <w:rPr>
                <w:b/>
                <w:bCs/>
              </w:rPr>
            </w:pPr>
            <w:r w:rsidRPr="002E5E55">
              <w:rPr>
                <w:b/>
                <w:bCs/>
              </w:rPr>
              <w:t>Canopy Position</w:t>
            </w:r>
          </w:p>
        </w:tc>
      </w:tr>
      <w:tr w:rsidR="002E5E55" w:rsidRPr="002E5E55" w:rsidTr="009C222B">
        <w:tc>
          <w:tcPr>
            <w:tcW w:w="1257" w:type="dxa"/>
            <w:tcBorders>
              <w:top w:val="single" w:sz="12" w:space="0" w:color="000000"/>
            </w:tcBorders>
            <w:shd w:val="clear" w:color="auto" w:fill="auto"/>
          </w:tcPr>
          <w:p w:rsidR="002E5E55" w:rsidRPr="002E5E55" w:rsidRDefault="002E5E55" w:rsidP="003D2324">
            <w:pPr>
              <w:rPr>
                <w:bCs/>
              </w:rPr>
            </w:pPr>
            <w:r w:rsidRPr="002E5E55">
              <w:rPr>
                <w:bCs/>
              </w:rPr>
              <w:t>ADFA</w:t>
            </w:r>
          </w:p>
        </w:tc>
        <w:tc>
          <w:tcPr>
            <w:tcW w:w="2751" w:type="dxa"/>
            <w:tcBorders>
              <w:top w:val="single" w:sz="12" w:space="0" w:color="000000"/>
            </w:tcBorders>
            <w:shd w:val="clear" w:color="auto" w:fill="auto"/>
          </w:tcPr>
          <w:p w:rsidR="002E5E55" w:rsidRPr="002E5E55" w:rsidRDefault="002E5E55" w:rsidP="003D2324">
            <w:r w:rsidRPr="002E5E55">
              <w:t>Adenostoma fasciculatum</w:t>
            </w:r>
          </w:p>
        </w:tc>
        <w:tc>
          <w:tcPr>
            <w:tcW w:w="2412" w:type="dxa"/>
            <w:tcBorders>
              <w:top w:val="single" w:sz="12" w:space="0" w:color="000000"/>
            </w:tcBorders>
            <w:shd w:val="clear" w:color="auto" w:fill="auto"/>
          </w:tcPr>
          <w:p w:rsidR="002E5E55" w:rsidRPr="002E5E55" w:rsidRDefault="002E5E55" w:rsidP="003D2324">
            <w:r w:rsidRPr="002E5E55">
              <w:t>Chamise</w:t>
            </w:r>
          </w:p>
        </w:tc>
        <w:tc>
          <w:tcPr>
            <w:tcW w:w="1956" w:type="dxa"/>
            <w:tcBorders>
              <w:top w:val="single" w:sz="12" w:space="0" w:color="000000"/>
            </w:tcBorders>
            <w:shd w:val="clear" w:color="auto" w:fill="auto"/>
          </w:tcPr>
          <w:p w:rsidR="002E5E55" w:rsidRPr="002E5E55" w:rsidRDefault="002E5E55" w:rsidP="003D2324">
            <w:r w:rsidRPr="002E5E55">
              <w:t>Upper</w:t>
            </w:r>
          </w:p>
        </w:tc>
      </w:tr>
      <w:tr w:rsidR="002E5E55" w:rsidRPr="002E5E55" w:rsidTr="009C222B">
        <w:tc>
          <w:tcPr>
            <w:tcW w:w="1257" w:type="dxa"/>
            <w:shd w:val="clear" w:color="auto" w:fill="auto"/>
          </w:tcPr>
          <w:p w:rsidR="002E5E55" w:rsidRPr="002E5E55" w:rsidRDefault="00592DEC" w:rsidP="003D2324">
            <w:pPr>
              <w:rPr>
                <w:bCs/>
              </w:rPr>
            </w:pPr>
            <w:r>
              <w:rPr>
                <w:bCs/>
              </w:rPr>
              <w:t>CEANO</w:t>
            </w:r>
          </w:p>
        </w:tc>
        <w:tc>
          <w:tcPr>
            <w:tcW w:w="2751" w:type="dxa"/>
            <w:shd w:val="clear" w:color="auto" w:fill="auto"/>
          </w:tcPr>
          <w:p w:rsidR="002E5E55" w:rsidRPr="002E5E55" w:rsidRDefault="009C222B" w:rsidP="003D2324">
            <w:r>
              <w:t>Ceanothus</w:t>
            </w:r>
          </w:p>
        </w:tc>
        <w:tc>
          <w:tcPr>
            <w:tcW w:w="2412" w:type="dxa"/>
            <w:shd w:val="clear" w:color="auto" w:fill="auto"/>
          </w:tcPr>
          <w:p w:rsidR="002E5E55" w:rsidRPr="002E5E55" w:rsidRDefault="009C222B" w:rsidP="003D2324">
            <w:r>
              <w:t>Ceanothus</w:t>
            </w:r>
          </w:p>
        </w:tc>
        <w:tc>
          <w:tcPr>
            <w:tcW w:w="1956" w:type="dxa"/>
            <w:shd w:val="clear" w:color="auto" w:fill="auto"/>
          </w:tcPr>
          <w:p w:rsidR="002E5E55" w:rsidRPr="002E5E55" w:rsidRDefault="009C222B" w:rsidP="003D2324">
            <w:r>
              <w:t>Upper</w:t>
            </w:r>
          </w:p>
        </w:tc>
      </w:tr>
      <w:tr w:rsidR="009C222B" w:rsidRPr="002E5E55" w:rsidTr="009C222B">
        <w:tc>
          <w:tcPr>
            <w:tcW w:w="1257" w:type="dxa"/>
            <w:shd w:val="clear" w:color="auto" w:fill="auto"/>
          </w:tcPr>
          <w:p w:rsidR="009C222B" w:rsidRPr="002E5E55" w:rsidRDefault="009C222B" w:rsidP="009C222B">
            <w:pPr>
              <w:rPr>
                <w:bCs/>
              </w:rPr>
            </w:pPr>
            <w:r>
              <w:rPr>
                <w:bCs/>
              </w:rPr>
              <w:t>ARCTO3</w:t>
            </w:r>
          </w:p>
        </w:tc>
        <w:tc>
          <w:tcPr>
            <w:tcW w:w="2751" w:type="dxa"/>
            <w:shd w:val="clear" w:color="auto" w:fill="auto"/>
          </w:tcPr>
          <w:p w:rsidR="009C222B" w:rsidRPr="002E5E55" w:rsidRDefault="009C222B" w:rsidP="009C222B">
            <w:r w:rsidRPr="002E5E55">
              <w:t>Arctostaphylos</w:t>
            </w:r>
          </w:p>
        </w:tc>
        <w:tc>
          <w:tcPr>
            <w:tcW w:w="2412" w:type="dxa"/>
            <w:shd w:val="clear" w:color="auto" w:fill="auto"/>
          </w:tcPr>
          <w:p w:rsidR="009C222B" w:rsidRPr="002E5E55" w:rsidRDefault="009C222B" w:rsidP="009C222B">
            <w:r w:rsidRPr="002E5E55">
              <w:t>Manzanita</w:t>
            </w:r>
          </w:p>
        </w:tc>
        <w:tc>
          <w:tcPr>
            <w:tcW w:w="1956" w:type="dxa"/>
            <w:shd w:val="clear" w:color="auto" w:fill="auto"/>
          </w:tcPr>
          <w:p w:rsidR="009C222B" w:rsidRPr="002E5E55" w:rsidRDefault="009C222B" w:rsidP="009C222B">
            <w:r>
              <w:t>Upper</w:t>
            </w:r>
          </w:p>
        </w:tc>
      </w:tr>
      <w:tr w:rsidR="009C222B" w:rsidRPr="002E5E55" w:rsidTr="009C222B">
        <w:tc>
          <w:tcPr>
            <w:tcW w:w="1257" w:type="dxa"/>
            <w:shd w:val="clear" w:color="auto" w:fill="auto"/>
          </w:tcPr>
          <w:p w:rsidR="009C222B" w:rsidRPr="002E5E55" w:rsidRDefault="009C222B" w:rsidP="009C222B">
            <w:pPr>
              <w:rPr>
                <w:bCs/>
              </w:rPr>
            </w:pPr>
          </w:p>
        </w:tc>
        <w:tc>
          <w:tcPr>
            <w:tcW w:w="2751" w:type="dxa"/>
            <w:shd w:val="clear" w:color="auto" w:fill="auto"/>
          </w:tcPr>
          <w:p w:rsidR="009C222B" w:rsidRPr="002E5E55" w:rsidRDefault="009C222B" w:rsidP="009C222B"/>
        </w:tc>
        <w:tc>
          <w:tcPr>
            <w:tcW w:w="2412" w:type="dxa"/>
            <w:shd w:val="clear" w:color="auto" w:fill="auto"/>
          </w:tcPr>
          <w:p w:rsidR="009C222B" w:rsidRPr="002E5E55" w:rsidRDefault="009C222B" w:rsidP="009C222B"/>
        </w:tc>
        <w:tc>
          <w:tcPr>
            <w:tcW w:w="1956" w:type="dxa"/>
            <w:shd w:val="clear" w:color="auto" w:fill="auto"/>
          </w:tcPr>
          <w:p w:rsidR="009C222B" w:rsidRPr="002E5E55" w:rsidRDefault="009C222B" w:rsidP="009C222B"/>
        </w:tc>
      </w:tr>
    </w:tbl>
    <w:p w:rsidR="002E5E55" w:rsidRDefault="002E5E55" w:rsidP="002E5E55"/>
    <w:p w:rsidR="002E5E55" w:rsidRDefault="002E5E55" w:rsidP="002E5E55">
      <w:pPr>
        <w:pStyle w:val="SClassInfoPara"/>
      </w:pPr>
      <w:r>
        <w:t>Description</w:t>
      </w:r>
    </w:p>
    <w:p w:rsidR="009005BA" w:rsidRDefault="002E5E55" w:rsidP="002E5E55">
      <w:r>
        <w:t>Shrubs growing from seedlings</w:t>
      </w:r>
      <w:r w:rsidR="00EB78E1">
        <w:t xml:space="preserve"> from</w:t>
      </w:r>
      <w:r>
        <w:t xml:space="preserve"> </w:t>
      </w:r>
      <w:r w:rsidR="005C4AD4">
        <w:t>C</w:t>
      </w:r>
      <w:r>
        <w:t>lass A</w:t>
      </w:r>
      <w:r w:rsidR="005C4AD4">
        <w:t>;</w:t>
      </w:r>
      <w:r>
        <w:t xml:space="preserve"> </w:t>
      </w:r>
      <w:r w:rsidR="005C4AD4">
        <w:t>h</w:t>
      </w:r>
      <w:r>
        <w:t>erbs</w:t>
      </w:r>
      <w:r w:rsidR="005C4AD4">
        <w:t>,</w:t>
      </w:r>
      <w:r>
        <w:t xml:space="preserve"> only in openings.</w:t>
      </w:r>
      <w:r w:rsidR="00F310DA">
        <w:t xml:space="preserve"> </w:t>
      </w:r>
      <w:r>
        <w:t xml:space="preserve">Species </w:t>
      </w:r>
      <w:r w:rsidR="00592DEC">
        <w:t xml:space="preserve">may </w:t>
      </w:r>
      <w:r>
        <w:t>include chamise (</w:t>
      </w:r>
      <w:r w:rsidRPr="008706E0">
        <w:rPr>
          <w:i/>
        </w:rPr>
        <w:t>Adenostoma fasciculatum</w:t>
      </w:r>
      <w:r>
        <w:t xml:space="preserve">), </w:t>
      </w:r>
      <w:r w:rsidRPr="008706E0">
        <w:rPr>
          <w:i/>
        </w:rPr>
        <w:t>Ceanothus megacarpus</w:t>
      </w:r>
      <w:r w:rsidR="005C4AD4">
        <w:t>,</w:t>
      </w:r>
      <w:r w:rsidRPr="008706E0">
        <w:rPr>
          <w:i/>
        </w:rPr>
        <w:t xml:space="preserve"> </w:t>
      </w:r>
      <w:r w:rsidR="00D34FCA" w:rsidRPr="008706E0">
        <w:rPr>
          <w:i/>
        </w:rPr>
        <w:t xml:space="preserve">C. </w:t>
      </w:r>
      <w:r w:rsidRPr="008706E0">
        <w:rPr>
          <w:i/>
        </w:rPr>
        <w:t>leucodermis</w:t>
      </w:r>
      <w:r w:rsidR="005C4AD4">
        <w:t>,</w:t>
      </w:r>
      <w:r w:rsidR="00D34FCA" w:rsidRPr="008706E0">
        <w:rPr>
          <w:i/>
        </w:rPr>
        <w:t xml:space="preserve"> C. cuneatus</w:t>
      </w:r>
      <w:r w:rsidR="005C4AD4">
        <w:t>,</w:t>
      </w:r>
      <w:r w:rsidRPr="008706E0">
        <w:rPr>
          <w:i/>
        </w:rPr>
        <w:t xml:space="preserve"> Arctostaphylos glauca</w:t>
      </w:r>
      <w:r w:rsidR="005C4AD4">
        <w:t>,</w:t>
      </w:r>
      <w:r w:rsidR="00D34FCA" w:rsidRPr="008706E0">
        <w:rPr>
          <w:i/>
        </w:rPr>
        <w:t xml:space="preserve"> </w:t>
      </w:r>
      <w:r w:rsidR="00D34FCA" w:rsidRPr="005C4AD4">
        <w:t>and</w:t>
      </w:r>
      <w:r w:rsidR="00D34FCA" w:rsidRPr="008706E0">
        <w:rPr>
          <w:i/>
        </w:rPr>
        <w:t xml:space="preserve"> A. viscida</w:t>
      </w:r>
      <w:r>
        <w:t>.</w:t>
      </w:r>
      <w:r w:rsidR="0058058C">
        <w:t xml:space="preserve"> Trees may be present at low cover levels and may have a shrubby growth form.</w:t>
      </w:r>
      <w:r w:rsidR="00FA6583">
        <w:t xml:space="preserve"> </w:t>
      </w:r>
    </w:p>
    <w:p w:rsidR="002E5E55" w:rsidRDefault="00FA6583" w:rsidP="002E5E55">
      <w:r>
        <w:t xml:space="preserve"> </w:t>
      </w:r>
    </w:p>
    <w:p w:rsidR="002E5E55" w:rsidRDefault="00EB78E1" w:rsidP="002E5E55">
      <w:r>
        <w:t>Moderate-frequency fire is likely to best sustain robust canopy cover of dry</w:t>
      </w:r>
      <w:r w:rsidR="005C4AD4">
        <w:t>-</w:t>
      </w:r>
      <w:r>
        <w:t>mesic chaparral. However, a low but sustained level of recruitment in canopy gaps, such as in stands that are very old or are disturbed, may be sufficient to ensure persistence of this community type in long-unburned stands</w:t>
      </w:r>
      <w:r w:rsidR="003D2324">
        <w:t xml:space="preserve"> (Duren and Muir 2010</w:t>
      </w:r>
      <w:r w:rsidR="00A477A5">
        <w:t xml:space="preserve">; </w:t>
      </w:r>
      <w:r w:rsidR="00530583">
        <w:t>K</w:t>
      </w:r>
      <w:r w:rsidR="00A477A5">
        <w:t>eeley</w:t>
      </w:r>
      <w:r w:rsidR="00530583">
        <w:t xml:space="preserve"> et al. 2005; Nagel and Taylor 2005</w:t>
      </w:r>
      <w:r w:rsidR="003D2324">
        <w:t>)</w:t>
      </w:r>
      <w:r>
        <w:t>. Domina</w:t>
      </w:r>
      <w:r w:rsidR="005C4AD4">
        <w:t>n</w:t>
      </w:r>
      <w:r>
        <w:t xml:space="preserve">t species </w:t>
      </w:r>
      <w:r w:rsidR="002E5E55">
        <w:t xml:space="preserve">can generally live from 75-150yrs. </w:t>
      </w:r>
    </w:p>
    <w:p w:rsidR="002E5E55" w:rsidRDefault="002E5E55" w:rsidP="002E5E55"/>
    <w:p w:rsidR="004E4A30" w:rsidRDefault="004E4A30" w:rsidP="004E4A30">
      <w:r>
        <w:t xml:space="preserve">The relationship of age </w:t>
      </w:r>
      <w:r w:rsidR="005C4AD4">
        <w:t xml:space="preserve">to </w:t>
      </w:r>
      <w:r>
        <w:t>height or cover of chaparral varies greatly with species and setting. Estimates of cover and height provided here are intended for use in mapping, not field identification of s-classes.</w:t>
      </w:r>
    </w:p>
    <w:p w:rsidR="004E4A30" w:rsidRDefault="004E4A30" w:rsidP="002E5E55"/>
    <w:p w:rsidR="00644152" w:rsidRDefault="00CC58B0">
      <w:r>
        <w:rPr>
          <w:i/>
          <w:u w:val="single"/>
        </w:rPr>
        <w:t>Maximum Tree Size Class</w:t>
      </w:r>
      <w:r>
        <w:br/>
        <w:t>None</w:t>
      </w:r>
    </w:p>
    <w:p w:rsidR="00644152" w:rsidRDefault="00CC58B0">
      <w:pPr>
        <w:pStyle w:val="ReportSection"/>
      </w:pPr>
      <w:r>
        <w:t>Model Parameters</w:t>
      </w:r>
    </w:p>
    <w:p w:rsidR="00644152" w:rsidRDefault="00CC58B0">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644152">
        <w:tc>
          <w:tcPr>
            <w:tcW w:w="0" w:type="auto"/>
          </w:tcPr>
          <w:p w:rsidR="00644152" w:rsidRDefault="00CC58B0">
            <w:pPr>
              <w:jc w:val="center"/>
            </w:pPr>
            <w:r>
              <w:rPr>
                <w:b/>
                <w:sz w:val="20"/>
              </w:rPr>
              <w:t>From Class</w:t>
            </w:r>
          </w:p>
        </w:tc>
        <w:tc>
          <w:tcPr>
            <w:tcW w:w="0" w:type="auto"/>
          </w:tcPr>
          <w:p w:rsidR="00644152" w:rsidRDefault="00CC58B0">
            <w:pPr>
              <w:jc w:val="center"/>
            </w:pPr>
            <w:r>
              <w:rPr>
                <w:b/>
                <w:sz w:val="20"/>
              </w:rPr>
              <w:t>Begins at (yr)</w:t>
            </w:r>
          </w:p>
        </w:tc>
        <w:tc>
          <w:tcPr>
            <w:tcW w:w="0" w:type="auto"/>
          </w:tcPr>
          <w:p w:rsidR="00644152" w:rsidRDefault="00CC58B0">
            <w:pPr>
              <w:jc w:val="center"/>
            </w:pPr>
            <w:r>
              <w:rPr>
                <w:b/>
                <w:sz w:val="20"/>
              </w:rPr>
              <w:t>Succeeds to</w:t>
            </w:r>
          </w:p>
        </w:tc>
        <w:tc>
          <w:tcPr>
            <w:tcW w:w="0" w:type="auto"/>
          </w:tcPr>
          <w:p w:rsidR="00644152" w:rsidRDefault="00CC58B0">
            <w:pPr>
              <w:jc w:val="center"/>
            </w:pPr>
            <w:r>
              <w:rPr>
                <w:b/>
                <w:sz w:val="20"/>
              </w:rPr>
              <w:t>After (years)</w:t>
            </w:r>
          </w:p>
        </w:tc>
      </w:tr>
      <w:tr w:rsidR="00644152">
        <w:tc>
          <w:tcPr>
            <w:tcW w:w="0" w:type="auto"/>
          </w:tcPr>
          <w:p w:rsidR="00644152" w:rsidRDefault="00CC58B0">
            <w:pPr>
              <w:jc w:val="center"/>
            </w:pPr>
            <w:r>
              <w:rPr>
                <w:sz w:val="20"/>
              </w:rPr>
              <w:t>Early1:ALL</w:t>
            </w:r>
          </w:p>
        </w:tc>
        <w:tc>
          <w:tcPr>
            <w:tcW w:w="0" w:type="auto"/>
          </w:tcPr>
          <w:p w:rsidR="00644152" w:rsidRDefault="00CC58B0">
            <w:pPr>
              <w:jc w:val="center"/>
            </w:pPr>
            <w:r>
              <w:rPr>
                <w:sz w:val="20"/>
              </w:rPr>
              <w:t>0</w:t>
            </w:r>
          </w:p>
        </w:tc>
        <w:tc>
          <w:tcPr>
            <w:tcW w:w="0" w:type="auto"/>
          </w:tcPr>
          <w:p w:rsidR="00644152" w:rsidRDefault="00CC58B0">
            <w:pPr>
              <w:jc w:val="center"/>
            </w:pPr>
            <w:r>
              <w:rPr>
                <w:sz w:val="20"/>
              </w:rPr>
              <w:t>Late1:CLS</w:t>
            </w:r>
          </w:p>
        </w:tc>
        <w:tc>
          <w:tcPr>
            <w:tcW w:w="0" w:type="auto"/>
          </w:tcPr>
          <w:p w:rsidR="00644152" w:rsidRDefault="00CC58B0">
            <w:pPr>
              <w:jc w:val="center"/>
            </w:pPr>
            <w:r>
              <w:rPr>
                <w:sz w:val="20"/>
              </w:rPr>
              <w:t>10</w:t>
            </w:r>
          </w:p>
        </w:tc>
      </w:tr>
      <w:tr w:rsidR="00644152">
        <w:tc>
          <w:tcPr>
            <w:tcW w:w="0" w:type="auto"/>
          </w:tcPr>
          <w:p w:rsidR="00644152" w:rsidRDefault="00CC58B0">
            <w:pPr>
              <w:jc w:val="center"/>
            </w:pPr>
            <w:r>
              <w:rPr>
                <w:sz w:val="20"/>
              </w:rPr>
              <w:t>Late1:CLS</w:t>
            </w:r>
          </w:p>
        </w:tc>
        <w:tc>
          <w:tcPr>
            <w:tcW w:w="0" w:type="auto"/>
          </w:tcPr>
          <w:p w:rsidR="00644152" w:rsidRDefault="00CC58B0">
            <w:pPr>
              <w:jc w:val="center"/>
            </w:pPr>
            <w:r>
              <w:rPr>
                <w:sz w:val="20"/>
              </w:rPr>
              <w:t>11</w:t>
            </w:r>
          </w:p>
        </w:tc>
        <w:tc>
          <w:tcPr>
            <w:tcW w:w="0" w:type="auto"/>
          </w:tcPr>
          <w:p w:rsidR="00644152" w:rsidRDefault="00CC58B0">
            <w:pPr>
              <w:jc w:val="center"/>
            </w:pPr>
            <w:r>
              <w:rPr>
                <w:sz w:val="20"/>
              </w:rPr>
              <w:t>Late1:CLS</w:t>
            </w:r>
          </w:p>
        </w:tc>
        <w:tc>
          <w:tcPr>
            <w:tcW w:w="0" w:type="auto"/>
          </w:tcPr>
          <w:p w:rsidR="00644152" w:rsidRDefault="00CC58B0">
            <w:pPr>
              <w:jc w:val="center"/>
            </w:pPr>
            <w:r>
              <w:rPr>
                <w:sz w:val="20"/>
              </w:rPr>
              <w:t>999</w:t>
            </w:r>
          </w:p>
        </w:tc>
      </w:tr>
    </w:tbl>
    <w:p w:rsidR="00644152" w:rsidRDefault="00CC58B0">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06"/>
        <w:gridCol w:w="1341"/>
        <w:gridCol w:w="1262"/>
        <w:gridCol w:w="1357"/>
        <w:gridCol w:w="1010"/>
        <w:gridCol w:w="1683"/>
        <w:gridCol w:w="1401"/>
      </w:tblGrid>
      <w:tr w:rsidR="00644152">
        <w:tc>
          <w:tcPr>
            <w:tcW w:w="0" w:type="auto"/>
          </w:tcPr>
          <w:p w:rsidR="00644152" w:rsidRDefault="00CC58B0">
            <w:pPr>
              <w:jc w:val="center"/>
            </w:pPr>
            <w:r>
              <w:rPr>
                <w:b/>
                <w:sz w:val="20"/>
              </w:rPr>
              <w:t>Disturbance Type</w:t>
            </w:r>
          </w:p>
        </w:tc>
        <w:tc>
          <w:tcPr>
            <w:tcW w:w="0" w:type="auto"/>
          </w:tcPr>
          <w:p w:rsidR="00644152" w:rsidRDefault="00CC58B0">
            <w:pPr>
              <w:jc w:val="center"/>
            </w:pPr>
            <w:r>
              <w:rPr>
                <w:b/>
                <w:sz w:val="20"/>
              </w:rPr>
              <w:t>Disturbance occurs In</w:t>
            </w:r>
          </w:p>
        </w:tc>
        <w:tc>
          <w:tcPr>
            <w:tcW w:w="0" w:type="auto"/>
          </w:tcPr>
          <w:p w:rsidR="00644152" w:rsidRDefault="00CC58B0">
            <w:pPr>
              <w:jc w:val="center"/>
            </w:pPr>
            <w:r>
              <w:rPr>
                <w:b/>
                <w:sz w:val="20"/>
              </w:rPr>
              <w:t>Moves vegetation to</w:t>
            </w:r>
          </w:p>
        </w:tc>
        <w:tc>
          <w:tcPr>
            <w:tcW w:w="0" w:type="auto"/>
          </w:tcPr>
          <w:p w:rsidR="00644152" w:rsidRDefault="00CC58B0">
            <w:pPr>
              <w:jc w:val="center"/>
            </w:pPr>
            <w:r>
              <w:rPr>
                <w:b/>
                <w:sz w:val="20"/>
              </w:rPr>
              <w:t>Disturbance Probability</w:t>
            </w:r>
          </w:p>
        </w:tc>
        <w:tc>
          <w:tcPr>
            <w:tcW w:w="0" w:type="auto"/>
          </w:tcPr>
          <w:p w:rsidR="00644152" w:rsidRDefault="00CC58B0">
            <w:pPr>
              <w:jc w:val="center"/>
            </w:pPr>
            <w:r>
              <w:rPr>
                <w:b/>
                <w:sz w:val="20"/>
              </w:rPr>
              <w:t>Return Interval (yrs)</w:t>
            </w:r>
          </w:p>
        </w:tc>
        <w:tc>
          <w:tcPr>
            <w:tcW w:w="0" w:type="auto"/>
          </w:tcPr>
          <w:p w:rsidR="00644152" w:rsidRDefault="00CC58B0">
            <w:pPr>
              <w:jc w:val="center"/>
            </w:pPr>
            <w:r>
              <w:rPr>
                <w:b/>
                <w:sz w:val="20"/>
              </w:rPr>
              <w:t>Reset Age to New Class Start Age After Disturbance?</w:t>
            </w:r>
          </w:p>
        </w:tc>
        <w:tc>
          <w:tcPr>
            <w:tcW w:w="0" w:type="auto"/>
          </w:tcPr>
          <w:p w:rsidR="00644152" w:rsidRDefault="00CC58B0">
            <w:pPr>
              <w:jc w:val="center"/>
            </w:pPr>
            <w:r>
              <w:rPr>
                <w:b/>
                <w:sz w:val="20"/>
              </w:rPr>
              <w:t>Years Since Last Disturbance</w:t>
            </w:r>
          </w:p>
        </w:tc>
      </w:tr>
      <w:tr w:rsidR="00644152">
        <w:tc>
          <w:tcPr>
            <w:tcW w:w="0" w:type="auto"/>
          </w:tcPr>
          <w:p w:rsidR="00644152" w:rsidRDefault="00CC58B0">
            <w:pPr>
              <w:jc w:val="center"/>
            </w:pPr>
            <w:r>
              <w:rPr>
                <w:sz w:val="20"/>
              </w:rPr>
              <w:t>Replacement Fire</w:t>
            </w:r>
          </w:p>
        </w:tc>
        <w:tc>
          <w:tcPr>
            <w:tcW w:w="0" w:type="auto"/>
          </w:tcPr>
          <w:p w:rsidR="00644152" w:rsidRDefault="00CC58B0">
            <w:pPr>
              <w:jc w:val="center"/>
            </w:pPr>
            <w:r>
              <w:rPr>
                <w:sz w:val="20"/>
              </w:rPr>
              <w:t>Early1:ALL</w:t>
            </w:r>
          </w:p>
        </w:tc>
        <w:tc>
          <w:tcPr>
            <w:tcW w:w="0" w:type="auto"/>
          </w:tcPr>
          <w:p w:rsidR="00644152" w:rsidRDefault="00CC58B0">
            <w:pPr>
              <w:jc w:val="center"/>
            </w:pPr>
            <w:r>
              <w:rPr>
                <w:sz w:val="20"/>
              </w:rPr>
              <w:t>Early1:ALL</w:t>
            </w:r>
          </w:p>
        </w:tc>
        <w:tc>
          <w:tcPr>
            <w:tcW w:w="0" w:type="auto"/>
          </w:tcPr>
          <w:p w:rsidR="00644152" w:rsidRDefault="00CC58B0">
            <w:pPr>
              <w:jc w:val="center"/>
            </w:pPr>
            <w:r>
              <w:rPr>
                <w:sz w:val="20"/>
              </w:rPr>
              <w:t>0.01</w:t>
            </w:r>
          </w:p>
        </w:tc>
        <w:tc>
          <w:tcPr>
            <w:tcW w:w="0" w:type="auto"/>
          </w:tcPr>
          <w:p w:rsidR="00644152" w:rsidRDefault="00CC58B0">
            <w:pPr>
              <w:jc w:val="center"/>
            </w:pPr>
            <w:r>
              <w:rPr>
                <w:sz w:val="20"/>
              </w:rPr>
              <w:t>100</w:t>
            </w:r>
          </w:p>
        </w:tc>
        <w:tc>
          <w:tcPr>
            <w:tcW w:w="0" w:type="auto"/>
          </w:tcPr>
          <w:p w:rsidR="00644152" w:rsidRDefault="00CC58B0">
            <w:pPr>
              <w:jc w:val="center"/>
            </w:pPr>
            <w:r>
              <w:rPr>
                <w:sz w:val="20"/>
              </w:rPr>
              <w:t>Yes</w:t>
            </w:r>
          </w:p>
        </w:tc>
        <w:tc>
          <w:tcPr>
            <w:tcW w:w="0" w:type="auto"/>
          </w:tcPr>
          <w:p w:rsidR="00644152" w:rsidRDefault="00CC58B0">
            <w:pPr>
              <w:jc w:val="center"/>
            </w:pPr>
            <w:r>
              <w:rPr>
                <w:sz w:val="20"/>
              </w:rPr>
              <w:t>0</w:t>
            </w:r>
          </w:p>
        </w:tc>
      </w:tr>
      <w:tr w:rsidR="00644152">
        <w:tc>
          <w:tcPr>
            <w:tcW w:w="0" w:type="auto"/>
          </w:tcPr>
          <w:p w:rsidR="00644152" w:rsidRDefault="00CC58B0">
            <w:pPr>
              <w:jc w:val="center"/>
            </w:pPr>
            <w:r>
              <w:rPr>
                <w:sz w:val="20"/>
              </w:rPr>
              <w:t>Replacement Fire</w:t>
            </w:r>
          </w:p>
        </w:tc>
        <w:tc>
          <w:tcPr>
            <w:tcW w:w="0" w:type="auto"/>
          </w:tcPr>
          <w:p w:rsidR="00644152" w:rsidRDefault="00CC58B0">
            <w:pPr>
              <w:jc w:val="center"/>
            </w:pPr>
            <w:r>
              <w:rPr>
                <w:sz w:val="20"/>
              </w:rPr>
              <w:t>Late1:CLS</w:t>
            </w:r>
          </w:p>
        </w:tc>
        <w:tc>
          <w:tcPr>
            <w:tcW w:w="0" w:type="auto"/>
          </w:tcPr>
          <w:p w:rsidR="00644152" w:rsidRDefault="00CC58B0">
            <w:pPr>
              <w:jc w:val="center"/>
            </w:pPr>
            <w:r>
              <w:rPr>
                <w:sz w:val="20"/>
              </w:rPr>
              <w:t>Early1:ALL</w:t>
            </w:r>
          </w:p>
        </w:tc>
        <w:tc>
          <w:tcPr>
            <w:tcW w:w="0" w:type="auto"/>
          </w:tcPr>
          <w:p w:rsidR="00644152" w:rsidRDefault="00CC58B0">
            <w:pPr>
              <w:jc w:val="center"/>
            </w:pPr>
            <w:r>
              <w:rPr>
                <w:sz w:val="20"/>
              </w:rPr>
              <w:t>0.014</w:t>
            </w:r>
          </w:p>
        </w:tc>
        <w:tc>
          <w:tcPr>
            <w:tcW w:w="0" w:type="auto"/>
          </w:tcPr>
          <w:p w:rsidR="00644152" w:rsidRDefault="00CC58B0">
            <w:pPr>
              <w:jc w:val="center"/>
            </w:pPr>
            <w:r>
              <w:rPr>
                <w:sz w:val="20"/>
              </w:rPr>
              <w:t>71</w:t>
            </w:r>
          </w:p>
        </w:tc>
        <w:tc>
          <w:tcPr>
            <w:tcW w:w="0" w:type="auto"/>
          </w:tcPr>
          <w:p w:rsidR="00644152" w:rsidRDefault="00CC58B0">
            <w:pPr>
              <w:jc w:val="center"/>
            </w:pPr>
            <w:r>
              <w:rPr>
                <w:sz w:val="20"/>
              </w:rPr>
              <w:t>Yes</w:t>
            </w:r>
          </w:p>
        </w:tc>
        <w:tc>
          <w:tcPr>
            <w:tcW w:w="0" w:type="auto"/>
          </w:tcPr>
          <w:p w:rsidR="00644152" w:rsidRDefault="00CC58B0">
            <w:pPr>
              <w:jc w:val="center"/>
            </w:pPr>
            <w:r>
              <w:rPr>
                <w:sz w:val="20"/>
              </w:rPr>
              <w:t>0</w:t>
            </w:r>
          </w:p>
        </w:tc>
      </w:tr>
    </w:tbl>
    <w:p w:rsidR="00644152" w:rsidRDefault="00644152"/>
    <w:p w:rsidR="00644152" w:rsidRDefault="00CC58B0">
      <w:pPr>
        <w:pStyle w:val="ReportSection"/>
      </w:pPr>
      <w:r>
        <w:t>References</w:t>
      </w:r>
    </w:p>
    <w:p w:rsidR="00644152" w:rsidRDefault="00644152"/>
    <w:p w:rsidR="002E5E55" w:rsidRDefault="002E5E55" w:rsidP="002E5E55">
      <w:r>
        <w:t>Byrne, R.I., J. Michaelsen and A. Soutar.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2E5E55" w:rsidRDefault="002E5E55" w:rsidP="002E5E55"/>
    <w:p w:rsidR="00FD3888" w:rsidRDefault="00FD3888" w:rsidP="002E5E55">
      <w:r>
        <w:t>Duren, O.C. and P.S. Muir. 2010. Does fuel management accomplish restoration in southwest Oregon, USA, chaparral? Fire Ecology 6:76-96.</w:t>
      </w:r>
    </w:p>
    <w:p w:rsidR="00FD3888" w:rsidRDefault="00FD3888" w:rsidP="002E5E55"/>
    <w:p w:rsidR="00FD3888" w:rsidRPr="00FD3888" w:rsidRDefault="00FD3888" w:rsidP="00FD3888">
      <w:r w:rsidRPr="00FD3888">
        <w:t>Duren, O</w:t>
      </w:r>
      <w:r>
        <w:t>.</w:t>
      </w:r>
      <w:r w:rsidRPr="00FD3888">
        <w:t>C. 2009. Chaparral history, dynamics, and response to disturbance in southwest Oregon: insights from age structure. Thesis. Oregon State University.</w:t>
      </w:r>
    </w:p>
    <w:p w:rsidR="00FD3888" w:rsidRDefault="00FD3888" w:rsidP="002E5E55"/>
    <w:p w:rsidR="00FD3888" w:rsidRDefault="00FD3888" w:rsidP="002E5E55">
      <w:r>
        <w:t xml:space="preserve">Hanes, T.L. 1971. Succession after fire in the chaparral of southern California. Ecological Monographs. 41: 27-52. </w:t>
      </w:r>
    </w:p>
    <w:p w:rsidR="00FD3888" w:rsidRDefault="00FD3888" w:rsidP="002E5E55"/>
    <w:p w:rsidR="002E5E55" w:rsidRDefault="002E5E55" w:rsidP="002E5E55">
      <w:r>
        <w:t>Keeley, J.E. 2002. Native American impacts on fire regimes of the California coastal ranges. Journal of Biogeography 29: 303-320.</w:t>
      </w:r>
    </w:p>
    <w:p w:rsidR="002E5E55" w:rsidRDefault="002E5E55" w:rsidP="002E5E55"/>
    <w:p w:rsidR="002E5E55" w:rsidRDefault="002E5E55" w:rsidP="002E5E55">
      <w:r>
        <w:t>Keeley, J.E. Fire in the South Coast region. 2005. In Fites-Kaufman, J., N. Sugihara and J. van Wangtendonk, eds. Fire Ecology of California Ecosystems. University of California Press. In press.</w:t>
      </w:r>
    </w:p>
    <w:p w:rsidR="002E5E55" w:rsidRDefault="002E5E55" w:rsidP="002E5E55"/>
    <w:p w:rsidR="002E5E55" w:rsidRDefault="002E5E55" w:rsidP="002E5E55">
      <w:r>
        <w:t xml:space="preserve">Keeley, J.E., C.J. Fotheringham and M. Morais. 1999. Reexamining fire suppression impacts on brushland fire regimes. Science 284: 1829-1832. </w:t>
      </w:r>
    </w:p>
    <w:p w:rsidR="002E5E55" w:rsidRDefault="002E5E55" w:rsidP="002E5E55"/>
    <w:p w:rsidR="002E5E55" w:rsidRDefault="002E5E55" w:rsidP="002E5E55">
      <w:r>
        <w:t>Keeley, J.E. and C.J. Fotheringham. 2001. The historical role of fire in California shrublands. Conservation Biology 15: 1536-1548.</w:t>
      </w:r>
    </w:p>
    <w:p w:rsidR="002E5E55" w:rsidRDefault="002E5E55" w:rsidP="002E5E55"/>
    <w:p w:rsidR="002E5E55" w:rsidRDefault="002E5E55" w:rsidP="002E5E55">
      <w:r>
        <w:t>Keeley, J.E. and C.J. Fotheringham. 2001. History and management of crown-fire ecosystems: A summary and response. Conservation Biology 15: 1561-1567.</w:t>
      </w:r>
    </w:p>
    <w:p w:rsidR="002E5E55" w:rsidRDefault="002E5E55" w:rsidP="002E5E55"/>
    <w:p w:rsidR="002E5E55" w:rsidRDefault="002E5E55" w:rsidP="002E5E55">
      <w:r>
        <w:t>Keeley, J.E. and C.J. Fotheringham. 2003. Impact of past, present, and future fire regimes on North American Mediterranean shrublands. In: Veblen, T.T., W.L. Baker, G. Montenegro and T.W. Swetnam, eds. Fire and Climatic Change in Temperate Ecosystems of the Western Americas. NY: Springer. 218-262.</w:t>
      </w:r>
    </w:p>
    <w:p w:rsidR="002E5E55" w:rsidRDefault="002E5E55" w:rsidP="002E5E55"/>
    <w:p w:rsidR="002A5675" w:rsidRDefault="002A5675" w:rsidP="002E5E55">
      <w:r>
        <w:t>Keeley, J.E., A.H. Pfaff and H.D. Safford. 2005. Fire suppression impacts on postfire recovery of Sierra Nevada chaparral shrublands. International Journal of Wildland Fire 14:255-265.</w:t>
      </w:r>
    </w:p>
    <w:p w:rsidR="002E5E55" w:rsidRDefault="002E5E55" w:rsidP="002E5E55">
      <w:r>
        <w:t>Moritz, M.A., J.E. Keeley, E.A. Johnson and A.A. Schaffner. 2004. Testing a basic assumption of shrubland fire management: Does the hazard of burning increase with the age of fuels? Frontiers in Ecology and the Environment 2: 67-72.</w:t>
      </w:r>
    </w:p>
    <w:p w:rsidR="002E5E55" w:rsidRDefault="002E5E55" w:rsidP="002E5E55"/>
    <w:p w:rsidR="002A5675" w:rsidRDefault="002A5675" w:rsidP="002E5E55">
      <w:r>
        <w:t>Nagel, T.A. and A.H. Taylor. 2005. Fire and persistence of montane chaparral in mixed conifer forest landscapes in the northern Sierra Nevada, Lake Tahoe Basin, California, USA. Journal of the Torrey Botanical Society 132(3): 442-457.</w:t>
      </w:r>
    </w:p>
    <w:p w:rsidR="002A5675" w:rsidRDefault="002A5675" w:rsidP="002E5E55"/>
    <w:p w:rsidR="002E5E55" w:rsidRDefault="002E5E55" w:rsidP="002E5E55">
      <w:r>
        <w:t>NatureServe. 2007. International Ecological Classification Standard: Terrestrial Ecological Classifications. NatureServe Central Databases. Arlington, VA. Data current as of 10 February 2007.</w:t>
      </w:r>
    </w:p>
    <w:p w:rsidR="002E5E55" w:rsidRDefault="002E5E55" w:rsidP="002E5E55"/>
    <w:p w:rsidR="002E5E55" w:rsidRDefault="002E5E55" w:rsidP="002E5E55">
      <w:r>
        <w:t>Wells P.V. 1962. Vegetation in relation to geological substratum and fire in the San Luis Obispo quadrangle, California. Ecological Monographs 32, 79, 103.</w:t>
      </w:r>
    </w:p>
    <w:p w:rsidR="002E5E55" w:rsidRDefault="002E5E55" w:rsidP="002E5E55"/>
    <w:p w:rsidR="002E5E55" w:rsidRDefault="002E5E55" w:rsidP="002E5E55">
      <w:r>
        <w:t>Zedler, P.H. 1995. Plant life history and dynamic specialization in the chaparral/coastal sage scrub flora in southern California. In: Arroyo, M.T.K., P.A. Zedler and M.D. Fox, eds. Ecology and Biogeography of Mediterranean Ecosystems in Chile, California, and Australia. NY: Springer. 89-115.</w:t>
      </w:r>
    </w:p>
    <w:p w:rsidR="002E5E55" w:rsidRDefault="002E5E55" w:rsidP="002E5E55"/>
    <w:p w:rsidR="002E5E55" w:rsidRDefault="002E5E55" w:rsidP="002E5E55">
      <w:r>
        <w:t>Zedler, P.H., C.R. Gautier, C.R. and G.S. McMaster. 1983. Vegetation change in response to extreme events: the effect of a short interval between fires in California chaparral and coastal sage scrub. Ecology 64: 809-818.</w:t>
      </w:r>
    </w:p>
    <w:p w:rsidR="004D5F12" w:rsidRPr="00A43E41" w:rsidRDefault="004D5F12" w:rsidP="002E5E55"/>
    <w:sectPr w:rsidR="004D5F12" w:rsidRPr="00A43E41"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B0" w:rsidRDefault="00CC58B0">
      <w:r>
        <w:separator/>
      </w:r>
    </w:p>
  </w:endnote>
  <w:endnote w:type="continuationSeparator" w:id="0">
    <w:p w:rsidR="00CC58B0" w:rsidRDefault="00CC58B0">
      <w:r>
        <w:continuationSeparator/>
      </w:r>
    </w:p>
  </w:endnote>
  <w:endnote w:type="continuationNotice" w:id="1">
    <w:p w:rsidR="00CC58B0" w:rsidRDefault="00CC5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24" w:rsidRDefault="003D2324" w:rsidP="002E5E5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B0" w:rsidRDefault="00CC58B0">
      <w:r>
        <w:separator/>
      </w:r>
    </w:p>
  </w:footnote>
  <w:footnote w:type="continuationSeparator" w:id="0">
    <w:p w:rsidR="00CC58B0" w:rsidRDefault="00CC58B0">
      <w:r>
        <w:continuationSeparator/>
      </w:r>
    </w:p>
  </w:footnote>
  <w:footnote w:type="continuationNotice" w:id="1">
    <w:p w:rsidR="00CC58B0" w:rsidRDefault="00CC58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24" w:rsidRDefault="003D2324" w:rsidP="002E5E5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47" w:rsidRDefault="00620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55"/>
    <w:rsid w:val="00005947"/>
    <w:rsid w:val="00006AF9"/>
    <w:rsid w:val="0002152F"/>
    <w:rsid w:val="00023101"/>
    <w:rsid w:val="00031661"/>
    <w:rsid w:val="00035AB6"/>
    <w:rsid w:val="00036067"/>
    <w:rsid w:val="00036EE4"/>
    <w:rsid w:val="00060925"/>
    <w:rsid w:val="00062E6C"/>
    <w:rsid w:val="000847D7"/>
    <w:rsid w:val="000A0496"/>
    <w:rsid w:val="000D0A31"/>
    <w:rsid w:val="000D2569"/>
    <w:rsid w:val="000E5ACE"/>
    <w:rsid w:val="000F031B"/>
    <w:rsid w:val="000F0FE2"/>
    <w:rsid w:val="000F1785"/>
    <w:rsid w:val="00113A24"/>
    <w:rsid w:val="00127C0D"/>
    <w:rsid w:val="001368CB"/>
    <w:rsid w:val="00140332"/>
    <w:rsid w:val="00190A7C"/>
    <w:rsid w:val="00191991"/>
    <w:rsid w:val="001A0625"/>
    <w:rsid w:val="001A09C3"/>
    <w:rsid w:val="001A6D2D"/>
    <w:rsid w:val="001B0B3D"/>
    <w:rsid w:val="001C2B3F"/>
    <w:rsid w:val="001C6795"/>
    <w:rsid w:val="00201D37"/>
    <w:rsid w:val="002035A1"/>
    <w:rsid w:val="002103D4"/>
    <w:rsid w:val="00210B26"/>
    <w:rsid w:val="002225EE"/>
    <w:rsid w:val="00240CE1"/>
    <w:rsid w:val="0025768B"/>
    <w:rsid w:val="00266C1F"/>
    <w:rsid w:val="00285F40"/>
    <w:rsid w:val="002A2340"/>
    <w:rsid w:val="002A563D"/>
    <w:rsid w:val="002A5675"/>
    <w:rsid w:val="002B45B7"/>
    <w:rsid w:val="002C37E6"/>
    <w:rsid w:val="002C550A"/>
    <w:rsid w:val="002D1CD3"/>
    <w:rsid w:val="002D49EF"/>
    <w:rsid w:val="002E5E55"/>
    <w:rsid w:val="00300328"/>
    <w:rsid w:val="00301476"/>
    <w:rsid w:val="003110AC"/>
    <w:rsid w:val="00313322"/>
    <w:rsid w:val="00320C6A"/>
    <w:rsid w:val="003301EC"/>
    <w:rsid w:val="003377E1"/>
    <w:rsid w:val="003379B5"/>
    <w:rsid w:val="00362A51"/>
    <w:rsid w:val="00367591"/>
    <w:rsid w:val="003706C4"/>
    <w:rsid w:val="0037120A"/>
    <w:rsid w:val="00386841"/>
    <w:rsid w:val="003A3976"/>
    <w:rsid w:val="003C4079"/>
    <w:rsid w:val="003C4AA1"/>
    <w:rsid w:val="003C6CFB"/>
    <w:rsid w:val="003D2324"/>
    <w:rsid w:val="003D4155"/>
    <w:rsid w:val="003D5A6A"/>
    <w:rsid w:val="003F322E"/>
    <w:rsid w:val="00400D76"/>
    <w:rsid w:val="00400F61"/>
    <w:rsid w:val="004016D3"/>
    <w:rsid w:val="00412872"/>
    <w:rsid w:val="00413292"/>
    <w:rsid w:val="00434F3F"/>
    <w:rsid w:val="00457962"/>
    <w:rsid w:val="00462F89"/>
    <w:rsid w:val="00464BB8"/>
    <w:rsid w:val="004B3810"/>
    <w:rsid w:val="004B661D"/>
    <w:rsid w:val="004B779E"/>
    <w:rsid w:val="004C33E3"/>
    <w:rsid w:val="004D5F12"/>
    <w:rsid w:val="004E4A30"/>
    <w:rsid w:val="004F1BBF"/>
    <w:rsid w:val="004F5DE6"/>
    <w:rsid w:val="004F70F9"/>
    <w:rsid w:val="00503E44"/>
    <w:rsid w:val="00511556"/>
    <w:rsid w:val="00512636"/>
    <w:rsid w:val="00530583"/>
    <w:rsid w:val="00531069"/>
    <w:rsid w:val="00546B88"/>
    <w:rsid w:val="00547B4B"/>
    <w:rsid w:val="00554272"/>
    <w:rsid w:val="00572597"/>
    <w:rsid w:val="00573E56"/>
    <w:rsid w:val="0058058C"/>
    <w:rsid w:val="00587A2E"/>
    <w:rsid w:val="00592DEC"/>
    <w:rsid w:val="005A033C"/>
    <w:rsid w:val="005B1DDE"/>
    <w:rsid w:val="005C123F"/>
    <w:rsid w:val="005C15AE"/>
    <w:rsid w:val="005C2928"/>
    <w:rsid w:val="005C475F"/>
    <w:rsid w:val="005C4AD4"/>
    <w:rsid w:val="005F333A"/>
    <w:rsid w:val="0061440A"/>
    <w:rsid w:val="00620C47"/>
    <w:rsid w:val="00621C0C"/>
    <w:rsid w:val="00626A79"/>
    <w:rsid w:val="00644152"/>
    <w:rsid w:val="00683368"/>
    <w:rsid w:val="00686CF3"/>
    <w:rsid w:val="00691641"/>
    <w:rsid w:val="00691C3A"/>
    <w:rsid w:val="006A51EC"/>
    <w:rsid w:val="006C0ECB"/>
    <w:rsid w:val="006D2137"/>
    <w:rsid w:val="006E59C5"/>
    <w:rsid w:val="00700C23"/>
    <w:rsid w:val="0070333C"/>
    <w:rsid w:val="00703CDD"/>
    <w:rsid w:val="0072055A"/>
    <w:rsid w:val="007415D2"/>
    <w:rsid w:val="00751DBE"/>
    <w:rsid w:val="00760203"/>
    <w:rsid w:val="007742B4"/>
    <w:rsid w:val="00780A48"/>
    <w:rsid w:val="00790258"/>
    <w:rsid w:val="007B2B17"/>
    <w:rsid w:val="007C7AF3"/>
    <w:rsid w:val="007E4B31"/>
    <w:rsid w:val="007F33B2"/>
    <w:rsid w:val="007F4D93"/>
    <w:rsid w:val="00806FFD"/>
    <w:rsid w:val="00810F02"/>
    <w:rsid w:val="00826176"/>
    <w:rsid w:val="008317C0"/>
    <w:rsid w:val="008327C1"/>
    <w:rsid w:val="0083523E"/>
    <w:rsid w:val="008476C5"/>
    <w:rsid w:val="0085326E"/>
    <w:rsid w:val="00857297"/>
    <w:rsid w:val="008610DF"/>
    <w:rsid w:val="00863049"/>
    <w:rsid w:val="008658E9"/>
    <w:rsid w:val="00865C64"/>
    <w:rsid w:val="00867BEE"/>
    <w:rsid w:val="008706E0"/>
    <w:rsid w:val="0087264D"/>
    <w:rsid w:val="00876BDA"/>
    <w:rsid w:val="008A1F68"/>
    <w:rsid w:val="008B679A"/>
    <w:rsid w:val="008D6868"/>
    <w:rsid w:val="008E0BF0"/>
    <w:rsid w:val="008E273F"/>
    <w:rsid w:val="008F1823"/>
    <w:rsid w:val="009005BA"/>
    <w:rsid w:val="00901410"/>
    <w:rsid w:val="00901CA2"/>
    <w:rsid w:val="009275B8"/>
    <w:rsid w:val="00932C77"/>
    <w:rsid w:val="00945DBA"/>
    <w:rsid w:val="00954828"/>
    <w:rsid w:val="00955811"/>
    <w:rsid w:val="00955A66"/>
    <w:rsid w:val="00956116"/>
    <w:rsid w:val="00964894"/>
    <w:rsid w:val="00967C07"/>
    <w:rsid w:val="009B1FAA"/>
    <w:rsid w:val="009C222B"/>
    <w:rsid w:val="009C52D4"/>
    <w:rsid w:val="009C60AC"/>
    <w:rsid w:val="009C78BA"/>
    <w:rsid w:val="009D6227"/>
    <w:rsid w:val="009E0DB5"/>
    <w:rsid w:val="009E6D3B"/>
    <w:rsid w:val="009F25DF"/>
    <w:rsid w:val="009F7731"/>
    <w:rsid w:val="00A247B9"/>
    <w:rsid w:val="00A3657F"/>
    <w:rsid w:val="00A43E41"/>
    <w:rsid w:val="00A44540"/>
    <w:rsid w:val="00A44EF7"/>
    <w:rsid w:val="00A477A5"/>
    <w:rsid w:val="00A61EB8"/>
    <w:rsid w:val="00A63A48"/>
    <w:rsid w:val="00A664FA"/>
    <w:rsid w:val="00A90C18"/>
    <w:rsid w:val="00A9365B"/>
    <w:rsid w:val="00B02771"/>
    <w:rsid w:val="00B17612"/>
    <w:rsid w:val="00B55CB2"/>
    <w:rsid w:val="00B650FF"/>
    <w:rsid w:val="00B746D4"/>
    <w:rsid w:val="00B80C71"/>
    <w:rsid w:val="00B92A33"/>
    <w:rsid w:val="00BB346C"/>
    <w:rsid w:val="00BF3879"/>
    <w:rsid w:val="00BF5AD2"/>
    <w:rsid w:val="00C03EAE"/>
    <w:rsid w:val="00C0481C"/>
    <w:rsid w:val="00C21B4A"/>
    <w:rsid w:val="00C3230C"/>
    <w:rsid w:val="00C52E14"/>
    <w:rsid w:val="00C551C9"/>
    <w:rsid w:val="00C85D8F"/>
    <w:rsid w:val="00C908F2"/>
    <w:rsid w:val="00C90E95"/>
    <w:rsid w:val="00CC58B0"/>
    <w:rsid w:val="00CC5ADF"/>
    <w:rsid w:val="00CE7336"/>
    <w:rsid w:val="00CF2C94"/>
    <w:rsid w:val="00CF5B29"/>
    <w:rsid w:val="00CF71F4"/>
    <w:rsid w:val="00D04D5D"/>
    <w:rsid w:val="00D057EA"/>
    <w:rsid w:val="00D111B5"/>
    <w:rsid w:val="00D12502"/>
    <w:rsid w:val="00D34FCA"/>
    <w:rsid w:val="00D37B60"/>
    <w:rsid w:val="00D45E77"/>
    <w:rsid w:val="00D61AC5"/>
    <w:rsid w:val="00D653F0"/>
    <w:rsid w:val="00D81349"/>
    <w:rsid w:val="00D90718"/>
    <w:rsid w:val="00D93CDB"/>
    <w:rsid w:val="00D96D94"/>
    <w:rsid w:val="00DA2790"/>
    <w:rsid w:val="00DA6645"/>
    <w:rsid w:val="00DB5E0C"/>
    <w:rsid w:val="00DC59AD"/>
    <w:rsid w:val="00DE3A47"/>
    <w:rsid w:val="00DE5B29"/>
    <w:rsid w:val="00E01EC8"/>
    <w:rsid w:val="00E02CF7"/>
    <w:rsid w:val="00E152C8"/>
    <w:rsid w:val="00E23FCB"/>
    <w:rsid w:val="00E27D06"/>
    <w:rsid w:val="00E61F9B"/>
    <w:rsid w:val="00E63FA7"/>
    <w:rsid w:val="00E75D01"/>
    <w:rsid w:val="00E769D7"/>
    <w:rsid w:val="00E841A9"/>
    <w:rsid w:val="00E97299"/>
    <w:rsid w:val="00EA56EE"/>
    <w:rsid w:val="00EA6E6E"/>
    <w:rsid w:val="00EB1B37"/>
    <w:rsid w:val="00EB78E1"/>
    <w:rsid w:val="00EC4A14"/>
    <w:rsid w:val="00ED3436"/>
    <w:rsid w:val="00ED34B5"/>
    <w:rsid w:val="00ED69E5"/>
    <w:rsid w:val="00EF1C61"/>
    <w:rsid w:val="00EF6C66"/>
    <w:rsid w:val="00F12753"/>
    <w:rsid w:val="00F23676"/>
    <w:rsid w:val="00F310DA"/>
    <w:rsid w:val="00F55FA9"/>
    <w:rsid w:val="00F86C13"/>
    <w:rsid w:val="00F8733C"/>
    <w:rsid w:val="00F873A7"/>
    <w:rsid w:val="00F948F2"/>
    <w:rsid w:val="00FA28B7"/>
    <w:rsid w:val="00FA6583"/>
    <w:rsid w:val="00FB15AA"/>
    <w:rsid w:val="00FB6BCA"/>
    <w:rsid w:val="00FC3DB5"/>
    <w:rsid w:val="00FC5F4D"/>
    <w:rsid w:val="00FC671A"/>
    <w:rsid w:val="00FD3888"/>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4AF13"/>
  <w15:docId w15:val="{B58A0AE5-C743-418E-BEE6-6DA040AE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18"/>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415D2"/>
    <w:rPr>
      <w:rFonts w:ascii="Tahoma" w:hAnsi="Tahoma" w:cs="Tahoma"/>
      <w:sz w:val="16"/>
      <w:szCs w:val="16"/>
    </w:rPr>
  </w:style>
  <w:style w:type="character" w:customStyle="1" w:styleId="BalloonTextChar">
    <w:name w:val="Balloon Text Char"/>
    <w:basedOn w:val="DefaultParagraphFont"/>
    <w:link w:val="BalloonText"/>
    <w:uiPriority w:val="99"/>
    <w:semiHidden/>
    <w:rsid w:val="007415D2"/>
    <w:rPr>
      <w:rFonts w:ascii="Tahoma" w:hAnsi="Tahoma" w:cs="Tahoma"/>
      <w:sz w:val="16"/>
      <w:szCs w:val="16"/>
    </w:rPr>
  </w:style>
  <w:style w:type="paragraph" w:styleId="ListParagraph">
    <w:name w:val="List Paragraph"/>
    <w:basedOn w:val="Normal"/>
    <w:uiPriority w:val="34"/>
    <w:qFormat/>
    <w:rsid w:val="00810F02"/>
    <w:pPr>
      <w:ind w:left="720"/>
    </w:pPr>
    <w:rPr>
      <w:rFonts w:ascii="Calibri" w:eastAsiaTheme="minorHAnsi" w:hAnsi="Calibri"/>
      <w:sz w:val="22"/>
      <w:szCs w:val="22"/>
    </w:rPr>
  </w:style>
  <w:style w:type="character" w:styleId="Hyperlink">
    <w:name w:val="Hyperlink"/>
    <w:basedOn w:val="DefaultParagraphFont"/>
    <w:rsid w:val="00810F02"/>
    <w:rPr>
      <w:color w:val="0000FF" w:themeColor="hyperlink"/>
      <w:u w:val="single"/>
    </w:rPr>
  </w:style>
  <w:style w:type="character" w:styleId="CommentReference">
    <w:name w:val="annotation reference"/>
    <w:basedOn w:val="DefaultParagraphFont"/>
    <w:uiPriority w:val="99"/>
    <w:semiHidden/>
    <w:unhideWhenUsed/>
    <w:rsid w:val="00386841"/>
    <w:rPr>
      <w:sz w:val="16"/>
      <w:szCs w:val="16"/>
    </w:rPr>
  </w:style>
  <w:style w:type="paragraph" w:styleId="CommentText">
    <w:name w:val="annotation text"/>
    <w:basedOn w:val="Normal"/>
    <w:link w:val="CommentTextChar"/>
    <w:uiPriority w:val="99"/>
    <w:semiHidden/>
    <w:unhideWhenUsed/>
    <w:rsid w:val="00386841"/>
    <w:rPr>
      <w:sz w:val="20"/>
      <w:szCs w:val="20"/>
    </w:rPr>
  </w:style>
  <w:style w:type="character" w:customStyle="1" w:styleId="CommentTextChar">
    <w:name w:val="Comment Text Char"/>
    <w:basedOn w:val="DefaultParagraphFont"/>
    <w:link w:val="CommentText"/>
    <w:uiPriority w:val="99"/>
    <w:semiHidden/>
    <w:rsid w:val="00386841"/>
  </w:style>
  <w:style w:type="paragraph" w:styleId="CommentSubject">
    <w:name w:val="annotation subject"/>
    <w:basedOn w:val="CommentText"/>
    <w:next w:val="CommentText"/>
    <w:link w:val="CommentSubjectChar"/>
    <w:uiPriority w:val="99"/>
    <w:semiHidden/>
    <w:unhideWhenUsed/>
    <w:rsid w:val="00386841"/>
    <w:rPr>
      <w:b/>
      <w:bCs/>
    </w:rPr>
  </w:style>
  <w:style w:type="character" w:customStyle="1" w:styleId="CommentSubjectChar">
    <w:name w:val="Comment Subject Char"/>
    <w:basedOn w:val="CommentTextChar"/>
    <w:link w:val="CommentSubject"/>
    <w:uiPriority w:val="99"/>
    <w:semiHidden/>
    <w:rsid w:val="00386841"/>
    <w:rPr>
      <w:b/>
      <w:bCs/>
    </w:rPr>
  </w:style>
  <w:style w:type="paragraph" w:styleId="DocumentMap">
    <w:name w:val="Document Map"/>
    <w:basedOn w:val="Normal"/>
    <w:link w:val="DocumentMapChar"/>
    <w:uiPriority w:val="99"/>
    <w:semiHidden/>
    <w:unhideWhenUsed/>
    <w:rsid w:val="00E769D7"/>
    <w:rPr>
      <w:rFonts w:ascii="Tahoma" w:hAnsi="Tahoma" w:cs="Tahoma"/>
      <w:sz w:val="16"/>
      <w:szCs w:val="16"/>
    </w:rPr>
  </w:style>
  <w:style w:type="character" w:customStyle="1" w:styleId="DocumentMapChar">
    <w:name w:val="Document Map Char"/>
    <w:basedOn w:val="DefaultParagraphFont"/>
    <w:link w:val="DocumentMap"/>
    <w:uiPriority w:val="99"/>
    <w:semiHidden/>
    <w:rsid w:val="00E769D7"/>
    <w:rPr>
      <w:rFonts w:ascii="Tahoma" w:hAnsi="Tahoma" w:cs="Tahoma"/>
      <w:sz w:val="16"/>
      <w:szCs w:val="16"/>
    </w:rPr>
  </w:style>
  <w:style w:type="paragraph" w:styleId="HTMLPreformatted">
    <w:name w:val="HTML Preformatted"/>
    <w:basedOn w:val="Normal"/>
    <w:link w:val="HTMLPreformattedChar"/>
    <w:uiPriority w:val="99"/>
    <w:unhideWhenUsed/>
    <w:rsid w:val="00FB1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5A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6797">
      <w:bodyDiv w:val="1"/>
      <w:marLeft w:val="0"/>
      <w:marRight w:val="0"/>
      <w:marTop w:val="0"/>
      <w:marBottom w:val="0"/>
      <w:divBdr>
        <w:top w:val="none" w:sz="0" w:space="0" w:color="auto"/>
        <w:left w:val="none" w:sz="0" w:space="0" w:color="auto"/>
        <w:bottom w:val="none" w:sz="0" w:space="0" w:color="auto"/>
        <w:right w:val="none" w:sz="0" w:space="0" w:color="auto"/>
      </w:divBdr>
    </w:div>
    <w:div w:id="391973492">
      <w:bodyDiv w:val="1"/>
      <w:marLeft w:val="0"/>
      <w:marRight w:val="0"/>
      <w:marTop w:val="0"/>
      <w:marBottom w:val="0"/>
      <w:divBdr>
        <w:top w:val="none" w:sz="0" w:space="0" w:color="auto"/>
        <w:left w:val="none" w:sz="0" w:space="0" w:color="auto"/>
        <w:bottom w:val="none" w:sz="0" w:space="0" w:color="auto"/>
        <w:right w:val="none" w:sz="0" w:space="0" w:color="auto"/>
      </w:divBdr>
    </w:div>
    <w:div w:id="1583878349">
      <w:bodyDiv w:val="1"/>
      <w:marLeft w:val="0"/>
      <w:marRight w:val="0"/>
      <w:marTop w:val="0"/>
      <w:marBottom w:val="0"/>
      <w:divBdr>
        <w:top w:val="none" w:sz="0" w:space="0" w:color="auto"/>
        <w:left w:val="none" w:sz="0" w:space="0" w:color="auto"/>
        <w:bottom w:val="none" w:sz="0" w:space="0" w:color="auto"/>
        <w:right w:val="none" w:sz="0" w:space="0" w:color="auto"/>
      </w:divBdr>
    </w:div>
    <w:div w:id="171785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FB6C-A9C8-41C0-BA3F-EBDBE3CA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20</TotalTime>
  <Pages>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7</cp:revision>
  <cp:lastPrinted>2017-03-16T19:23:00Z</cp:lastPrinted>
  <dcterms:created xsi:type="dcterms:W3CDTF">2017-08-07T22:24:00Z</dcterms:created>
  <dcterms:modified xsi:type="dcterms:W3CDTF">2020-08-14T14:33:00Z</dcterms:modified>
</cp:coreProperties>
</file>