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0CB" w:rsidP="00B560CB" w:rsidRDefault="00B560CB" w14:paraId="48BB8CDD" w14:textId="77777777">
      <w:pPr>
        <w:pStyle w:val="BpSTitle"/>
      </w:pPr>
      <w:r>
        <w:t>11330</w:t>
      </w:r>
    </w:p>
    <w:p w:rsidR="00B560CB" w:rsidP="00B560CB" w:rsidRDefault="00B560CB" w14:paraId="5E17D88B" w14:textId="77777777">
      <w:pPr>
        <w:pStyle w:val="BpSTitle"/>
      </w:pPr>
      <w:r>
        <w:t>Chihuahuan Sandy Plains Semi-Desert Grassland</w:t>
      </w:r>
    </w:p>
    <w:p w:rsidR="00B560CB" w:rsidP="00B560CB" w:rsidRDefault="00B560CB" w14:paraId="53DB39AA" w14:textId="77777777">
      <w:r>
        <w:t xmlns:w="http://schemas.openxmlformats.org/wordprocessingml/2006/main">BpS Model/Description Version: Aug. 2020</w:t>
      </w:r>
      <w:r>
        <w:tab/>
      </w:r>
      <w:r>
        <w:tab/>
      </w:r>
      <w:r>
        <w:tab/>
      </w:r>
      <w:r>
        <w:tab/>
      </w:r>
      <w:r>
        <w:tab/>
      </w:r>
      <w:r>
        <w:tab/>
      </w:r>
      <w:r>
        <w:tab/>
      </w:r>
    </w:p>
    <w:p w:rsidR="00B560CB" w:rsidP="00B560CB" w:rsidRDefault="00B560CB" w14:paraId="6353DC30"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8"/>
        <w:gridCol w:w="2880"/>
        <w:gridCol w:w="1710"/>
        <w:gridCol w:w="3348"/>
      </w:tblGrid>
      <w:tr w:rsidRPr="00B560CB" w:rsidR="00B560CB" w:rsidTr="0059448C" w14:paraId="728B229E" w14:textId="77777777">
        <w:tc>
          <w:tcPr>
            <w:tcW w:w="1638" w:type="dxa"/>
            <w:tcBorders>
              <w:top w:val="single" w:color="auto" w:sz="2" w:space="0"/>
              <w:left w:val="single" w:color="auto" w:sz="12" w:space="0"/>
              <w:bottom w:val="single" w:color="000000" w:sz="12" w:space="0"/>
            </w:tcBorders>
            <w:shd w:val="clear" w:color="auto" w:fill="auto"/>
          </w:tcPr>
          <w:p w:rsidRPr="00B560CB" w:rsidR="00B560CB" w:rsidP="001D54DB" w:rsidRDefault="00B560CB" w14:paraId="2332FF98" w14:textId="77777777">
            <w:pPr>
              <w:rPr>
                <w:b/>
                <w:bCs/>
              </w:rPr>
            </w:pPr>
            <w:r w:rsidRPr="00B560CB">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B560CB" w:rsidR="00B560CB" w:rsidP="001D54DB" w:rsidRDefault="00B560CB" w14:paraId="7684421B"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B560CB" w:rsidR="00B560CB" w:rsidP="001D54DB" w:rsidRDefault="00B560CB" w14:paraId="4AE9087C" w14:textId="77777777">
            <w:pPr>
              <w:rPr>
                <w:b/>
                <w:bCs/>
              </w:rPr>
            </w:pPr>
            <w:r w:rsidRPr="00B560CB">
              <w:rPr>
                <w:b/>
                <w:bCs/>
              </w:rPr>
              <w:t>Reviewers</w:t>
            </w:r>
          </w:p>
        </w:tc>
        <w:tc>
          <w:tcPr>
            <w:tcW w:w="3348" w:type="dxa"/>
            <w:tcBorders>
              <w:top w:val="single" w:color="auto" w:sz="2" w:space="0"/>
              <w:bottom w:val="single" w:color="000000" w:sz="12" w:space="0"/>
            </w:tcBorders>
            <w:shd w:val="clear" w:color="auto" w:fill="auto"/>
          </w:tcPr>
          <w:p w:rsidRPr="00B560CB" w:rsidR="00B560CB" w:rsidP="001D54DB" w:rsidRDefault="00B560CB" w14:paraId="68F74E7E" w14:textId="77777777">
            <w:pPr>
              <w:rPr>
                <w:b/>
                <w:bCs/>
              </w:rPr>
            </w:pPr>
          </w:p>
        </w:tc>
      </w:tr>
      <w:tr w:rsidRPr="00B560CB" w:rsidR="00B560CB" w:rsidTr="0059448C" w14:paraId="14BA3352" w14:textId="77777777">
        <w:tc>
          <w:tcPr>
            <w:tcW w:w="1638" w:type="dxa"/>
            <w:tcBorders>
              <w:top w:val="single" w:color="000000" w:sz="12" w:space="0"/>
              <w:left w:val="single" w:color="auto" w:sz="12" w:space="0"/>
            </w:tcBorders>
            <w:shd w:val="clear" w:color="auto" w:fill="auto"/>
          </w:tcPr>
          <w:p w:rsidRPr="00B560CB" w:rsidR="00B560CB" w:rsidP="001D54DB" w:rsidRDefault="00B560CB" w14:paraId="5EBC0859" w14:textId="77777777">
            <w:pPr>
              <w:rPr>
                <w:bCs/>
              </w:rPr>
            </w:pPr>
            <w:r w:rsidRPr="00B560CB">
              <w:rPr>
                <w:bCs/>
              </w:rPr>
              <w:t>Joel Brown</w:t>
            </w:r>
          </w:p>
        </w:tc>
        <w:tc>
          <w:tcPr>
            <w:tcW w:w="2880" w:type="dxa"/>
            <w:tcBorders>
              <w:top w:val="single" w:color="000000" w:sz="12" w:space="0"/>
              <w:right w:val="single" w:color="000000" w:sz="12" w:space="0"/>
            </w:tcBorders>
            <w:shd w:val="clear" w:color="auto" w:fill="auto"/>
          </w:tcPr>
          <w:p w:rsidRPr="00B560CB" w:rsidR="00B560CB" w:rsidP="001D54DB" w:rsidRDefault="00B560CB" w14:paraId="6E992F65" w14:textId="77777777">
            <w:r w:rsidRPr="00B560CB">
              <w:t>joelbrow@nmsu.edu</w:t>
            </w:r>
          </w:p>
        </w:tc>
        <w:tc>
          <w:tcPr>
            <w:tcW w:w="1710" w:type="dxa"/>
            <w:tcBorders>
              <w:top w:val="single" w:color="000000" w:sz="12" w:space="0"/>
              <w:left w:val="single" w:color="000000" w:sz="12" w:space="0"/>
            </w:tcBorders>
            <w:shd w:val="clear" w:color="auto" w:fill="auto"/>
          </w:tcPr>
          <w:p w:rsidRPr="00B560CB" w:rsidR="00B560CB" w:rsidP="001D54DB" w:rsidRDefault="00B560CB" w14:paraId="05BC3992" w14:textId="77777777">
            <w:r w:rsidRPr="00B560CB">
              <w:t>Keith Schulz</w:t>
            </w:r>
          </w:p>
        </w:tc>
        <w:tc>
          <w:tcPr>
            <w:tcW w:w="3348" w:type="dxa"/>
            <w:tcBorders>
              <w:top w:val="single" w:color="000000" w:sz="12" w:space="0"/>
            </w:tcBorders>
            <w:shd w:val="clear" w:color="auto" w:fill="auto"/>
          </w:tcPr>
          <w:p w:rsidRPr="00B560CB" w:rsidR="00B560CB" w:rsidP="001D54DB" w:rsidRDefault="00B560CB" w14:paraId="20F93D87" w14:textId="77777777">
            <w:r w:rsidRPr="00B560CB">
              <w:t>Keith_Schulz@natureserve.org</w:t>
            </w:r>
          </w:p>
        </w:tc>
      </w:tr>
      <w:tr w:rsidRPr="00B560CB" w:rsidR="00B560CB" w:rsidTr="0059448C" w14:paraId="64853D4B" w14:textId="77777777">
        <w:tc>
          <w:tcPr>
            <w:tcW w:w="1638" w:type="dxa"/>
            <w:tcBorders>
              <w:left w:val="single" w:color="auto" w:sz="12" w:space="0"/>
            </w:tcBorders>
            <w:shd w:val="clear" w:color="auto" w:fill="auto"/>
          </w:tcPr>
          <w:p w:rsidRPr="00B560CB" w:rsidR="00B560CB" w:rsidP="001D54DB" w:rsidRDefault="00B560CB" w14:paraId="464F8B02" w14:textId="77777777">
            <w:pPr>
              <w:rPr>
                <w:bCs/>
              </w:rPr>
            </w:pPr>
            <w:r w:rsidRPr="00B560CB">
              <w:rPr>
                <w:bCs/>
              </w:rPr>
              <w:t xml:space="preserve">Mark </w:t>
            </w:r>
            <w:proofErr w:type="spellStart"/>
            <w:r w:rsidRPr="00B560CB">
              <w:rPr>
                <w:bCs/>
              </w:rPr>
              <w:t>Kaib</w:t>
            </w:r>
            <w:proofErr w:type="spellEnd"/>
          </w:p>
        </w:tc>
        <w:tc>
          <w:tcPr>
            <w:tcW w:w="2880" w:type="dxa"/>
            <w:tcBorders>
              <w:right w:val="single" w:color="000000" w:sz="12" w:space="0"/>
            </w:tcBorders>
            <w:shd w:val="clear" w:color="auto" w:fill="auto"/>
          </w:tcPr>
          <w:p w:rsidRPr="00B560CB" w:rsidR="00B560CB" w:rsidP="001D54DB" w:rsidRDefault="00B560CB" w14:paraId="7494AABC" w14:textId="77777777">
            <w:r w:rsidRPr="00B560CB">
              <w:t>mark_kaib@fws.gov</w:t>
            </w:r>
          </w:p>
        </w:tc>
        <w:tc>
          <w:tcPr>
            <w:tcW w:w="1710" w:type="dxa"/>
            <w:tcBorders>
              <w:left w:val="single" w:color="000000" w:sz="12" w:space="0"/>
            </w:tcBorders>
            <w:shd w:val="clear" w:color="auto" w:fill="auto"/>
          </w:tcPr>
          <w:p w:rsidRPr="00B560CB" w:rsidR="00B560CB" w:rsidP="001D54DB" w:rsidRDefault="00B560CB" w14:paraId="0666D46E" w14:textId="77777777">
            <w:r w:rsidRPr="00B560CB">
              <w:t>None</w:t>
            </w:r>
          </w:p>
        </w:tc>
        <w:tc>
          <w:tcPr>
            <w:tcW w:w="3348" w:type="dxa"/>
            <w:shd w:val="clear" w:color="auto" w:fill="auto"/>
          </w:tcPr>
          <w:p w:rsidRPr="00B560CB" w:rsidR="00B560CB" w:rsidP="001D54DB" w:rsidRDefault="00B560CB" w14:paraId="31F02341" w14:textId="77777777">
            <w:r w:rsidRPr="00B560CB">
              <w:t>None</w:t>
            </w:r>
          </w:p>
        </w:tc>
      </w:tr>
      <w:tr w:rsidRPr="00B560CB" w:rsidR="00B560CB" w:rsidTr="0059448C" w14:paraId="55C0ECD2" w14:textId="77777777">
        <w:tc>
          <w:tcPr>
            <w:tcW w:w="1638" w:type="dxa"/>
            <w:tcBorders>
              <w:left w:val="single" w:color="auto" w:sz="12" w:space="0"/>
              <w:bottom w:val="single" w:color="auto" w:sz="2" w:space="0"/>
            </w:tcBorders>
            <w:shd w:val="clear" w:color="auto" w:fill="auto"/>
          </w:tcPr>
          <w:p w:rsidRPr="00B560CB" w:rsidR="00B560CB" w:rsidP="001D54DB" w:rsidRDefault="00B560CB" w14:paraId="668D476D" w14:textId="77777777">
            <w:pPr>
              <w:rPr>
                <w:bCs/>
              </w:rPr>
            </w:pPr>
            <w:r w:rsidRPr="00B560CB">
              <w:rPr>
                <w:bCs/>
              </w:rPr>
              <w:t xml:space="preserve">Cameron </w:t>
            </w:r>
            <w:proofErr w:type="spellStart"/>
            <w:r w:rsidRPr="00B560CB">
              <w:rPr>
                <w:bCs/>
              </w:rPr>
              <w:t>Tongier</w:t>
            </w:r>
            <w:proofErr w:type="spellEnd"/>
          </w:p>
        </w:tc>
        <w:tc>
          <w:tcPr>
            <w:tcW w:w="2880" w:type="dxa"/>
            <w:tcBorders>
              <w:right w:val="single" w:color="000000" w:sz="12" w:space="0"/>
            </w:tcBorders>
            <w:shd w:val="clear" w:color="auto" w:fill="auto"/>
          </w:tcPr>
          <w:p w:rsidRPr="00B560CB" w:rsidR="00B560CB" w:rsidP="001D54DB" w:rsidRDefault="00B560CB" w14:paraId="54FA10FD" w14:textId="77777777">
            <w:r w:rsidRPr="00B560CB">
              <w:t>cameron_tongier@fws.gov</w:t>
            </w:r>
          </w:p>
        </w:tc>
        <w:tc>
          <w:tcPr>
            <w:tcW w:w="1710" w:type="dxa"/>
            <w:tcBorders>
              <w:left w:val="single" w:color="000000" w:sz="12" w:space="0"/>
              <w:bottom w:val="single" w:color="auto" w:sz="2" w:space="0"/>
            </w:tcBorders>
            <w:shd w:val="clear" w:color="auto" w:fill="auto"/>
          </w:tcPr>
          <w:p w:rsidRPr="00B560CB" w:rsidR="00B560CB" w:rsidP="001D54DB" w:rsidRDefault="00B560CB" w14:paraId="186AA56F" w14:textId="77777777">
            <w:r w:rsidRPr="00B560CB">
              <w:t>None</w:t>
            </w:r>
          </w:p>
        </w:tc>
        <w:tc>
          <w:tcPr>
            <w:tcW w:w="3348" w:type="dxa"/>
            <w:shd w:val="clear" w:color="auto" w:fill="auto"/>
          </w:tcPr>
          <w:p w:rsidRPr="00B560CB" w:rsidR="00B560CB" w:rsidP="001D54DB" w:rsidRDefault="00B560CB" w14:paraId="4E595FE6" w14:textId="77777777">
            <w:r w:rsidRPr="00B560CB">
              <w:t>None</w:t>
            </w:r>
          </w:p>
        </w:tc>
      </w:tr>
    </w:tbl>
    <w:p w:rsidR="00B560CB" w:rsidP="00B560CB" w:rsidRDefault="00B560CB" w14:paraId="654A0E33" w14:textId="77777777"/>
    <w:p w:rsidR="00B560CB" w:rsidP="00B560CB" w:rsidRDefault="00B560CB" w14:paraId="650FB987" w14:textId="77777777">
      <w:pPr>
        <w:pStyle w:val="InfoPara"/>
      </w:pPr>
      <w:r>
        <w:t>Vegetation Type</w:t>
      </w:r>
    </w:p>
    <w:p w:rsidR="00B560CB" w:rsidP="00B560CB" w:rsidRDefault="00B560CB" w14:paraId="274D6BAD" w14:textId="05767323">
      <w:bookmarkStart w:name="_GoBack" w:id="0"/>
      <w:bookmarkEnd w:id="0"/>
      <w:r>
        <w:t>Herbaceous</w:t>
      </w:r>
    </w:p>
    <w:p w:rsidR="00B560CB" w:rsidP="00B560CB" w:rsidRDefault="00B560CB" w14:paraId="60289A72" w14:textId="6F9D4B9B">
      <w:pPr>
        <w:pStyle w:val="InfoPara"/>
      </w:pPr>
      <w:r>
        <w:t>Map Zone</w:t>
      </w:r>
    </w:p>
    <w:p w:rsidR="00B560CB" w:rsidP="00B560CB" w:rsidRDefault="00B560CB" w14:paraId="10B9F603" w14:textId="77777777">
      <w:r>
        <w:t>25</w:t>
      </w:r>
    </w:p>
    <w:p w:rsidR="00B560CB" w:rsidP="00B560CB" w:rsidRDefault="00B560CB" w14:paraId="491F8876" w14:textId="77777777">
      <w:pPr>
        <w:pStyle w:val="InfoPara"/>
      </w:pPr>
      <w:r>
        <w:t>Geographic Range</w:t>
      </w:r>
    </w:p>
    <w:p w:rsidR="00B560CB" w:rsidP="00B560CB" w:rsidRDefault="00B560CB" w14:paraId="59C2F99F" w14:textId="7F68E111">
      <w:r>
        <w:t xml:space="preserve">Central, </w:t>
      </w:r>
      <w:r w:rsidR="00AB2829">
        <w:t>s</w:t>
      </w:r>
      <w:r>
        <w:t>outh-</w:t>
      </w:r>
      <w:r w:rsidR="00AB2829">
        <w:t>c</w:t>
      </w:r>
      <w:r>
        <w:t>entral N</w:t>
      </w:r>
      <w:r w:rsidR="00AB2829">
        <w:t>ew Mexico</w:t>
      </w:r>
    </w:p>
    <w:p w:rsidR="00B560CB" w:rsidP="00B560CB" w:rsidRDefault="00B560CB" w14:paraId="27EF320A" w14:textId="77777777">
      <w:pPr>
        <w:pStyle w:val="InfoPara"/>
      </w:pPr>
      <w:r>
        <w:t>Biophysical Site Description</w:t>
      </w:r>
    </w:p>
    <w:p w:rsidR="00B560CB" w:rsidP="00B560CB" w:rsidRDefault="00B560CB" w14:paraId="1E5F64FA" w14:textId="77777777">
      <w:r>
        <w:t>Gently sloping, undulating piedmont slopes or plains; elevation 3</w:t>
      </w:r>
      <w:r w:rsidR="00E97834">
        <w:t>,</w:t>
      </w:r>
      <w:r>
        <w:t>500-5</w:t>
      </w:r>
      <w:r w:rsidR="00E97834">
        <w:t>,</w:t>
      </w:r>
      <w:r>
        <w:t>000ft.</w:t>
      </w:r>
      <w:r w:rsidR="00E97834">
        <w:t xml:space="preserve"> </w:t>
      </w:r>
      <w:r>
        <w:t>Mean annual ppt 8-10.5in. Rainfall highly variable, from 2-20in. Half of the precipitation typically falling during summer monsoonal events. Annual frost-free season exceeds 200 days.</w:t>
      </w:r>
    </w:p>
    <w:p w:rsidR="00B560CB" w:rsidP="00B560CB" w:rsidRDefault="00B560CB" w14:paraId="4CB19F44" w14:textId="77777777">
      <w:r>
        <w:t xml:space="preserve"> </w:t>
      </w:r>
    </w:p>
    <w:p w:rsidR="00B560CB" w:rsidP="00B560CB" w:rsidRDefault="00B560CB" w14:paraId="5537C260" w14:textId="77777777">
      <w:r>
        <w:t>Spring southwesterly winds are important factor for soil/sand distribution.</w:t>
      </w:r>
    </w:p>
    <w:p w:rsidR="00B560CB" w:rsidP="00B560CB" w:rsidRDefault="00B560CB" w14:paraId="5728D270" w14:textId="77777777">
      <w:pPr>
        <w:pStyle w:val="InfoPara"/>
      </w:pPr>
      <w:r>
        <w:t>Vegetation Description</w:t>
      </w:r>
    </w:p>
    <w:p w:rsidR="00B560CB" w:rsidP="00B560CB" w:rsidRDefault="00B560CB" w14:paraId="541DEC4D" w14:textId="2EE1577B">
      <w:r>
        <w:t>This site may exist as a finely</w:t>
      </w:r>
      <w:r w:rsidR="00AB2829">
        <w:t xml:space="preserve"> </w:t>
      </w:r>
      <w:r>
        <w:t xml:space="preserve">scaled mosaic with the Shallow Sandy site depending on local variation to the depth of caliche. This site may also intergrade with the Deep Sand and Gravelly Sand sites. Frequently, the mesquite shrubland state of this site, including the development of coppice dunes, has been associated with the Deep Sand ecological site (cf. soil series in Hennessy et al. 1983). The Deep Sand site is a distinct ecological site harboring soils and vegetation that developed long before the coppice dunes. The historic plant community type of the Sandy site is dominated by black </w:t>
      </w:r>
      <w:proofErr w:type="spellStart"/>
      <w:r>
        <w:t>grama</w:t>
      </w:r>
      <w:proofErr w:type="spellEnd"/>
      <w:r>
        <w:t xml:space="preserve"> (</w:t>
      </w:r>
      <w:proofErr w:type="spellStart"/>
      <w:r w:rsidRPr="0059448C">
        <w:rPr>
          <w:i/>
        </w:rPr>
        <w:t>Bouteloua</w:t>
      </w:r>
      <w:proofErr w:type="spellEnd"/>
      <w:r w:rsidRPr="0059448C">
        <w:rPr>
          <w:i/>
        </w:rPr>
        <w:t xml:space="preserve"> </w:t>
      </w:r>
      <w:proofErr w:type="spellStart"/>
      <w:r w:rsidRPr="0059448C">
        <w:rPr>
          <w:i/>
        </w:rPr>
        <w:t>eriopoda</w:t>
      </w:r>
      <w:proofErr w:type="spellEnd"/>
      <w:r>
        <w:t xml:space="preserve">) and other grasses, especially </w:t>
      </w:r>
      <w:proofErr w:type="spellStart"/>
      <w:r>
        <w:t>dropseeds</w:t>
      </w:r>
      <w:proofErr w:type="spellEnd"/>
      <w:r>
        <w:t xml:space="preserve"> (</w:t>
      </w:r>
      <w:proofErr w:type="spellStart"/>
      <w:r w:rsidRPr="0059448C">
        <w:rPr>
          <w:i/>
        </w:rPr>
        <w:t>Sporobolus</w:t>
      </w:r>
      <w:proofErr w:type="spellEnd"/>
      <w:r w:rsidRPr="0059448C">
        <w:rPr>
          <w:i/>
        </w:rPr>
        <w:t xml:space="preserve"> </w:t>
      </w:r>
      <w:proofErr w:type="spellStart"/>
      <w:r w:rsidRPr="0059448C">
        <w:rPr>
          <w:i/>
        </w:rPr>
        <w:t>flexulosus</w:t>
      </w:r>
      <w:proofErr w:type="spellEnd"/>
      <w:r>
        <w:t xml:space="preserve"> and </w:t>
      </w:r>
      <w:r w:rsidRPr="0059448C">
        <w:rPr>
          <w:i/>
        </w:rPr>
        <w:t xml:space="preserve">S. </w:t>
      </w:r>
      <w:proofErr w:type="spellStart"/>
      <w:r w:rsidRPr="0059448C">
        <w:rPr>
          <w:i/>
        </w:rPr>
        <w:t>cryptandrus</w:t>
      </w:r>
      <w:proofErr w:type="spellEnd"/>
      <w:r>
        <w:t xml:space="preserve">). Natural spatial variation in the vegetation of this ecological site may be governed by slight variations in soil texture. For example, </w:t>
      </w:r>
      <w:proofErr w:type="spellStart"/>
      <w:r>
        <w:t>dropseeds</w:t>
      </w:r>
      <w:proofErr w:type="spellEnd"/>
      <w:r>
        <w:t xml:space="preserve"> may dominate on loamy sands. Variation in the depth to a restrictive horizon, such as caliche, may also drive variation in grass cover. Black </w:t>
      </w:r>
      <w:proofErr w:type="spellStart"/>
      <w:r>
        <w:t>grama</w:t>
      </w:r>
      <w:proofErr w:type="spellEnd"/>
      <w:r>
        <w:t xml:space="preserve"> is a key plant of this site due to its dominance under pristine conditions, its high forage value</w:t>
      </w:r>
      <w:r w:rsidR="00AB2829">
        <w:t>,</w:t>
      </w:r>
      <w:r>
        <w:t xml:space="preserve"> and its consequent sensitivity to grazing. Shifts away from black </w:t>
      </w:r>
      <w:proofErr w:type="spellStart"/>
      <w:r>
        <w:t>grama</w:t>
      </w:r>
      <w:proofErr w:type="spellEnd"/>
      <w:r>
        <w:t xml:space="preserve"> dominance are thought to be due to overgrazing and/or multi-year periods of summer or spring drought</w:t>
      </w:r>
      <w:r w:rsidR="00AB2829">
        <w:t xml:space="preserve"> </w:t>
      </w:r>
      <w:r>
        <w:t>or due to the introduction of honey mesquite (</w:t>
      </w:r>
      <w:r w:rsidRPr="0059448C">
        <w:rPr>
          <w:i/>
        </w:rPr>
        <w:t xml:space="preserve">Prosopis </w:t>
      </w:r>
      <w:proofErr w:type="spellStart"/>
      <w:r w:rsidRPr="0059448C">
        <w:rPr>
          <w:i/>
        </w:rPr>
        <w:t>glandulosa</w:t>
      </w:r>
      <w:proofErr w:type="spellEnd"/>
      <w:r>
        <w:t xml:space="preserve">) seeds with or without grazing. With continuous heavy grazing, the proportional representation of black </w:t>
      </w:r>
      <w:proofErr w:type="spellStart"/>
      <w:r>
        <w:t>grama</w:t>
      </w:r>
      <w:proofErr w:type="spellEnd"/>
      <w:r>
        <w:t xml:space="preserve"> declines because it is preferred by cattle over </w:t>
      </w:r>
      <w:proofErr w:type="spellStart"/>
      <w:r>
        <w:t>dropseeds</w:t>
      </w:r>
      <w:proofErr w:type="spellEnd"/>
      <w:r>
        <w:t xml:space="preserve">, </w:t>
      </w:r>
      <w:proofErr w:type="spellStart"/>
      <w:r>
        <w:t>threeawns</w:t>
      </w:r>
      <w:proofErr w:type="spellEnd"/>
      <w:r w:rsidR="00AB2829">
        <w:t>,</w:t>
      </w:r>
      <w:r>
        <w:t xml:space="preserve"> and snakeweed (</w:t>
      </w:r>
      <w:proofErr w:type="spellStart"/>
      <w:r w:rsidRPr="0059448C">
        <w:rPr>
          <w:i/>
        </w:rPr>
        <w:t>Gutierrezia</w:t>
      </w:r>
      <w:proofErr w:type="spellEnd"/>
      <w:r w:rsidRPr="0059448C">
        <w:rPr>
          <w:i/>
        </w:rPr>
        <w:t xml:space="preserve"> </w:t>
      </w:r>
      <w:r w:rsidRPr="00AB2829">
        <w:t>spp</w:t>
      </w:r>
      <w:r w:rsidR="00AB2829">
        <w:t>.</w:t>
      </w:r>
      <w:r>
        <w:t xml:space="preserve">; Paulsen and Ares 1962). </w:t>
      </w:r>
      <w:proofErr w:type="spellStart"/>
      <w:r>
        <w:t>Dropseeds</w:t>
      </w:r>
      <w:proofErr w:type="spellEnd"/>
      <w:r>
        <w:t xml:space="preserve"> are more palatable than </w:t>
      </w:r>
      <w:proofErr w:type="spellStart"/>
      <w:r>
        <w:t>threeawns</w:t>
      </w:r>
      <w:proofErr w:type="spellEnd"/>
      <w:r>
        <w:t xml:space="preserve">, so </w:t>
      </w:r>
      <w:proofErr w:type="spellStart"/>
      <w:r>
        <w:t>dropseeds</w:t>
      </w:r>
      <w:proofErr w:type="spellEnd"/>
      <w:r>
        <w:t xml:space="preserve"> may also decline relative to </w:t>
      </w:r>
      <w:proofErr w:type="spellStart"/>
      <w:r>
        <w:t>threeawns</w:t>
      </w:r>
      <w:proofErr w:type="spellEnd"/>
      <w:r>
        <w:t xml:space="preserve"> and snakeweed. Under climatic conditions that are not conducive to black </w:t>
      </w:r>
      <w:proofErr w:type="spellStart"/>
      <w:r>
        <w:t>grama</w:t>
      </w:r>
      <w:proofErr w:type="spellEnd"/>
      <w:r>
        <w:t xml:space="preserve"> reproduction or due </w:t>
      </w:r>
      <w:r>
        <w:lastRenderedPageBreak/>
        <w:t xml:space="preserve">to the loss of components of the soil biota, demographic limitations may lead to persistent absence of black </w:t>
      </w:r>
      <w:proofErr w:type="spellStart"/>
      <w:r>
        <w:t>grama</w:t>
      </w:r>
      <w:proofErr w:type="spellEnd"/>
      <w:r>
        <w:t xml:space="preserve">, even without shrub invasion. Shrub invasion is, however, very common. Loss of soil stability and/or a reduction in black </w:t>
      </w:r>
      <w:proofErr w:type="spellStart"/>
      <w:r>
        <w:t>grama</w:t>
      </w:r>
      <w:proofErr w:type="spellEnd"/>
      <w:r>
        <w:t xml:space="preserve"> cover may permit either the survival or establishment mesquite seedlings due to reduced competition or fire frequency. Subsequent grazing by livestock and</w:t>
      </w:r>
      <w:r w:rsidR="00607978">
        <w:t xml:space="preserve"> </w:t>
      </w:r>
      <w:r>
        <w:t>native herbivores, competition from shrubs, erosion, and concentration of nutrients under adult shrubs eventually lead to persistent reductions of grass cover and mesquite-dominated coppice dunes with bare or snakeweed</w:t>
      </w:r>
      <w:r w:rsidR="00AB2829">
        <w:t>-</w:t>
      </w:r>
      <w:r>
        <w:t>dominated interdunal areas.</w:t>
      </w:r>
    </w:p>
    <w:p w:rsidR="00B560CB" w:rsidP="00B560CB" w:rsidRDefault="00B560CB" w14:paraId="1AFF291B" w14:textId="77777777"/>
    <w:p w:rsidR="00B560CB" w:rsidP="00B560CB" w:rsidRDefault="00B560CB" w14:paraId="49D8B033" w14:textId="77777777">
      <w:r>
        <w:t>A substantial number of studies exist that document states and potential causes of transitions. There are multiple competing and complementary explanations for individual transitions that have not been formally tested. If the operation of these mechanisms is case-contingent, it may be especially problematic to define the causes of transitions quantitatively (e.g.</w:t>
      </w:r>
      <w:r w:rsidR="00AB2829">
        <w:t>,</w:t>
      </w:r>
      <w:r>
        <w:t xml:space="preserve"> a threshold cover of black </w:t>
      </w:r>
      <w:proofErr w:type="spellStart"/>
      <w:r>
        <w:t>grama</w:t>
      </w:r>
      <w:proofErr w:type="spellEnd"/>
      <w:r>
        <w:t xml:space="preserve">). Nonetheless, careful monitoring of black </w:t>
      </w:r>
      <w:proofErr w:type="spellStart"/>
      <w:r>
        <w:t>grama</w:t>
      </w:r>
      <w:proofErr w:type="spellEnd"/>
      <w:r>
        <w:t xml:space="preserve"> health should be a key feature of management in SD-2. Overall, the high palatability of black </w:t>
      </w:r>
      <w:proofErr w:type="spellStart"/>
      <w:r>
        <w:t>grama</w:t>
      </w:r>
      <w:proofErr w:type="spellEnd"/>
      <w:r>
        <w:t xml:space="preserve"> during times of year when most other species are less palatable, coupled with the limited capacity of this grass to regenerate under current climatic conditions (Nielson 1986), leads to a relatively high probability of transition with poor range management. It is also possible that changes in climate over the last several hundred years have created an SD-2-wide transition from the presumed historic plant community type and that good management can only delay the inevitable shift to mesquite shrubland.</w:t>
      </w:r>
    </w:p>
    <w:p w:rsidR="00B560CB" w:rsidP="00B560CB" w:rsidRDefault="00B560CB" w14:paraId="18EC61A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flexuosus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Mesa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Threeawn</w:t>
            </w:r>
          </w:p>
        </w:tc>
      </w:tr>
    </w:tbl>
    <w:p>
      <w:r>
        <w:rPr>
          <w:sz w:val="16"/>
        </w:rPr>
        <w:t>Species names are from the NRCS PLANTS database. Check species codes at http://plants.usda.gov.</w:t>
      </w:r>
    </w:p>
    <w:p w:rsidR="00B560CB" w:rsidP="00B560CB" w:rsidRDefault="00B560CB" w14:paraId="032462A6" w14:textId="77777777">
      <w:pPr>
        <w:pStyle w:val="InfoPara"/>
      </w:pPr>
      <w:r>
        <w:t>Disturbance Description</w:t>
      </w:r>
    </w:p>
    <w:p w:rsidR="00B560CB" w:rsidP="00B560CB" w:rsidRDefault="00B560CB" w14:paraId="25E92996" w14:textId="15E5DB49">
      <w:r>
        <w:t xml:space="preserve">Wind is dominant disturbance. Highly sensitive to </w:t>
      </w:r>
      <w:r w:rsidR="00E97834">
        <w:t>grazing and</w:t>
      </w:r>
      <w:r>
        <w:t xml:space="preserve"> frequent drought. Fire is relatively infrequent but can result in significant change of dominant vegetation.</w:t>
      </w:r>
    </w:p>
    <w:p w:rsidR="00B560CB" w:rsidP="00B560CB" w:rsidRDefault="00E97834" w14:paraId="7CED2A9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904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560CB" w:rsidP="00B560CB" w:rsidRDefault="00B560CB" w14:paraId="5824499E" w14:textId="77777777">
      <w:pPr>
        <w:pStyle w:val="InfoPara"/>
      </w:pPr>
      <w:r>
        <w:t>Scale Description</w:t>
      </w:r>
    </w:p>
    <w:p w:rsidR="00B560CB" w:rsidP="00B560CB" w:rsidRDefault="00B560CB" w14:paraId="0329141C" w14:textId="77777777">
      <w:r>
        <w:t>Relatively linear features ranging from 1-100,000ac+.</w:t>
      </w:r>
    </w:p>
    <w:p w:rsidR="00B560CB" w:rsidP="00B560CB" w:rsidRDefault="00B560CB" w14:paraId="524EA58A" w14:textId="77777777">
      <w:pPr>
        <w:pStyle w:val="InfoPara"/>
      </w:pPr>
      <w:r>
        <w:t>Adjacency or Identification Concerns</w:t>
      </w:r>
    </w:p>
    <w:p w:rsidR="00B560CB" w:rsidP="00B560CB" w:rsidRDefault="00B560CB" w14:paraId="2E318317" w14:textId="77777777"/>
    <w:p w:rsidR="00B560CB" w:rsidP="00B560CB" w:rsidRDefault="00B560CB" w14:paraId="3C7EC8AC" w14:textId="77777777">
      <w:pPr>
        <w:pStyle w:val="InfoPara"/>
      </w:pPr>
      <w:r>
        <w:lastRenderedPageBreak/>
        <w:t>Issues or Problems</w:t>
      </w:r>
    </w:p>
    <w:p w:rsidR="00B560CB" w:rsidP="00B560CB" w:rsidRDefault="00B560CB" w14:paraId="66E5349D" w14:textId="2E1A2B94">
      <w:r>
        <w:t xml:space="preserve">Current species dominance is sand-sage and broom </w:t>
      </w:r>
      <w:proofErr w:type="spellStart"/>
      <w:r>
        <w:t>dalea</w:t>
      </w:r>
      <w:proofErr w:type="spellEnd"/>
      <w:r>
        <w:t xml:space="preserve"> in the northern extent and mesquite and broom snakeweed in the southern extent of these grasslands. A significant proportion of the extent of these grasslands ha</w:t>
      </w:r>
      <w:r w:rsidR="00AB2829">
        <w:t>s</w:t>
      </w:r>
      <w:r>
        <w:t xml:space="preserve"> been converted to dune shrubland with mesquite dominance and soil redistribution by wind erosion in the southern portion. </w:t>
      </w:r>
    </w:p>
    <w:p w:rsidR="00B560CB" w:rsidP="00B560CB" w:rsidRDefault="00B560CB" w14:paraId="02206BD7" w14:textId="77777777"/>
    <w:p w:rsidR="00B560CB" w:rsidP="00B560CB" w:rsidRDefault="00B560CB" w14:paraId="30D5D3CC" w14:textId="77777777">
      <w:r>
        <w:t>Lack of research regarding thresholds in response to disturbance and restoration techniques.</w:t>
      </w:r>
    </w:p>
    <w:p w:rsidR="00B560CB" w:rsidP="00B560CB" w:rsidRDefault="00B560CB" w14:paraId="162B17E6" w14:textId="77777777">
      <w:pPr>
        <w:pStyle w:val="InfoPara"/>
      </w:pPr>
      <w:r>
        <w:t>Native Uncharacteristic Conditions</w:t>
      </w:r>
    </w:p>
    <w:p w:rsidR="00B560CB" w:rsidP="00B560CB" w:rsidRDefault="00B560CB" w14:paraId="0E40946C" w14:textId="4212E6EA">
      <w:r>
        <w:t>As degradation occurs, grasses are replaced by shrubs (mesquite in the south and sand sagebrush in the north) and subshrubs (</w:t>
      </w:r>
      <w:proofErr w:type="spellStart"/>
      <w:r>
        <w:t>dalea</w:t>
      </w:r>
      <w:proofErr w:type="spellEnd"/>
      <w:r>
        <w:t xml:space="preserve"> in the north and snakeweed in the south) and grasses decline in cover and productivity. There is limited evidence that either </w:t>
      </w:r>
      <w:r w:rsidR="00AB2829">
        <w:t>C</w:t>
      </w:r>
      <w:r>
        <w:t xml:space="preserve">lass A or </w:t>
      </w:r>
      <w:r w:rsidR="00AB2829">
        <w:t>C</w:t>
      </w:r>
      <w:r>
        <w:t>lass B are widespread enough to be of interest.</w:t>
      </w:r>
    </w:p>
    <w:p w:rsidR="00B560CB" w:rsidP="00B560CB" w:rsidRDefault="00B560CB" w14:paraId="5E8A99BF" w14:textId="77777777">
      <w:pPr>
        <w:pStyle w:val="InfoPara"/>
      </w:pPr>
      <w:r>
        <w:t>Comments</w:t>
      </w:r>
    </w:p>
    <w:p w:rsidR="00B560CB" w:rsidP="00B560CB" w:rsidRDefault="00B560CB" w14:paraId="06391C2B" w14:textId="77777777">
      <w:r>
        <w:t>The model is most commonly used to represent grassland or simple shrubland systems.</w:t>
      </w:r>
    </w:p>
    <w:p w:rsidR="00E97834" w:rsidP="00B560CB" w:rsidRDefault="00E97834" w14:paraId="57FA40B0" w14:textId="77777777"/>
    <w:p w:rsidR="00E97834" w:rsidP="00E97834" w:rsidRDefault="00E97834" w14:paraId="36907A14" w14:textId="374620D0">
      <w:r>
        <w:t>Below</w:t>
      </w:r>
      <w:r w:rsidR="00AB2829">
        <w:t>-</w:t>
      </w:r>
      <w:r>
        <w:t>normal precipitation (</w:t>
      </w:r>
      <w:r w:rsidR="00AB2829">
        <w:t>&lt;7in</w:t>
      </w:r>
      <w:r>
        <w:t xml:space="preserve">) lasting more than </w:t>
      </w:r>
      <w:r w:rsidR="00AB2829">
        <w:t>2-3yrs</w:t>
      </w:r>
      <w:r>
        <w:t xml:space="preserve"> was modeled in this class as "Option 1</w:t>
      </w:r>
      <w:r w:rsidR="00AB2829">
        <w:t>.</w:t>
      </w:r>
      <w:r>
        <w:t>" Wind/Weather/Stress was modeled to represent wind that redistributes soil.</w:t>
      </w:r>
    </w:p>
    <w:p w:rsidR="00E97834" w:rsidP="00B560CB" w:rsidRDefault="00E97834" w14:paraId="5FA81872" w14:textId="77777777"/>
    <w:p w:rsidR="00A32F56" w:rsidP="00B560CB" w:rsidRDefault="00A32F56" w14:paraId="4EBEBCAF" w14:textId="77777777"/>
    <w:p w:rsidR="00B560CB" w:rsidP="00B560CB" w:rsidRDefault="00B560CB" w14:paraId="0659554D" w14:textId="77777777">
      <w:pPr>
        <w:pStyle w:val="ReportSection"/>
      </w:pPr>
      <w:r>
        <w:t>Succession Classes</w:t>
      </w:r>
    </w:p>
    <w:p w:rsidR="00B560CB" w:rsidP="00B560CB" w:rsidRDefault="00B560CB" w14:paraId="2C2A28A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560CB" w:rsidP="00B560CB" w:rsidRDefault="00B560CB" w14:paraId="6865E1DC" w14:textId="77777777">
      <w:pPr>
        <w:pStyle w:val="InfoPara"/>
        <w:pBdr>
          <w:top w:val="single" w:color="auto" w:sz="4" w:space="1"/>
        </w:pBdr>
      </w:pPr>
      <w:r xmlns:w="http://schemas.openxmlformats.org/wordprocessingml/2006/main">
        <w:t>Class A</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B560CB" w:rsidP="00B560CB" w:rsidRDefault="00B560CB" w14:paraId="7649D9C4" w14:textId="77777777"/>
    <w:p w:rsidR="00B560CB" w:rsidP="00B560CB" w:rsidRDefault="00B560CB" w14:paraId="0A3424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52"/>
        <w:gridCol w:w="1920"/>
        <w:gridCol w:w="1956"/>
      </w:tblGrid>
      <w:tr w:rsidRPr="00B560CB" w:rsidR="00B560CB" w:rsidTr="00B560CB" w14:paraId="1EA4C873" w14:textId="77777777">
        <w:tc>
          <w:tcPr>
            <w:tcW w:w="1116" w:type="dxa"/>
            <w:tcBorders>
              <w:top w:val="single" w:color="auto" w:sz="2" w:space="0"/>
              <w:bottom w:val="single" w:color="000000" w:sz="12" w:space="0"/>
            </w:tcBorders>
            <w:shd w:val="clear" w:color="auto" w:fill="auto"/>
          </w:tcPr>
          <w:p w:rsidRPr="00B560CB" w:rsidR="00B560CB" w:rsidP="007D4BFB" w:rsidRDefault="00B560CB" w14:paraId="0D7286A3" w14:textId="77777777">
            <w:pPr>
              <w:rPr>
                <w:b/>
                <w:bCs/>
              </w:rPr>
            </w:pPr>
            <w:r w:rsidRPr="00B560CB">
              <w:rPr>
                <w:b/>
                <w:bCs/>
              </w:rPr>
              <w:t>Symbol</w:t>
            </w:r>
          </w:p>
        </w:tc>
        <w:tc>
          <w:tcPr>
            <w:tcW w:w="2652" w:type="dxa"/>
            <w:tcBorders>
              <w:top w:val="single" w:color="auto" w:sz="2" w:space="0"/>
              <w:bottom w:val="single" w:color="000000" w:sz="12" w:space="0"/>
            </w:tcBorders>
            <w:shd w:val="clear" w:color="auto" w:fill="auto"/>
          </w:tcPr>
          <w:p w:rsidRPr="00B560CB" w:rsidR="00B560CB" w:rsidP="007D4BFB" w:rsidRDefault="00B560CB" w14:paraId="7DA3C71F" w14:textId="77777777">
            <w:pPr>
              <w:rPr>
                <w:b/>
                <w:bCs/>
              </w:rPr>
            </w:pPr>
            <w:r w:rsidRPr="00B560CB">
              <w:rPr>
                <w:b/>
                <w:bCs/>
              </w:rPr>
              <w:t>Scientific Name</w:t>
            </w:r>
          </w:p>
        </w:tc>
        <w:tc>
          <w:tcPr>
            <w:tcW w:w="1920" w:type="dxa"/>
            <w:tcBorders>
              <w:top w:val="single" w:color="auto" w:sz="2" w:space="0"/>
              <w:bottom w:val="single" w:color="000000" w:sz="12" w:space="0"/>
            </w:tcBorders>
            <w:shd w:val="clear" w:color="auto" w:fill="auto"/>
          </w:tcPr>
          <w:p w:rsidRPr="00B560CB" w:rsidR="00B560CB" w:rsidP="007D4BFB" w:rsidRDefault="00B560CB" w14:paraId="0F1ADB0A" w14:textId="77777777">
            <w:pPr>
              <w:rPr>
                <w:b/>
                <w:bCs/>
              </w:rPr>
            </w:pPr>
            <w:r w:rsidRPr="00B560CB">
              <w:rPr>
                <w:b/>
                <w:bCs/>
              </w:rPr>
              <w:t>Common Name</w:t>
            </w:r>
          </w:p>
        </w:tc>
        <w:tc>
          <w:tcPr>
            <w:tcW w:w="1956" w:type="dxa"/>
            <w:tcBorders>
              <w:top w:val="single" w:color="auto" w:sz="2" w:space="0"/>
              <w:bottom w:val="single" w:color="000000" w:sz="12" w:space="0"/>
            </w:tcBorders>
            <w:shd w:val="clear" w:color="auto" w:fill="auto"/>
          </w:tcPr>
          <w:p w:rsidRPr="00B560CB" w:rsidR="00B560CB" w:rsidP="007D4BFB" w:rsidRDefault="00B560CB" w14:paraId="1451BBF8" w14:textId="77777777">
            <w:pPr>
              <w:rPr>
                <w:b/>
                <w:bCs/>
              </w:rPr>
            </w:pPr>
            <w:r w:rsidRPr="00B560CB">
              <w:rPr>
                <w:b/>
                <w:bCs/>
              </w:rPr>
              <w:t>Canopy Position</w:t>
            </w:r>
          </w:p>
        </w:tc>
      </w:tr>
      <w:tr w:rsidRPr="00B560CB" w:rsidR="00B560CB" w:rsidTr="00B560CB" w14:paraId="516C3050" w14:textId="77777777">
        <w:tc>
          <w:tcPr>
            <w:tcW w:w="1116" w:type="dxa"/>
            <w:tcBorders>
              <w:top w:val="single" w:color="000000" w:sz="12" w:space="0"/>
            </w:tcBorders>
            <w:shd w:val="clear" w:color="auto" w:fill="auto"/>
          </w:tcPr>
          <w:p w:rsidRPr="00B560CB" w:rsidR="00B560CB" w:rsidP="007D4BFB" w:rsidRDefault="00B560CB" w14:paraId="32AAB5D3" w14:textId="77777777">
            <w:pPr>
              <w:rPr>
                <w:bCs/>
              </w:rPr>
            </w:pPr>
            <w:r w:rsidRPr="00B560CB">
              <w:rPr>
                <w:bCs/>
              </w:rPr>
              <w:t>BOER4</w:t>
            </w:r>
          </w:p>
        </w:tc>
        <w:tc>
          <w:tcPr>
            <w:tcW w:w="2652" w:type="dxa"/>
            <w:tcBorders>
              <w:top w:val="single" w:color="000000" w:sz="12" w:space="0"/>
            </w:tcBorders>
            <w:shd w:val="clear" w:color="auto" w:fill="auto"/>
          </w:tcPr>
          <w:p w:rsidRPr="00B560CB" w:rsidR="00B560CB" w:rsidP="007D4BFB" w:rsidRDefault="00B560CB" w14:paraId="5A0E3585" w14:textId="77777777">
            <w:proofErr w:type="spellStart"/>
            <w:r w:rsidRPr="00B560CB">
              <w:t>Bouteloua</w:t>
            </w:r>
            <w:proofErr w:type="spellEnd"/>
            <w:r w:rsidRPr="00B560CB">
              <w:t xml:space="preserve"> </w:t>
            </w:r>
            <w:proofErr w:type="spellStart"/>
            <w:r w:rsidRPr="00B560CB">
              <w:t>eriopoda</w:t>
            </w:r>
            <w:proofErr w:type="spellEnd"/>
          </w:p>
        </w:tc>
        <w:tc>
          <w:tcPr>
            <w:tcW w:w="1920" w:type="dxa"/>
            <w:tcBorders>
              <w:top w:val="single" w:color="000000" w:sz="12" w:space="0"/>
            </w:tcBorders>
            <w:shd w:val="clear" w:color="auto" w:fill="auto"/>
          </w:tcPr>
          <w:p w:rsidRPr="00B560CB" w:rsidR="00B560CB" w:rsidP="007D4BFB" w:rsidRDefault="00B560CB" w14:paraId="6E280F4C" w14:textId="77777777">
            <w:r w:rsidRPr="00B560CB">
              <w:t xml:space="preserve">Black </w:t>
            </w:r>
            <w:proofErr w:type="spellStart"/>
            <w:r w:rsidRPr="00B560CB">
              <w:t>grama</w:t>
            </w:r>
            <w:proofErr w:type="spellEnd"/>
          </w:p>
        </w:tc>
        <w:tc>
          <w:tcPr>
            <w:tcW w:w="1956" w:type="dxa"/>
            <w:tcBorders>
              <w:top w:val="single" w:color="000000" w:sz="12" w:space="0"/>
            </w:tcBorders>
            <w:shd w:val="clear" w:color="auto" w:fill="auto"/>
          </w:tcPr>
          <w:p w:rsidRPr="00B560CB" w:rsidR="00B560CB" w:rsidP="007D4BFB" w:rsidRDefault="00B560CB" w14:paraId="11DFCA9A" w14:textId="77777777">
            <w:r w:rsidRPr="00B560CB">
              <w:t>Lower</w:t>
            </w:r>
          </w:p>
        </w:tc>
      </w:tr>
      <w:tr w:rsidRPr="00B560CB" w:rsidR="00B560CB" w:rsidTr="00B560CB" w14:paraId="4511A962" w14:textId="77777777">
        <w:tc>
          <w:tcPr>
            <w:tcW w:w="1116" w:type="dxa"/>
            <w:shd w:val="clear" w:color="auto" w:fill="auto"/>
          </w:tcPr>
          <w:p w:rsidRPr="00B560CB" w:rsidR="00B560CB" w:rsidP="007D4BFB" w:rsidRDefault="00B560CB" w14:paraId="3E865A02" w14:textId="77777777">
            <w:pPr>
              <w:rPr>
                <w:bCs/>
              </w:rPr>
            </w:pPr>
            <w:r w:rsidRPr="00B560CB">
              <w:rPr>
                <w:bCs/>
              </w:rPr>
              <w:t>SPCR</w:t>
            </w:r>
          </w:p>
        </w:tc>
        <w:tc>
          <w:tcPr>
            <w:tcW w:w="2652" w:type="dxa"/>
            <w:shd w:val="clear" w:color="auto" w:fill="auto"/>
          </w:tcPr>
          <w:p w:rsidRPr="00B560CB" w:rsidR="00B560CB" w:rsidP="007D4BFB" w:rsidRDefault="00B560CB" w14:paraId="4337DC9D" w14:textId="77777777">
            <w:proofErr w:type="spellStart"/>
            <w:r w:rsidRPr="00B560CB">
              <w:t>Sporobolus</w:t>
            </w:r>
            <w:proofErr w:type="spellEnd"/>
            <w:r w:rsidRPr="00B560CB">
              <w:t xml:space="preserve"> </w:t>
            </w:r>
            <w:proofErr w:type="spellStart"/>
            <w:r w:rsidRPr="00B560CB">
              <w:t>cryptandrus</w:t>
            </w:r>
            <w:proofErr w:type="spellEnd"/>
          </w:p>
        </w:tc>
        <w:tc>
          <w:tcPr>
            <w:tcW w:w="1920" w:type="dxa"/>
            <w:shd w:val="clear" w:color="auto" w:fill="auto"/>
          </w:tcPr>
          <w:p w:rsidRPr="00B560CB" w:rsidR="00B560CB" w:rsidP="007D4BFB" w:rsidRDefault="00B560CB" w14:paraId="51173D5D" w14:textId="77777777">
            <w:r w:rsidRPr="00B560CB">
              <w:t xml:space="preserve">Sand </w:t>
            </w:r>
            <w:proofErr w:type="spellStart"/>
            <w:r w:rsidRPr="00B560CB">
              <w:t>dropseed</w:t>
            </w:r>
            <w:proofErr w:type="spellEnd"/>
          </w:p>
        </w:tc>
        <w:tc>
          <w:tcPr>
            <w:tcW w:w="1956" w:type="dxa"/>
            <w:shd w:val="clear" w:color="auto" w:fill="auto"/>
          </w:tcPr>
          <w:p w:rsidRPr="00B560CB" w:rsidR="00B560CB" w:rsidP="007D4BFB" w:rsidRDefault="00B560CB" w14:paraId="0399F9D2" w14:textId="77777777">
            <w:r w:rsidRPr="00B560CB">
              <w:t>Lower</w:t>
            </w:r>
          </w:p>
        </w:tc>
      </w:tr>
      <w:tr w:rsidRPr="00B560CB" w:rsidR="00B560CB" w:rsidTr="00B560CB" w14:paraId="4FE5C8B3" w14:textId="77777777">
        <w:tc>
          <w:tcPr>
            <w:tcW w:w="1116" w:type="dxa"/>
            <w:shd w:val="clear" w:color="auto" w:fill="auto"/>
          </w:tcPr>
          <w:p w:rsidRPr="00B560CB" w:rsidR="00B560CB" w:rsidP="007D4BFB" w:rsidRDefault="00B560CB" w14:paraId="519BE200" w14:textId="77777777">
            <w:pPr>
              <w:rPr>
                <w:bCs/>
              </w:rPr>
            </w:pPr>
            <w:r w:rsidRPr="00B560CB">
              <w:rPr>
                <w:bCs/>
              </w:rPr>
              <w:t>PRGL2</w:t>
            </w:r>
          </w:p>
        </w:tc>
        <w:tc>
          <w:tcPr>
            <w:tcW w:w="2652" w:type="dxa"/>
            <w:shd w:val="clear" w:color="auto" w:fill="auto"/>
          </w:tcPr>
          <w:p w:rsidRPr="00B560CB" w:rsidR="00B560CB" w:rsidP="007D4BFB" w:rsidRDefault="00B560CB" w14:paraId="643A0C30" w14:textId="77777777">
            <w:r w:rsidRPr="00B560CB">
              <w:t xml:space="preserve">Prosopis </w:t>
            </w:r>
            <w:proofErr w:type="spellStart"/>
            <w:r w:rsidRPr="00B560CB">
              <w:t>glandulosa</w:t>
            </w:r>
            <w:proofErr w:type="spellEnd"/>
          </w:p>
        </w:tc>
        <w:tc>
          <w:tcPr>
            <w:tcW w:w="1920" w:type="dxa"/>
            <w:shd w:val="clear" w:color="auto" w:fill="auto"/>
          </w:tcPr>
          <w:p w:rsidRPr="00B560CB" w:rsidR="00B560CB" w:rsidP="007D4BFB" w:rsidRDefault="00B560CB" w14:paraId="21F286C0" w14:textId="77777777">
            <w:r w:rsidRPr="00B560CB">
              <w:t>Honey mesquite</w:t>
            </w:r>
          </w:p>
        </w:tc>
        <w:tc>
          <w:tcPr>
            <w:tcW w:w="1956" w:type="dxa"/>
            <w:shd w:val="clear" w:color="auto" w:fill="auto"/>
          </w:tcPr>
          <w:p w:rsidRPr="00B560CB" w:rsidR="00B560CB" w:rsidP="007D4BFB" w:rsidRDefault="00B560CB" w14:paraId="70282A25" w14:textId="77777777">
            <w:r w:rsidRPr="00B560CB">
              <w:t>Upper</w:t>
            </w:r>
          </w:p>
        </w:tc>
      </w:tr>
    </w:tbl>
    <w:p w:rsidR="00B560CB" w:rsidP="00B560CB" w:rsidRDefault="00B560CB" w14:paraId="3D514D39" w14:textId="77777777"/>
    <w:p w:rsidR="00B560CB" w:rsidP="00B560CB" w:rsidRDefault="00B560CB" w14:paraId="730C6782" w14:textId="77777777">
      <w:pPr>
        <w:pStyle w:val="SClassInfoPara"/>
      </w:pPr>
      <w:r>
        <w:t>Description</w:t>
      </w:r>
    </w:p>
    <w:p w:rsidR="00B560CB" w:rsidP="00B560CB" w:rsidRDefault="00B560CB" w14:paraId="3DEBE455" w14:textId="389DF507">
      <w:r>
        <w:t>Black</w:t>
      </w:r>
      <w:r w:rsidR="00AB2829">
        <w:t>-</w:t>
      </w:r>
      <w:proofErr w:type="spellStart"/>
      <w:r>
        <w:t>grama</w:t>
      </w:r>
      <w:proofErr w:type="spellEnd"/>
      <w:r>
        <w:t>, sand</w:t>
      </w:r>
      <w:r w:rsidR="00AB2829">
        <w:t>-</w:t>
      </w:r>
      <w:proofErr w:type="spellStart"/>
      <w:r>
        <w:t>dropseed</w:t>
      </w:r>
      <w:proofErr w:type="spellEnd"/>
      <w:r w:rsidR="00AB2829">
        <w:t>-</w:t>
      </w:r>
      <w:r>
        <w:t>dominated semi-desert grassland, with scattered medium-large mesquite.</w:t>
      </w:r>
      <w:r w:rsidR="00E97834">
        <w:t xml:space="preserve"> Shrub cover &lt;10%.</w:t>
      </w:r>
    </w:p>
    <w:p w:rsidR="00B560CB" w:rsidP="00B560CB" w:rsidRDefault="00B560CB" w14:paraId="1DA35F55" w14:textId="77777777"/>
    <w:p>
      <w:r>
        <w:rPr>
          <w:i/>
          <w:u w:val="single"/>
        </w:rPr>
        <w:t>Maximum Tree Size Class</w:t>
      </w:r>
      <w:br/>
      <w:r>
        <w:t>None</w:t>
      </w:r>
    </w:p>
    <w:p w:rsidR="00B560CB" w:rsidP="00B560CB" w:rsidRDefault="00B560CB" w14:paraId="1F8CFA2D" w14:textId="77777777">
      <w:pPr>
        <w:pStyle w:val="InfoPara"/>
        <w:pBdr>
          <w:top w:val="single" w:color="auto" w:sz="4" w:space="1"/>
        </w:pBdr>
      </w:pPr>
      <w:r xmlns:w="http://schemas.openxmlformats.org/wordprocessingml/2006/main">
        <w:t>Class B</w:t>
      </w:r>
      <w:r xmlns:w="http://schemas.openxmlformats.org/wordprocessingml/2006/main">
        <w:tab/>
        <w:t>57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560CB" w:rsidP="00B560CB" w:rsidRDefault="00B560CB" w14:paraId="162E96D5" w14:textId="77777777"/>
    <w:p w:rsidR="00B560CB" w:rsidP="00B560CB" w:rsidRDefault="00B560CB" w14:paraId="145D2793" w14:textId="77777777"/>
    <w:p w:rsidR="00B560CB" w:rsidP="00B560CB" w:rsidRDefault="00B560CB" w14:paraId="54C3DCBC"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652"/>
        <w:gridCol w:w="1920"/>
        <w:gridCol w:w="1956"/>
      </w:tblGrid>
      <w:tr w:rsidRPr="00B560CB" w:rsidR="00B560CB" w:rsidTr="00B560CB" w14:paraId="010189C4" w14:textId="77777777">
        <w:tc>
          <w:tcPr>
            <w:tcW w:w="1116" w:type="dxa"/>
            <w:tcBorders>
              <w:top w:val="single" w:color="auto" w:sz="2" w:space="0"/>
              <w:bottom w:val="single" w:color="000000" w:sz="12" w:space="0"/>
            </w:tcBorders>
            <w:shd w:val="clear" w:color="auto" w:fill="auto"/>
          </w:tcPr>
          <w:p w:rsidRPr="00B560CB" w:rsidR="00B560CB" w:rsidP="007320CE" w:rsidRDefault="00B560CB" w14:paraId="78F80A2F" w14:textId="77777777">
            <w:pPr>
              <w:rPr>
                <w:b/>
                <w:bCs/>
              </w:rPr>
            </w:pPr>
            <w:r w:rsidRPr="00B560CB">
              <w:rPr>
                <w:b/>
                <w:bCs/>
              </w:rPr>
              <w:t>Symbol</w:t>
            </w:r>
          </w:p>
        </w:tc>
        <w:tc>
          <w:tcPr>
            <w:tcW w:w="2652" w:type="dxa"/>
            <w:tcBorders>
              <w:top w:val="single" w:color="auto" w:sz="2" w:space="0"/>
              <w:bottom w:val="single" w:color="000000" w:sz="12" w:space="0"/>
            </w:tcBorders>
            <w:shd w:val="clear" w:color="auto" w:fill="auto"/>
          </w:tcPr>
          <w:p w:rsidRPr="00B560CB" w:rsidR="00B560CB" w:rsidP="007320CE" w:rsidRDefault="00B560CB" w14:paraId="5EABB0DF" w14:textId="77777777">
            <w:pPr>
              <w:rPr>
                <w:b/>
                <w:bCs/>
              </w:rPr>
            </w:pPr>
            <w:r w:rsidRPr="00B560CB">
              <w:rPr>
                <w:b/>
                <w:bCs/>
              </w:rPr>
              <w:t>Scientific Name</w:t>
            </w:r>
          </w:p>
        </w:tc>
        <w:tc>
          <w:tcPr>
            <w:tcW w:w="1920" w:type="dxa"/>
            <w:tcBorders>
              <w:top w:val="single" w:color="auto" w:sz="2" w:space="0"/>
              <w:bottom w:val="single" w:color="000000" w:sz="12" w:space="0"/>
            </w:tcBorders>
            <w:shd w:val="clear" w:color="auto" w:fill="auto"/>
          </w:tcPr>
          <w:p w:rsidRPr="00B560CB" w:rsidR="00B560CB" w:rsidP="007320CE" w:rsidRDefault="00B560CB" w14:paraId="7BAD4854" w14:textId="77777777">
            <w:pPr>
              <w:rPr>
                <w:b/>
                <w:bCs/>
              </w:rPr>
            </w:pPr>
            <w:r w:rsidRPr="00B560CB">
              <w:rPr>
                <w:b/>
                <w:bCs/>
              </w:rPr>
              <w:t>Common Name</w:t>
            </w:r>
          </w:p>
        </w:tc>
        <w:tc>
          <w:tcPr>
            <w:tcW w:w="1956" w:type="dxa"/>
            <w:tcBorders>
              <w:top w:val="single" w:color="auto" w:sz="2" w:space="0"/>
              <w:bottom w:val="single" w:color="000000" w:sz="12" w:space="0"/>
            </w:tcBorders>
            <w:shd w:val="clear" w:color="auto" w:fill="auto"/>
          </w:tcPr>
          <w:p w:rsidRPr="00B560CB" w:rsidR="00B560CB" w:rsidP="007320CE" w:rsidRDefault="00B560CB" w14:paraId="41BCBF3E" w14:textId="77777777">
            <w:pPr>
              <w:rPr>
                <w:b/>
                <w:bCs/>
              </w:rPr>
            </w:pPr>
            <w:r w:rsidRPr="00B560CB">
              <w:rPr>
                <w:b/>
                <w:bCs/>
              </w:rPr>
              <w:t>Canopy Position</w:t>
            </w:r>
          </w:p>
        </w:tc>
      </w:tr>
      <w:tr w:rsidRPr="00B560CB" w:rsidR="00B560CB" w:rsidTr="00B560CB" w14:paraId="3563FD64" w14:textId="77777777">
        <w:tc>
          <w:tcPr>
            <w:tcW w:w="1116" w:type="dxa"/>
            <w:tcBorders>
              <w:top w:val="single" w:color="000000" w:sz="12" w:space="0"/>
            </w:tcBorders>
            <w:shd w:val="clear" w:color="auto" w:fill="auto"/>
          </w:tcPr>
          <w:p w:rsidRPr="00B560CB" w:rsidR="00B560CB" w:rsidP="007320CE" w:rsidRDefault="00B560CB" w14:paraId="330EC852" w14:textId="77777777">
            <w:pPr>
              <w:rPr>
                <w:bCs/>
              </w:rPr>
            </w:pPr>
            <w:r w:rsidRPr="00B560CB">
              <w:rPr>
                <w:bCs/>
              </w:rPr>
              <w:t>BOER4</w:t>
            </w:r>
          </w:p>
        </w:tc>
        <w:tc>
          <w:tcPr>
            <w:tcW w:w="2652" w:type="dxa"/>
            <w:tcBorders>
              <w:top w:val="single" w:color="000000" w:sz="12" w:space="0"/>
            </w:tcBorders>
            <w:shd w:val="clear" w:color="auto" w:fill="auto"/>
          </w:tcPr>
          <w:p w:rsidRPr="00B560CB" w:rsidR="00B560CB" w:rsidP="007320CE" w:rsidRDefault="00B560CB" w14:paraId="5927BA65" w14:textId="77777777">
            <w:proofErr w:type="spellStart"/>
            <w:r w:rsidRPr="00B560CB">
              <w:t>Bouteloua</w:t>
            </w:r>
            <w:proofErr w:type="spellEnd"/>
            <w:r w:rsidRPr="00B560CB">
              <w:t xml:space="preserve"> </w:t>
            </w:r>
            <w:proofErr w:type="spellStart"/>
            <w:r w:rsidRPr="00B560CB">
              <w:t>eriopoda</w:t>
            </w:r>
            <w:proofErr w:type="spellEnd"/>
          </w:p>
        </w:tc>
        <w:tc>
          <w:tcPr>
            <w:tcW w:w="1920" w:type="dxa"/>
            <w:tcBorders>
              <w:top w:val="single" w:color="000000" w:sz="12" w:space="0"/>
            </w:tcBorders>
            <w:shd w:val="clear" w:color="auto" w:fill="auto"/>
          </w:tcPr>
          <w:p w:rsidRPr="00B560CB" w:rsidR="00B560CB" w:rsidP="007320CE" w:rsidRDefault="00B560CB" w14:paraId="64269A68" w14:textId="77777777">
            <w:r w:rsidRPr="00B560CB">
              <w:t xml:space="preserve">Black </w:t>
            </w:r>
            <w:proofErr w:type="spellStart"/>
            <w:r w:rsidRPr="00B560CB">
              <w:t>grama</w:t>
            </w:r>
            <w:proofErr w:type="spellEnd"/>
          </w:p>
        </w:tc>
        <w:tc>
          <w:tcPr>
            <w:tcW w:w="1956" w:type="dxa"/>
            <w:tcBorders>
              <w:top w:val="single" w:color="000000" w:sz="12" w:space="0"/>
            </w:tcBorders>
            <w:shd w:val="clear" w:color="auto" w:fill="auto"/>
          </w:tcPr>
          <w:p w:rsidRPr="00B560CB" w:rsidR="00B560CB" w:rsidP="007320CE" w:rsidRDefault="00B560CB" w14:paraId="37FE648B" w14:textId="77777777">
            <w:r w:rsidRPr="00B560CB">
              <w:t>Upper</w:t>
            </w:r>
          </w:p>
        </w:tc>
      </w:tr>
      <w:tr w:rsidRPr="00B560CB" w:rsidR="00B560CB" w:rsidTr="00B560CB" w14:paraId="7EC006CB" w14:textId="77777777">
        <w:tc>
          <w:tcPr>
            <w:tcW w:w="1116" w:type="dxa"/>
            <w:shd w:val="clear" w:color="auto" w:fill="auto"/>
          </w:tcPr>
          <w:p w:rsidRPr="00B560CB" w:rsidR="00B560CB" w:rsidP="007320CE" w:rsidRDefault="00B560CB" w14:paraId="57FCB773" w14:textId="77777777">
            <w:pPr>
              <w:rPr>
                <w:bCs/>
              </w:rPr>
            </w:pPr>
            <w:r w:rsidRPr="00B560CB">
              <w:rPr>
                <w:bCs/>
              </w:rPr>
              <w:t>SPCR</w:t>
            </w:r>
          </w:p>
        </w:tc>
        <w:tc>
          <w:tcPr>
            <w:tcW w:w="2652" w:type="dxa"/>
            <w:shd w:val="clear" w:color="auto" w:fill="auto"/>
          </w:tcPr>
          <w:p w:rsidRPr="00B560CB" w:rsidR="00B560CB" w:rsidP="007320CE" w:rsidRDefault="00B560CB" w14:paraId="1516939E" w14:textId="77777777">
            <w:proofErr w:type="spellStart"/>
            <w:r w:rsidRPr="00B560CB">
              <w:t>Sporobolus</w:t>
            </w:r>
            <w:proofErr w:type="spellEnd"/>
            <w:r w:rsidRPr="00B560CB">
              <w:t xml:space="preserve"> </w:t>
            </w:r>
            <w:proofErr w:type="spellStart"/>
            <w:r w:rsidRPr="00B560CB">
              <w:t>cryptandrus</w:t>
            </w:r>
            <w:proofErr w:type="spellEnd"/>
          </w:p>
        </w:tc>
        <w:tc>
          <w:tcPr>
            <w:tcW w:w="1920" w:type="dxa"/>
            <w:shd w:val="clear" w:color="auto" w:fill="auto"/>
          </w:tcPr>
          <w:p w:rsidRPr="00B560CB" w:rsidR="00B560CB" w:rsidP="007320CE" w:rsidRDefault="00B560CB" w14:paraId="1E29C9E6" w14:textId="77777777">
            <w:r w:rsidRPr="00B560CB">
              <w:t xml:space="preserve">Sand </w:t>
            </w:r>
            <w:proofErr w:type="spellStart"/>
            <w:r w:rsidRPr="00B560CB">
              <w:t>dropseed</w:t>
            </w:r>
            <w:proofErr w:type="spellEnd"/>
          </w:p>
        </w:tc>
        <w:tc>
          <w:tcPr>
            <w:tcW w:w="1956" w:type="dxa"/>
            <w:shd w:val="clear" w:color="auto" w:fill="auto"/>
          </w:tcPr>
          <w:p w:rsidRPr="00B560CB" w:rsidR="00B560CB" w:rsidP="007320CE" w:rsidRDefault="00B560CB" w14:paraId="44334A8E" w14:textId="77777777">
            <w:r w:rsidRPr="00B560CB">
              <w:t>Lower</w:t>
            </w:r>
          </w:p>
        </w:tc>
      </w:tr>
      <w:tr w:rsidRPr="00B560CB" w:rsidR="00B560CB" w:rsidTr="00B560CB" w14:paraId="75FF3FE8" w14:textId="77777777">
        <w:tc>
          <w:tcPr>
            <w:tcW w:w="1116" w:type="dxa"/>
            <w:shd w:val="clear" w:color="auto" w:fill="auto"/>
          </w:tcPr>
          <w:p w:rsidRPr="00B560CB" w:rsidR="00B560CB" w:rsidP="007320CE" w:rsidRDefault="00B560CB" w14:paraId="27D19874" w14:textId="77777777">
            <w:pPr>
              <w:rPr>
                <w:bCs/>
              </w:rPr>
            </w:pPr>
            <w:r w:rsidRPr="00B560CB">
              <w:rPr>
                <w:bCs/>
              </w:rPr>
              <w:t>PRGL2</w:t>
            </w:r>
          </w:p>
        </w:tc>
        <w:tc>
          <w:tcPr>
            <w:tcW w:w="2652" w:type="dxa"/>
            <w:shd w:val="clear" w:color="auto" w:fill="auto"/>
          </w:tcPr>
          <w:p w:rsidRPr="00B560CB" w:rsidR="00B560CB" w:rsidP="007320CE" w:rsidRDefault="00B560CB" w14:paraId="2ED2539D" w14:textId="77777777">
            <w:r w:rsidRPr="00B560CB">
              <w:t xml:space="preserve">Prosopis </w:t>
            </w:r>
            <w:proofErr w:type="spellStart"/>
            <w:r w:rsidRPr="00B560CB">
              <w:t>glandulosa</w:t>
            </w:r>
            <w:proofErr w:type="spellEnd"/>
          </w:p>
        </w:tc>
        <w:tc>
          <w:tcPr>
            <w:tcW w:w="1920" w:type="dxa"/>
            <w:shd w:val="clear" w:color="auto" w:fill="auto"/>
          </w:tcPr>
          <w:p w:rsidRPr="00B560CB" w:rsidR="00B560CB" w:rsidP="007320CE" w:rsidRDefault="00B560CB" w14:paraId="55DE6DB9" w14:textId="77777777">
            <w:r w:rsidRPr="00B560CB">
              <w:t>Honey mesquite</w:t>
            </w:r>
          </w:p>
        </w:tc>
        <w:tc>
          <w:tcPr>
            <w:tcW w:w="1956" w:type="dxa"/>
            <w:shd w:val="clear" w:color="auto" w:fill="auto"/>
          </w:tcPr>
          <w:p w:rsidRPr="00B560CB" w:rsidR="00B560CB" w:rsidP="007320CE" w:rsidRDefault="00B560CB" w14:paraId="51243B2E" w14:textId="77777777">
            <w:r w:rsidRPr="00B560CB">
              <w:t>Upper</w:t>
            </w:r>
          </w:p>
        </w:tc>
      </w:tr>
    </w:tbl>
    <w:p w:rsidR="00B560CB" w:rsidP="00B560CB" w:rsidRDefault="00B560CB" w14:paraId="5C438C35" w14:textId="77777777"/>
    <w:p w:rsidR="00B560CB" w:rsidP="00B560CB" w:rsidRDefault="00B560CB" w14:paraId="2666C0DF" w14:textId="77777777">
      <w:pPr>
        <w:pStyle w:val="SClassInfoPara"/>
      </w:pPr>
      <w:r>
        <w:t>Description</w:t>
      </w:r>
    </w:p>
    <w:p w:rsidR="00E97834" w:rsidP="00E97834" w:rsidRDefault="00B560CB" w14:paraId="4F01E8E7" w14:textId="1BA1B371">
      <w:r>
        <w:t>Black</w:t>
      </w:r>
      <w:r w:rsidR="00AB2829">
        <w:t>-</w:t>
      </w:r>
      <w:proofErr w:type="spellStart"/>
      <w:r>
        <w:t>grama</w:t>
      </w:r>
      <w:proofErr w:type="spellEnd"/>
      <w:r>
        <w:t>, sand</w:t>
      </w:r>
      <w:r w:rsidR="00AB2829">
        <w:t>-</w:t>
      </w:r>
      <w:proofErr w:type="spellStart"/>
      <w:r>
        <w:t>dropseed</w:t>
      </w:r>
      <w:proofErr w:type="spellEnd"/>
      <w:r w:rsidR="00AB2829">
        <w:t>-</w:t>
      </w:r>
      <w:r>
        <w:t>dominated semi-desert grassland, with smaller scattered mesquite.</w:t>
      </w:r>
      <w:r w:rsidR="00E97834">
        <w:t xml:space="preserve"> Shrub cover &lt;10%.</w:t>
      </w:r>
    </w:p>
    <w:p w:rsidR="00B560CB" w:rsidP="00B560CB" w:rsidRDefault="00B560CB" w14:paraId="1750C11C"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5</w:t>
            </w:r>
          </w:p>
        </w:tc>
      </w:tr>
      <w:tr>
        <w:tc>
          <w:p>
            <w:pPr>
              <w:jc w:val="center"/>
            </w:pPr>
            <w:r>
              <w:rPr>
                <w:sz w:val="20"/>
              </w:rPr>
              <w:t>Late1:OPN</w:t>
            </w:r>
          </w:p>
        </w:tc>
        <w:tc>
          <w:p>
            <w:pPr>
              <w:jc w:val="center"/>
            </w:pPr>
            <w:r>
              <w:rPr>
                <w:sz w:val="20"/>
              </w:rPr>
              <w:t>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bl>
    <w:p>
      <w:r>
        <w:t/>
      </w:r>
    </w:p>
    <w:p>
      <w:pPr>
        <w:pStyle w:val="InfoPara"/>
      </w:pPr>
      <w:r>
        <w:t>Optional Disturbances</w:t>
      </w:r>
    </w:p>
    <w:p>
      <w:r>
        <w:t>Optional 1: Drought</w:t>
      </w:r>
    </w:p>
    <w:p>
      <w:r>
        <w:t/>
      </w:r>
    </w:p>
    <w:p>
      <w:pPr xmlns:w="http://schemas.openxmlformats.org/wordprocessingml/2006/main">
        <w:pStyle w:val="ReportSection"/>
      </w:pPr>
      <w:r xmlns:w="http://schemas.openxmlformats.org/wordprocessingml/2006/main">
        <w:t>References</w:t>
      </w:r>
    </w:p>
    <w:p>
      <w:r>
        <w:t/>
      </w:r>
    </w:p>
    <w:p w:rsidR="00B560CB" w:rsidP="00B560CB" w:rsidRDefault="00B560CB" w14:paraId="5E7EC839"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B560CB" w:rsidP="00B560CB" w:rsidRDefault="00B560CB" w14:paraId="40D42E0A" w14:textId="77777777"/>
    <w:p w:rsidR="00B560CB" w:rsidP="00B560CB" w:rsidRDefault="00B560CB" w14:paraId="26F70EB9"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B560CB" w:rsidP="00B560CB" w:rsidRDefault="00B560CB" w14:paraId="6EFCA7EB" w14:textId="77777777"/>
    <w:p w:rsidR="00B560CB" w:rsidP="00B560CB" w:rsidRDefault="00B560CB" w14:paraId="6DC2E4F8"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B560CB" w:rsidP="00B560CB" w:rsidRDefault="00B560CB" w14:paraId="68D6EF02" w14:textId="77777777"/>
    <w:p w:rsidR="00B560CB" w:rsidP="00B560CB" w:rsidRDefault="00B560CB" w14:paraId="189C15BE" w14:textId="77777777">
      <w:r>
        <w:t xml:space="preserve">Martin, R.E. and J.D. Dell. 1978. Planning for prescribed burning in the Inland Northwest. Gen. Tech. Rep. PNW-76. Portland, OR: USDA Forest Service, Pacific Northwest Forest and Range Experiment Station. 67 pp. </w:t>
      </w:r>
    </w:p>
    <w:p w:rsidR="00B560CB" w:rsidP="00B560CB" w:rsidRDefault="00B560CB" w14:paraId="36FAD0B9" w14:textId="77777777"/>
    <w:p w:rsidR="00B560CB" w:rsidP="00B560CB" w:rsidRDefault="00B560CB" w14:paraId="4F26139C"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B560CB" w:rsidP="00B560CB" w:rsidRDefault="00B560CB" w14:paraId="02CB2FAD" w14:textId="77777777"/>
    <w:p w:rsidR="00B560CB" w:rsidP="00B560CB" w:rsidRDefault="00B560CB" w14:paraId="47F0B7D2" w14:textId="77777777">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B560CB" w:rsidP="00B560CB" w:rsidRDefault="00B560CB" w14:paraId="78C8C110" w14:textId="77777777"/>
    <w:p w:rsidR="00B560CB" w:rsidP="00B560CB" w:rsidRDefault="00B560CB" w14:paraId="48A3887C" w14:textId="77777777">
      <w:r>
        <w:t>NatureServe. 2007. International Ecological Classification Standard: Terrestrial Ecological Classifications. NatureServe Central Databases. Arlington, VA. Data current as of 10 February 2007.</w:t>
      </w:r>
    </w:p>
    <w:p w:rsidR="00B560CB" w:rsidP="00B560CB" w:rsidRDefault="00B560CB" w14:paraId="44B7D8AF" w14:textId="77777777"/>
    <w:p w:rsidR="00B560CB" w:rsidP="00B560CB" w:rsidRDefault="00B560CB" w14:paraId="5C009108" w14:textId="77777777">
      <w:r>
        <w:t xml:space="preserve">Plummer, A.P., A.C. Hull, Jr., G. Stewart and J.H. Robertson. 1955. Seeding rangelands in Utah, Nevada, southern Idaho and western Wyoming. Agric. </w:t>
      </w:r>
      <w:proofErr w:type="spellStart"/>
      <w:r>
        <w:t>Handb</w:t>
      </w:r>
      <w:proofErr w:type="spellEnd"/>
      <w:r>
        <w:t>. 71. Washington, DC: USDA Forest Service. 73 pp.</w:t>
      </w:r>
    </w:p>
    <w:p w:rsidR="00B560CB" w:rsidP="00B560CB" w:rsidRDefault="00B560CB" w14:paraId="1CC8C97C" w14:textId="77777777"/>
    <w:p w:rsidR="00B560CB" w:rsidP="00B560CB" w:rsidRDefault="00B560CB" w14:paraId="5DE64AE6" w14:textId="77777777">
      <w:r>
        <w:lastRenderedPageBreak/>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NV: U.S. Department of the Interior, Bureau of Land Management, Nevada State Office, Branch of Protection. 56 pp.</w:t>
      </w:r>
    </w:p>
    <w:p w:rsidR="00B560CB" w:rsidP="00B560CB" w:rsidRDefault="00B560CB" w14:paraId="66D443E0" w14:textId="77777777"/>
    <w:p w:rsidR="00B560CB" w:rsidP="00B560CB" w:rsidRDefault="00B560CB" w14:paraId="783CDEE9" w14:textId="77777777">
      <w:r>
        <w:t xml:space="preserve">USDA Forest Service Fire Effects Information System. </w:t>
      </w:r>
    </w:p>
    <w:p w:rsidR="00B560CB" w:rsidP="00B560CB" w:rsidRDefault="00B560CB" w14:paraId="5240781F" w14:textId="77777777">
      <w:r>
        <w:t>http://www.fs.fed.us/database/feis/plants/graminoid/achnel/fire_ecology.html</w:t>
      </w:r>
    </w:p>
    <w:p w:rsidR="00B560CB" w:rsidP="00B560CB" w:rsidRDefault="00B560CB" w14:paraId="0E4D1142" w14:textId="77777777"/>
    <w:p w:rsidR="00B560CB" w:rsidP="00B560CB" w:rsidRDefault="00B560CB" w14:paraId="3D9BDC34" w14:textId="77777777">
      <w:r>
        <w:t>USDA-NRCS. 1991. Range Ecological Sites, Major Land Resource Area 28B. Central Nevada. Available online: http://esis.sc.egov.usda.gov/Welcome/pgESDWelcome.aspx.</w:t>
      </w:r>
    </w:p>
    <w:p w:rsidR="00B560CB" w:rsidP="00B560CB" w:rsidRDefault="00B560CB" w14:paraId="1F5B9ED2" w14:textId="77777777"/>
    <w:p w:rsidR="00B560CB" w:rsidP="00B560CB" w:rsidRDefault="00B560CB" w14:paraId="18E88F4B"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B560CB" w:rsidP="00B560CB" w:rsidRDefault="00B560CB" w14:paraId="2CCE0225" w14:textId="77777777"/>
    <w:p w:rsidR="00B560CB" w:rsidP="00B560CB" w:rsidRDefault="00B560CB" w14:paraId="76350D5F" w14:textId="77777777">
      <w:proofErr w:type="spellStart"/>
      <w:r>
        <w:t>Zschaechner</w:t>
      </w:r>
      <w:proofErr w:type="spellEnd"/>
      <w:r>
        <w:t>,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00B560CB" w:rsidP="00B560CB" w:rsidRDefault="00B560CB" w14:paraId="6C4EDDBC" w14:textId="77777777"/>
    <w:p w:rsidR="00B560CB" w:rsidP="00B560CB" w:rsidRDefault="00B560CB" w14:paraId="289D689D" w14:textId="77777777">
      <w:r>
        <w:t>USDA, NRCS Ecological Site Description Site IDs; R042XBO12NM, R042XBO11NM, R042XBO15NM: Hennessy et al. 1983, Nielson 1986, Paulsen and Ares 1962.</w:t>
      </w:r>
    </w:p>
    <w:p w:rsidRPr="00A43E41" w:rsidR="004D5F12" w:rsidP="00B560CB" w:rsidRDefault="004D5F12" w14:paraId="39C317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0481B" w14:textId="77777777" w:rsidR="0010463C" w:rsidRDefault="0010463C">
      <w:r>
        <w:separator/>
      </w:r>
    </w:p>
  </w:endnote>
  <w:endnote w:type="continuationSeparator" w:id="0">
    <w:p w14:paraId="6F0AA1DD" w14:textId="77777777" w:rsidR="0010463C" w:rsidRDefault="0010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AD27C" w14:textId="77777777" w:rsidR="00B560CB" w:rsidRDefault="00B560CB" w:rsidP="00B560C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0B22D" w14:textId="77777777" w:rsidR="0010463C" w:rsidRDefault="0010463C">
      <w:r>
        <w:separator/>
      </w:r>
    </w:p>
  </w:footnote>
  <w:footnote w:type="continuationSeparator" w:id="0">
    <w:p w14:paraId="3B15BABA" w14:textId="77777777" w:rsidR="0010463C" w:rsidRDefault="00104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FD79A" w14:textId="77777777" w:rsidR="00A43E41" w:rsidRDefault="00A43E41" w:rsidP="00B560C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0C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463C"/>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9448C"/>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7978"/>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5C41"/>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7DF0"/>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23DF"/>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43"/>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2F5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829"/>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560CB"/>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965"/>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181B"/>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54D"/>
    <w:rsid w:val="00D44ACD"/>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97834"/>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13D39"/>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53EAC"/>
  <w15:docId w15:val="{A315673C-A5F2-4951-A390-1CE040C0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32F56"/>
    <w:pPr>
      <w:ind w:left="720"/>
    </w:pPr>
    <w:rPr>
      <w:rFonts w:ascii="Calibri" w:eastAsia="Calibri" w:hAnsi="Calibri"/>
      <w:sz w:val="22"/>
      <w:szCs w:val="22"/>
    </w:rPr>
  </w:style>
  <w:style w:type="character" w:styleId="Hyperlink">
    <w:name w:val="Hyperlink"/>
    <w:rsid w:val="00A32F56"/>
    <w:rPr>
      <w:color w:val="0000FF"/>
      <w:u w:val="single"/>
    </w:rPr>
  </w:style>
  <w:style w:type="paragraph" w:styleId="BalloonText">
    <w:name w:val="Balloon Text"/>
    <w:basedOn w:val="Normal"/>
    <w:link w:val="BalloonTextChar"/>
    <w:uiPriority w:val="99"/>
    <w:semiHidden/>
    <w:unhideWhenUsed/>
    <w:rsid w:val="00AB28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539000">
      <w:bodyDiv w:val="1"/>
      <w:marLeft w:val="0"/>
      <w:marRight w:val="0"/>
      <w:marTop w:val="0"/>
      <w:marBottom w:val="0"/>
      <w:divBdr>
        <w:top w:val="none" w:sz="0" w:space="0" w:color="auto"/>
        <w:left w:val="none" w:sz="0" w:space="0" w:color="auto"/>
        <w:bottom w:val="none" w:sz="0" w:space="0" w:color="auto"/>
        <w:right w:val="none" w:sz="0" w:space="0" w:color="auto"/>
      </w:divBdr>
    </w:div>
    <w:div w:id="106241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2014-08-21T14:35:00Z</cp:lastPrinted>
  <dcterms:created xsi:type="dcterms:W3CDTF">2017-11-09T22:25:00Z</dcterms:created>
  <dcterms:modified xsi:type="dcterms:W3CDTF">2018-06-14T20:29:00Z</dcterms:modified>
</cp:coreProperties>
</file>