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7EF" w:rsidP="008F57EF" w:rsidRDefault="008F57EF">
      <w:pPr>
        <w:pStyle w:val="BpSTitle"/>
      </w:pPr>
      <w:r>
        <w:t>11390</w:t>
      </w:r>
    </w:p>
    <w:p w:rsidR="008F57EF" w:rsidP="008F57EF" w:rsidRDefault="008F57EF">
      <w:pPr>
        <w:pStyle w:val="BpSTitle"/>
      </w:pPr>
      <w:r>
        <w:t>Northern Rocky Mountain Lower Montane-Foothill-Valley Grassland</w:t>
      </w:r>
    </w:p>
    <w:p w:rsidR="008F57EF" w:rsidP="008F57EF" w:rsidRDefault="008F57EF">
      <w:r>
        <w:t xmlns:w="http://schemas.openxmlformats.org/wordprocessingml/2006/main">BpS Model/Description Version: Aug. 2020</w:t>
      </w:r>
      <w:r>
        <w:tab/>
      </w:r>
      <w:r>
        <w:tab/>
      </w:r>
      <w:r>
        <w:tab/>
      </w:r>
      <w:r>
        <w:tab/>
      </w:r>
      <w:r>
        <w:tab/>
      </w:r>
      <w:r>
        <w:tab/>
      </w:r>
      <w:r>
        <w:tab/>
      </w:r>
    </w:p>
    <w:p w:rsidR="008F57EF" w:rsidP="008F57EF" w:rsidRDefault="008F57EF"/>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68"/>
        <w:gridCol w:w="1836"/>
        <w:gridCol w:w="1884"/>
        <w:gridCol w:w="3576"/>
      </w:tblGrid>
      <w:tr w:rsidRPr="008F57EF" w:rsidR="008F57EF" w:rsidTr="008F57EF">
        <w:tc>
          <w:tcPr>
            <w:tcW w:w="1368" w:type="dxa"/>
            <w:tcBorders>
              <w:top w:val="single" w:color="auto" w:sz="2" w:space="0"/>
              <w:left w:val="single" w:color="auto" w:sz="12" w:space="0"/>
              <w:bottom w:val="single" w:color="000000" w:sz="12" w:space="0"/>
            </w:tcBorders>
            <w:shd w:val="clear" w:color="auto" w:fill="auto"/>
          </w:tcPr>
          <w:p w:rsidRPr="008F57EF" w:rsidR="008F57EF" w:rsidP="009C4456" w:rsidRDefault="008F57EF">
            <w:pPr>
              <w:rPr>
                <w:b/>
                <w:bCs/>
              </w:rPr>
            </w:pPr>
            <w:r w:rsidRPr="008F57EF">
              <w:rPr>
                <w:b/>
                <w:bCs/>
              </w:rPr>
              <w:t>Modelers</w:t>
            </w:r>
          </w:p>
        </w:tc>
        <w:tc>
          <w:tcPr>
            <w:tcW w:w="1836" w:type="dxa"/>
            <w:tcBorders>
              <w:top w:val="single" w:color="auto" w:sz="2" w:space="0"/>
              <w:bottom w:val="single" w:color="000000" w:sz="12" w:space="0"/>
              <w:right w:val="single" w:color="000000" w:sz="12" w:space="0"/>
            </w:tcBorders>
            <w:shd w:val="clear" w:color="auto" w:fill="auto"/>
          </w:tcPr>
          <w:p w:rsidRPr="008F57EF" w:rsidR="008F57EF" w:rsidP="009C4456" w:rsidRDefault="008F57EF">
            <w:pPr>
              <w:rPr>
                <w:b/>
                <w:bCs/>
              </w:rPr>
            </w:pPr>
          </w:p>
        </w:tc>
        <w:tc>
          <w:tcPr>
            <w:tcW w:w="1884" w:type="dxa"/>
            <w:tcBorders>
              <w:top w:val="single" w:color="auto" w:sz="2" w:space="0"/>
              <w:left w:val="single" w:color="000000" w:sz="12" w:space="0"/>
              <w:bottom w:val="single" w:color="000000" w:sz="12" w:space="0"/>
            </w:tcBorders>
            <w:shd w:val="clear" w:color="auto" w:fill="auto"/>
          </w:tcPr>
          <w:p w:rsidRPr="008F57EF" w:rsidR="008F57EF" w:rsidP="009C4456" w:rsidRDefault="008F57EF">
            <w:pPr>
              <w:rPr>
                <w:b/>
                <w:bCs/>
              </w:rPr>
            </w:pPr>
            <w:r w:rsidRPr="008F57EF">
              <w:rPr>
                <w:b/>
                <w:bCs/>
              </w:rPr>
              <w:t>Reviewers</w:t>
            </w:r>
          </w:p>
        </w:tc>
        <w:tc>
          <w:tcPr>
            <w:tcW w:w="3576" w:type="dxa"/>
            <w:tcBorders>
              <w:top w:val="single" w:color="auto" w:sz="2" w:space="0"/>
              <w:bottom w:val="single" w:color="000000" w:sz="12" w:space="0"/>
            </w:tcBorders>
            <w:shd w:val="clear" w:color="auto" w:fill="auto"/>
          </w:tcPr>
          <w:p w:rsidRPr="008F57EF" w:rsidR="008F57EF" w:rsidP="009C4456" w:rsidRDefault="008F57EF">
            <w:pPr>
              <w:rPr>
                <w:b/>
                <w:bCs/>
              </w:rPr>
            </w:pPr>
          </w:p>
        </w:tc>
      </w:tr>
      <w:tr w:rsidRPr="008F57EF" w:rsidR="008F57EF" w:rsidTr="008F57EF">
        <w:tc>
          <w:tcPr>
            <w:tcW w:w="1368" w:type="dxa"/>
            <w:tcBorders>
              <w:top w:val="single" w:color="000000" w:sz="12" w:space="0"/>
              <w:left w:val="single" w:color="auto" w:sz="12" w:space="0"/>
            </w:tcBorders>
            <w:shd w:val="clear" w:color="auto" w:fill="auto"/>
          </w:tcPr>
          <w:p w:rsidRPr="008F57EF" w:rsidR="008F57EF" w:rsidP="009C4456" w:rsidRDefault="008F57EF">
            <w:pPr>
              <w:rPr>
                <w:bCs/>
              </w:rPr>
            </w:pPr>
            <w:r w:rsidRPr="008F57EF">
              <w:rPr>
                <w:bCs/>
              </w:rPr>
              <w:t>Dave Tart</w:t>
            </w:r>
          </w:p>
        </w:tc>
        <w:tc>
          <w:tcPr>
            <w:tcW w:w="1836" w:type="dxa"/>
            <w:tcBorders>
              <w:top w:val="single" w:color="000000" w:sz="12" w:space="0"/>
              <w:right w:val="single" w:color="000000" w:sz="12" w:space="0"/>
            </w:tcBorders>
            <w:shd w:val="clear" w:color="auto" w:fill="auto"/>
          </w:tcPr>
          <w:p w:rsidRPr="008F57EF" w:rsidR="008F57EF" w:rsidP="009C4456" w:rsidRDefault="008F57EF">
            <w:r w:rsidRPr="008F57EF">
              <w:t>dtart@fs.fed.us</w:t>
            </w:r>
          </w:p>
        </w:tc>
        <w:tc>
          <w:tcPr>
            <w:tcW w:w="1884" w:type="dxa"/>
            <w:tcBorders>
              <w:top w:val="single" w:color="000000" w:sz="12" w:space="0"/>
              <w:left w:val="single" w:color="000000" w:sz="12" w:space="0"/>
            </w:tcBorders>
            <w:shd w:val="clear" w:color="auto" w:fill="auto"/>
          </w:tcPr>
          <w:p w:rsidRPr="008F57EF" w:rsidR="008F57EF" w:rsidP="009C4456" w:rsidRDefault="008F57EF">
            <w:r w:rsidRPr="008F57EF">
              <w:t xml:space="preserve">Bill </w:t>
            </w:r>
            <w:proofErr w:type="spellStart"/>
            <w:r w:rsidRPr="008F57EF">
              <w:t>Romme</w:t>
            </w:r>
            <w:proofErr w:type="spellEnd"/>
          </w:p>
        </w:tc>
        <w:tc>
          <w:tcPr>
            <w:tcW w:w="3576" w:type="dxa"/>
            <w:tcBorders>
              <w:top w:val="single" w:color="000000" w:sz="12" w:space="0"/>
            </w:tcBorders>
            <w:shd w:val="clear" w:color="auto" w:fill="auto"/>
          </w:tcPr>
          <w:p w:rsidRPr="008F57EF" w:rsidR="008F57EF" w:rsidP="009C4456" w:rsidRDefault="008F57EF">
            <w:r w:rsidRPr="008F57EF">
              <w:t>romme@warnercnr.colostate.edu</w:t>
            </w:r>
          </w:p>
        </w:tc>
      </w:tr>
      <w:tr w:rsidRPr="008F57EF" w:rsidR="008F57EF" w:rsidTr="008F57EF">
        <w:tc>
          <w:tcPr>
            <w:tcW w:w="1368" w:type="dxa"/>
            <w:tcBorders>
              <w:left w:val="single" w:color="auto" w:sz="12" w:space="0"/>
            </w:tcBorders>
            <w:shd w:val="clear" w:color="auto" w:fill="auto"/>
          </w:tcPr>
          <w:p w:rsidRPr="008F57EF" w:rsidR="008F57EF" w:rsidP="009C4456" w:rsidRDefault="008F57EF">
            <w:pPr>
              <w:rPr>
                <w:bCs/>
              </w:rPr>
            </w:pPr>
          </w:p>
        </w:tc>
        <w:tc>
          <w:tcPr>
            <w:tcW w:w="1836" w:type="dxa"/>
            <w:tcBorders>
              <w:right w:val="single" w:color="000000" w:sz="12" w:space="0"/>
            </w:tcBorders>
            <w:shd w:val="clear" w:color="auto" w:fill="auto"/>
          </w:tcPr>
          <w:p w:rsidRPr="008F57EF" w:rsidR="008F57EF" w:rsidP="009C4456" w:rsidRDefault="008F57EF"/>
        </w:tc>
        <w:tc>
          <w:tcPr>
            <w:tcW w:w="1884" w:type="dxa"/>
            <w:tcBorders>
              <w:left w:val="single" w:color="000000" w:sz="12" w:space="0"/>
            </w:tcBorders>
            <w:shd w:val="clear" w:color="auto" w:fill="auto"/>
          </w:tcPr>
          <w:p w:rsidRPr="008F57EF" w:rsidR="008F57EF" w:rsidP="009C4456" w:rsidRDefault="008F57EF">
            <w:r w:rsidRPr="008F57EF">
              <w:t xml:space="preserve">Jim </w:t>
            </w:r>
            <w:proofErr w:type="spellStart"/>
            <w:r w:rsidRPr="008F57EF">
              <w:t>Ozenberger</w:t>
            </w:r>
            <w:proofErr w:type="spellEnd"/>
          </w:p>
        </w:tc>
        <w:tc>
          <w:tcPr>
            <w:tcW w:w="3576" w:type="dxa"/>
            <w:shd w:val="clear" w:color="auto" w:fill="auto"/>
          </w:tcPr>
          <w:p w:rsidRPr="008F57EF" w:rsidR="008F57EF" w:rsidP="009C4456" w:rsidRDefault="008F57EF">
            <w:r w:rsidRPr="008F57EF">
              <w:t>jozenberger@fs.fed.us</w:t>
            </w:r>
          </w:p>
        </w:tc>
      </w:tr>
      <w:tr w:rsidRPr="008F57EF" w:rsidR="008F57EF" w:rsidTr="008F57EF">
        <w:tc>
          <w:tcPr>
            <w:tcW w:w="1368" w:type="dxa"/>
            <w:tcBorders>
              <w:left w:val="single" w:color="auto" w:sz="12" w:space="0"/>
              <w:bottom w:val="single" w:color="auto" w:sz="2" w:space="0"/>
            </w:tcBorders>
            <w:shd w:val="clear" w:color="auto" w:fill="auto"/>
          </w:tcPr>
          <w:p w:rsidRPr="008F57EF" w:rsidR="008F57EF" w:rsidP="009C4456" w:rsidRDefault="008F57EF">
            <w:pPr>
              <w:rPr>
                <w:bCs/>
              </w:rPr>
            </w:pPr>
          </w:p>
        </w:tc>
        <w:tc>
          <w:tcPr>
            <w:tcW w:w="1836" w:type="dxa"/>
            <w:tcBorders>
              <w:right w:val="single" w:color="000000" w:sz="12" w:space="0"/>
            </w:tcBorders>
            <w:shd w:val="clear" w:color="auto" w:fill="auto"/>
          </w:tcPr>
          <w:p w:rsidRPr="008F57EF" w:rsidR="008F57EF" w:rsidP="009C4456" w:rsidRDefault="008F57EF"/>
        </w:tc>
        <w:tc>
          <w:tcPr>
            <w:tcW w:w="1884" w:type="dxa"/>
            <w:tcBorders>
              <w:left w:val="single" w:color="000000" w:sz="12" w:space="0"/>
              <w:bottom w:val="single" w:color="auto" w:sz="2" w:space="0"/>
            </w:tcBorders>
            <w:shd w:val="clear" w:color="auto" w:fill="auto"/>
          </w:tcPr>
          <w:p w:rsidRPr="008F57EF" w:rsidR="008F57EF" w:rsidP="009C4456" w:rsidRDefault="008F57EF">
            <w:r w:rsidRPr="008F57EF">
              <w:t>Andy Norman</w:t>
            </w:r>
          </w:p>
        </w:tc>
        <w:tc>
          <w:tcPr>
            <w:tcW w:w="3576" w:type="dxa"/>
            <w:shd w:val="clear" w:color="auto" w:fill="auto"/>
          </w:tcPr>
          <w:p w:rsidRPr="008F57EF" w:rsidR="008F57EF" w:rsidP="009C4456" w:rsidRDefault="008F57EF">
            <w:r w:rsidRPr="008F57EF">
              <w:t>anorman@fs.fed.us</w:t>
            </w:r>
          </w:p>
        </w:tc>
      </w:tr>
    </w:tbl>
    <w:p w:rsidR="008F57EF" w:rsidP="008F57EF" w:rsidRDefault="008F57EF"/>
    <w:p w:rsidR="008F57EF" w:rsidP="008F57EF" w:rsidRDefault="008F57EF">
      <w:pPr>
        <w:pStyle w:val="InfoPara"/>
      </w:pPr>
      <w:r>
        <w:t>Vegetation Type</w:t>
      </w:r>
    </w:p>
    <w:p w:rsidR="008F57EF" w:rsidP="008F57EF" w:rsidRDefault="008F57EF">
      <w:bookmarkStart w:name="_GoBack" w:id="0"/>
      <w:bookmarkEnd w:id="0"/>
      <w:r>
        <w:t>Herbaceous</w:t>
      </w:r>
    </w:p>
    <w:p w:rsidR="008F57EF" w:rsidP="008F57EF" w:rsidRDefault="008F57EF">
      <w:pPr>
        <w:pStyle w:val="InfoPara"/>
      </w:pPr>
      <w:r>
        <w:t>Map Zones</w:t>
      </w:r>
    </w:p>
    <w:p w:rsidR="008F57EF" w:rsidP="008F57EF" w:rsidRDefault="008F57EF">
      <w:r>
        <w:t>21</w:t>
      </w:r>
    </w:p>
    <w:p w:rsidR="008F57EF" w:rsidP="008F57EF" w:rsidRDefault="008F57EF">
      <w:pPr>
        <w:pStyle w:val="InfoPara"/>
      </w:pPr>
      <w:r>
        <w:t>Geographic Range</w:t>
      </w:r>
    </w:p>
    <w:p w:rsidR="008F57EF" w:rsidP="008F57EF" w:rsidRDefault="008F57EF">
      <w:r>
        <w:t>Northern Rockies throughout MT, northern ID, northeastern WA (Okanogan Highlands), eastern ID and northwestern WY. May occupy river valleys, including the Salmon, Snake and Clearwater Rivers, and the Upper Madison River, Upper Yellowstone River, Upper Salt River, Upper Snake River, Upper Green River, Upper Wind River, Shoshone River</w:t>
      </w:r>
      <w:r w:rsidR="0022246F">
        <w:t>,</w:t>
      </w:r>
      <w:r>
        <w:t xml:space="preserve"> and Centennial Valley. Drier portions of this type will resemble </w:t>
      </w:r>
      <w:proofErr w:type="spellStart"/>
      <w:r>
        <w:t>bluebunch</w:t>
      </w:r>
      <w:proofErr w:type="spellEnd"/>
      <w:r>
        <w:t xml:space="preserve"> wheatgrass communities in Columbia Basin.</w:t>
      </w:r>
    </w:p>
    <w:p w:rsidR="008F57EF" w:rsidP="008F57EF" w:rsidRDefault="008F57EF">
      <w:pPr>
        <w:pStyle w:val="InfoPara"/>
      </w:pPr>
      <w:r>
        <w:t>Biophysical Site Description</w:t>
      </w:r>
    </w:p>
    <w:p w:rsidR="008F57EF" w:rsidP="008F57EF" w:rsidRDefault="008F57EF">
      <w:r>
        <w:t xml:space="preserve">This type occupies productive uplands below lower </w:t>
      </w:r>
      <w:proofErr w:type="spellStart"/>
      <w:r>
        <w:t>treeline</w:t>
      </w:r>
      <w:proofErr w:type="spellEnd"/>
      <w:r>
        <w:t xml:space="preserve"> or in small pockets where </w:t>
      </w:r>
      <w:proofErr w:type="gramStart"/>
      <w:r>
        <w:t>cold air</w:t>
      </w:r>
      <w:proofErr w:type="gramEnd"/>
      <w:r>
        <w:t xml:space="preserve"> drainage or shallow soils inhibit conifer growth, generally ranging from 4</w:t>
      </w:r>
      <w:r w:rsidR="00EF5E70">
        <w:t>,</w:t>
      </w:r>
      <w:r>
        <w:t>000-7</w:t>
      </w:r>
      <w:r w:rsidR="00EF5E70">
        <w:t>,</w:t>
      </w:r>
      <w:r>
        <w:t>000ft.</w:t>
      </w:r>
    </w:p>
    <w:p w:rsidR="008F57EF" w:rsidP="008F57EF" w:rsidRDefault="008F57EF"/>
    <w:p w:rsidR="008F57EF" w:rsidP="008F57EF" w:rsidRDefault="008F57EF">
      <w:r>
        <w:t xml:space="preserve">There is discrepancy as to how to distinguish </w:t>
      </w:r>
      <w:proofErr w:type="spellStart"/>
      <w:r>
        <w:t>BpS</w:t>
      </w:r>
      <w:proofErr w:type="spellEnd"/>
      <w:r>
        <w:t xml:space="preserve"> 1126 mountain big sagebrush and this </w:t>
      </w:r>
      <w:proofErr w:type="spellStart"/>
      <w:r>
        <w:t>BpS</w:t>
      </w:r>
      <w:proofErr w:type="spellEnd"/>
      <w:r>
        <w:t xml:space="preserve"> in terms of biophysical gradients. It has been suggested that they be distinguished by elevation, soil and precipitation. Other Forest Service (Tart, personal correspondence) data lists the elevation of this </w:t>
      </w:r>
      <w:proofErr w:type="spellStart"/>
      <w:r>
        <w:t>BpS</w:t>
      </w:r>
      <w:proofErr w:type="spellEnd"/>
      <w:r>
        <w:t xml:space="preserve"> (FEID) at up to over 9</w:t>
      </w:r>
      <w:r w:rsidR="00EF5E70">
        <w:t>,</w:t>
      </w:r>
      <w:r>
        <w:t xml:space="preserve">000ft. It is thought that this </w:t>
      </w:r>
      <w:proofErr w:type="spellStart"/>
      <w:r>
        <w:t>BpS</w:t>
      </w:r>
      <w:proofErr w:type="spellEnd"/>
      <w:r>
        <w:t xml:space="preserve"> might start at the higher elevation, whereas the mountain big sage would be at the lower elevation (Tart, personal correspondence). </w:t>
      </w:r>
    </w:p>
    <w:p w:rsidR="008F57EF" w:rsidP="008F57EF" w:rsidRDefault="008F57EF"/>
    <w:p w:rsidR="008F57EF" w:rsidP="008F57EF" w:rsidRDefault="008F57EF">
      <w:proofErr w:type="spellStart"/>
      <w:r>
        <w:t>Mueggler</w:t>
      </w:r>
      <w:proofErr w:type="spellEnd"/>
      <w:r>
        <w:t xml:space="preserve"> and Stewart state that the FEID/AGSP habitat type is found at elevations ranging from 4</w:t>
      </w:r>
      <w:r w:rsidR="00EF5E70">
        <w:t>,</w:t>
      </w:r>
      <w:r>
        <w:t>500-7</w:t>
      </w:r>
      <w:r w:rsidR="00EF5E70">
        <w:t>,</w:t>
      </w:r>
      <w:r>
        <w:t>500ft and tends to occur more on northerly exposures at the lower elevations and on southerly exposures at the higher elevations. The ARTR/FEID occurs from 6</w:t>
      </w:r>
      <w:r w:rsidR="00EF5E70">
        <w:t>,</w:t>
      </w:r>
      <w:r>
        <w:t>000-8</w:t>
      </w:r>
      <w:r w:rsidR="00EF5E70">
        <w:t>,</w:t>
      </w:r>
      <w:r>
        <w:t>000ft. The FEID grasslands on the Pinedale RD more closely resemble FEID/CAFI and FEID/AGCA types which range from 6</w:t>
      </w:r>
      <w:r w:rsidR="00EF5E70">
        <w:t>,</w:t>
      </w:r>
      <w:r>
        <w:t>500-9</w:t>
      </w:r>
      <w:r w:rsidR="00EF5E70">
        <w:t>,</w:t>
      </w:r>
      <w:r>
        <w:t>200ft.</w:t>
      </w:r>
    </w:p>
    <w:p w:rsidR="008F57EF" w:rsidP="008F57EF" w:rsidRDefault="008F57EF"/>
    <w:p w:rsidR="008F57EF" w:rsidP="008F57EF" w:rsidRDefault="008F57EF">
      <w:r>
        <w:t xml:space="preserve">In the high valleys of southwestern MT, sagebrush was probably the historical dominant on sites having either coarse or clayey soils (Morris et al. 1976 in Arno and </w:t>
      </w:r>
      <w:proofErr w:type="spellStart"/>
      <w:r>
        <w:t>Gruell</w:t>
      </w:r>
      <w:proofErr w:type="spellEnd"/>
      <w:r>
        <w:t xml:space="preserve"> 1983). Grasses are poorly adapted to these soils, which have droughty surface conditions, whereas deep-rooting big sagebrush is well-adapted (Arno and </w:t>
      </w:r>
      <w:proofErr w:type="spellStart"/>
      <w:r>
        <w:t>Gruell</w:t>
      </w:r>
      <w:proofErr w:type="spellEnd"/>
      <w:r>
        <w:t xml:space="preserve"> 1983).</w:t>
      </w:r>
    </w:p>
    <w:p w:rsidR="008F57EF" w:rsidP="008F57EF" w:rsidRDefault="008F57EF">
      <w:pPr>
        <w:pStyle w:val="InfoPara"/>
      </w:pPr>
      <w:r>
        <w:t>Vegetation Description</w:t>
      </w:r>
    </w:p>
    <w:p w:rsidR="008F57EF" w:rsidP="008F57EF" w:rsidRDefault="008F57EF">
      <w:r>
        <w:lastRenderedPageBreak/>
        <w:t xml:space="preserve">This type is dominated by </w:t>
      </w:r>
      <w:proofErr w:type="spellStart"/>
      <w:r>
        <w:t>bluebunch</w:t>
      </w:r>
      <w:proofErr w:type="spellEnd"/>
      <w:r>
        <w:t xml:space="preserve"> wheatgrass with Idaho fescue as dominant associate. Rough fescue is only in the Centennial Valley in MZ21. </w:t>
      </w:r>
      <w:proofErr w:type="spellStart"/>
      <w:r>
        <w:t>Bluebunch</w:t>
      </w:r>
      <w:proofErr w:type="spellEnd"/>
      <w:r>
        <w:t xml:space="preserve"> wheatgrass is more prevalent in drier areas. </w:t>
      </w:r>
      <w:proofErr w:type="spellStart"/>
      <w:r>
        <w:t>Mueggler</w:t>
      </w:r>
      <w:proofErr w:type="spellEnd"/>
      <w:r>
        <w:t xml:space="preserve"> and Stewart (1980) have described these types as: FEID/AGSP and FESC/AGSP. The FEID grasslands on the Pinedale RD in MZ21 more closely resemble FEID/CAFI and FEID/AGCA. Additional species include needle and thread, Sandberg bluegrass, </w:t>
      </w:r>
      <w:proofErr w:type="spellStart"/>
      <w:r>
        <w:t>arrowleaf</w:t>
      </w:r>
      <w:proofErr w:type="spellEnd"/>
      <w:r>
        <w:t xml:space="preserve"> balsamroot and western </w:t>
      </w:r>
      <w:proofErr w:type="spellStart"/>
      <w:r>
        <w:t>needlegrass</w:t>
      </w:r>
      <w:proofErr w:type="spellEnd"/>
      <w:r>
        <w:t xml:space="preserve"> and a variety of mesic forbs (</w:t>
      </w:r>
      <w:proofErr w:type="spellStart"/>
      <w:r>
        <w:t>eg</w:t>
      </w:r>
      <w:proofErr w:type="spellEnd"/>
      <w:r>
        <w:t xml:space="preserve">, showy cinquefoil, sticky geranium, phlox, lupine and yarrow). In MZ21, there is also </w:t>
      </w:r>
      <w:proofErr w:type="spellStart"/>
      <w:r w:rsidRPr="0022246F">
        <w:rPr>
          <w:i/>
        </w:rPr>
        <w:t>Achnatherum</w:t>
      </w:r>
      <w:proofErr w:type="spellEnd"/>
      <w:r w:rsidRPr="0022246F">
        <w:rPr>
          <w:i/>
        </w:rPr>
        <w:t xml:space="preserve"> </w:t>
      </w:r>
      <w:proofErr w:type="spellStart"/>
      <w:r w:rsidRPr="0022246F">
        <w:rPr>
          <w:i/>
        </w:rPr>
        <w:t>nelsonii</w:t>
      </w:r>
      <w:proofErr w:type="spellEnd"/>
      <w:r>
        <w:t xml:space="preserve">, </w:t>
      </w:r>
      <w:proofErr w:type="spellStart"/>
      <w:r w:rsidRPr="0022246F">
        <w:rPr>
          <w:i/>
        </w:rPr>
        <w:t>Achnatherum</w:t>
      </w:r>
      <w:proofErr w:type="spellEnd"/>
      <w:r w:rsidRPr="0022246F">
        <w:rPr>
          <w:i/>
        </w:rPr>
        <w:t xml:space="preserve"> </w:t>
      </w:r>
      <w:proofErr w:type="spellStart"/>
      <w:r w:rsidRPr="0022246F">
        <w:rPr>
          <w:i/>
        </w:rPr>
        <w:t>letermanii</w:t>
      </w:r>
      <w:proofErr w:type="spellEnd"/>
      <w:r>
        <w:t xml:space="preserve">, </w:t>
      </w:r>
      <w:proofErr w:type="spellStart"/>
      <w:r w:rsidRPr="0022246F">
        <w:rPr>
          <w:i/>
        </w:rPr>
        <w:t>Elymus</w:t>
      </w:r>
      <w:proofErr w:type="spellEnd"/>
      <w:r w:rsidRPr="0022246F">
        <w:rPr>
          <w:i/>
        </w:rPr>
        <w:t xml:space="preserve"> </w:t>
      </w:r>
      <w:proofErr w:type="spellStart"/>
      <w:r w:rsidRPr="0022246F">
        <w:rPr>
          <w:i/>
        </w:rPr>
        <w:t>trachycaulus</w:t>
      </w:r>
      <w:proofErr w:type="spellEnd"/>
      <w:r>
        <w:t xml:space="preserve">, </w:t>
      </w:r>
      <w:proofErr w:type="spellStart"/>
      <w:r w:rsidRPr="0022246F">
        <w:rPr>
          <w:i/>
        </w:rPr>
        <w:t>Trisetum</w:t>
      </w:r>
      <w:proofErr w:type="spellEnd"/>
      <w:r w:rsidRPr="0022246F">
        <w:rPr>
          <w:i/>
        </w:rPr>
        <w:t xml:space="preserve"> </w:t>
      </w:r>
      <w:proofErr w:type="spellStart"/>
      <w:r w:rsidRPr="0022246F">
        <w:rPr>
          <w:i/>
        </w:rPr>
        <w:t>spicata</w:t>
      </w:r>
      <w:proofErr w:type="spellEnd"/>
      <w:r>
        <w:t xml:space="preserve">, </w:t>
      </w:r>
      <w:proofErr w:type="spellStart"/>
      <w:r w:rsidRPr="0022246F">
        <w:rPr>
          <w:i/>
        </w:rPr>
        <w:t>Elymus</w:t>
      </w:r>
      <w:proofErr w:type="spellEnd"/>
      <w:r w:rsidRPr="0022246F">
        <w:rPr>
          <w:i/>
        </w:rPr>
        <w:t xml:space="preserve"> </w:t>
      </w:r>
      <w:proofErr w:type="spellStart"/>
      <w:r w:rsidRPr="0022246F">
        <w:rPr>
          <w:i/>
        </w:rPr>
        <w:t>lanceolatus</w:t>
      </w:r>
      <w:proofErr w:type="spellEnd"/>
      <w:r>
        <w:t xml:space="preserve">, </w:t>
      </w:r>
      <w:proofErr w:type="spellStart"/>
      <w:r w:rsidRPr="0022246F">
        <w:rPr>
          <w:i/>
        </w:rPr>
        <w:t>Koeleria</w:t>
      </w:r>
      <w:proofErr w:type="spellEnd"/>
      <w:r w:rsidRPr="0022246F">
        <w:rPr>
          <w:i/>
        </w:rPr>
        <w:t xml:space="preserve"> </w:t>
      </w:r>
      <w:proofErr w:type="spellStart"/>
      <w:r w:rsidRPr="0022246F">
        <w:rPr>
          <w:i/>
        </w:rPr>
        <w:t>macrantha</w:t>
      </w:r>
      <w:proofErr w:type="spellEnd"/>
      <w:r>
        <w:t xml:space="preserve">, </w:t>
      </w:r>
      <w:proofErr w:type="spellStart"/>
      <w:r w:rsidRPr="0022246F">
        <w:rPr>
          <w:i/>
        </w:rPr>
        <w:t>Eriogonum</w:t>
      </w:r>
      <w:proofErr w:type="spellEnd"/>
      <w:r>
        <w:t xml:space="preserve"> spp</w:t>
      </w:r>
      <w:r w:rsidR="0022246F">
        <w:t>.</w:t>
      </w:r>
      <w:r>
        <w:t xml:space="preserve">, </w:t>
      </w:r>
      <w:proofErr w:type="spellStart"/>
      <w:r w:rsidRPr="0022246F">
        <w:rPr>
          <w:i/>
        </w:rPr>
        <w:t>Antennaria</w:t>
      </w:r>
      <w:proofErr w:type="spellEnd"/>
      <w:r>
        <w:t xml:space="preserve"> spp</w:t>
      </w:r>
      <w:r w:rsidR="0022246F">
        <w:t>.</w:t>
      </w:r>
      <w:r>
        <w:t xml:space="preserve">, </w:t>
      </w:r>
      <w:proofErr w:type="spellStart"/>
      <w:r w:rsidRPr="0022246F">
        <w:rPr>
          <w:i/>
        </w:rPr>
        <w:t>Poa</w:t>
      </w:r>
      <w:proofErr w:type="spellEnd"/>
      <w:r w:rsidRPr="0022246F">
        <w:rPr>
          <w:i/>
        </w:rPr>
        <w:t xml:space="preserve"> </w:t>
      </w:r>
      <w:proofErr w:type="spellStart"/>
      <w:r w:rsidRPr="0022246F">
        <w:rPr>
          <w:i/>
        </w:rPr>
        <w:t>secunda</w:t>
      </w:r>
      <w:proofErr w:type="spellEnd"/>
      <w:r w:rsidR="0022246F">
        <w:t>,</w:t>
      </w:r>
      <w:r>
        <w:t xml:space="preserve"> and </w:t>
      </w:r>
      <w:proofErr w:type="spellStart"/>
      <w:r w:rsidRPr="0022246F">
        <w:rPr>
          <w:i/>
        </w:rPr>
        <w:t>Poa</w:t>
      </w:r>
      <w:proofErr w:type="spellEnd"/>
      <w:r w:rsidRPr="0022246F">
        <w:rPr>
          <w:i/>
        </w:rPr>
        <w:t xml:space="preserve"> </w:t>
      </w:r>
      <w:proofErr w:type="spellStart"/>
      <w:r w:rsidRPr="0022246F">
        <w:rPr>
          <w:i/>
        </w:rPr>
        <w:t>pratensis</w:t>
      </w:r>
      <w:proofErr w:type="spellEnd"/>
      <w:r>
        <w:t>.</w:t>
      </w:r>
    </w:p>
    <w:p w:rsidR="008F57EF" w:rsidP="008F57EF" w:rsidRDefault="008F57EF">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ERIOG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Eriogonum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Buckwheat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ACNE9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nelsonii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Columbia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ELTR7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trachycaulus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Slender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ACLE9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lettermanii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Letterman's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PHLOX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Phlox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Phlox</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GEVI2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Geranium viscosissimum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Sticky purple geranium</w:t>
            </w:r>
          </w:p>
        </w:tc>
      </w:tr>
    </w:tbl>
    <w:p>
      <w:r>
        <w:rPr>
          <w:sz w:val="16"/>
        </w:rPr>
        <w:t>Species names are from the NRCS PLANTS database. Check species codes at http://plants.usda.gov.</w:t>
      </w:r>
    </w:p>
    <w:p w:rsidR="008F57EF" w:rsidP="008F57EF" w:rsidRDefault="008F57EF">
      <w:pPr>
        <w:pStyle w:val="InfoPara"/>
      </w:pPr>
      <w:r>
        <w:t>Disturbance Description</w:t>
      </w:r>
    </w:p>
    <w:p w:rsidR="008F57EF" w:rsidP="008F57EF" w:rsidRDefault="008F57EF">
      <w:r>
        <w:t xml:space="preserve">For MZ21, fire rotation was roughly estimated at 66yrs, ranging from 50-80yrs. This was estimated by taking an estimate composite frequency of 33yrs and multiplying it by </w:t>
      </w:r>
      <w:r w:rsidR="0022246F">
        <w:t>two</w:t>
      </w:r>
      <w:r>
        <w:t xml:space="preserve"> to arrive at 66yrs (Baker in press).</w:t>
      </w:r>
    </w:p>
    <w:p w:rsidR="008F57EF" w:rsidP="008F57EF" w:rsidRDefault="008F57EF"/>
    <w:p w:rsidR="008F57EF" w:rsidP="008F57EF" w:rsidRDefault="008F57EF">
      <w:r>
        <w:t>Another reviewer for MZ21 stated that the MFI methodology used above is in question.</w:t>
      </w:r>
    </w:p>
    <w:p w:rsidR="008F57EF" w:rsidP="008F57EF" w:rsidRDefault="008F57EF"/>
    <w:p w:rsidR="008F57EF" w:rsidP="008F57EF" w:rsidRDefault="008F57EF">
      <w:r>
        <w:t>Where these systems occur within forested ecosystems, fire frequency will be strongly influenced by the surrounding forest's fire regime (</w:t>
      </w:r>
      <w:proofErr w:type="spellStart"/>
      <w:r>
        <w:t>eg</w:t>
      </w:r>
      <w:proofErr w:type="spellEnd"/>
      <w:r>
        <w:t xml:space="preserve">, 10-20yrs). Where these systems occur below lower </w:t>
      </w:r>
      <w:proofErr w:type="spellStart"/>
      <w:r>
        <w:t>treeline</w:t>
      </w:r>
      <w:proofErr w:type="spellEnd"/>
      <w:r>
        <w:t>, fire frequencies may be longer (</w:t>
      </w:r>
      <w:proofErr w:type="spellStart"/>
      <w:r>
        <w:t>eg</w:t>
      </w:r>
      <w:proofErr w:type="spellEnd"/>
      <w:r>
        <w:t>, 20-30yrs).</w:t>
      </w:r>
    </w:p>
    <w:p w:rsidR="008F57EF" w:rsidP="008F57EF" w:rsidRDefault="008F57EF"/>
    <w:p w:rsidR="008F57EF" w:rsidP="008F57EF" w:rsidRDefault="008F57EF">
      <w:r>
        <w:t>It is debatable as to whether fire is needed at moderately high frequencies to keep sagebrush out of these grassland systems, or whether sagebrush is invading in current times due to overgrazing and/or climate change.</w:t>
      </w:r>
    </w:p>
    <w:p w:rsidR="008F57EF" w:rsidP="008F57EF" w:rsidRDefault="008F57EF"/>
    <w:p w:rsidR="008F57EF" w:rsidP="008F57EF" w:rsidRDefault="008F57EF">
      <w:r>
        <w:t xml:space="preserve">Baker (personal correspondence) states that </w:t>
      </w:r>
      <w:proofErr w:type="spellStart"/>
      <w:r>
        <w:t>Sindelar</w:t>
      </w:r>
      <w:proofErr w:type="spellEnd"/>
      <w:r>
        <w:t xml:space="preserve"> (1981) in western MT did not think that grasslands invaded by ARTRV were primarily fire maintained and instead implicated livestock grazing removal of competition from grasses in ARTRV invasion. Mountain big sagebrush has colonized some mountain grasslands in present day, but not all.</w:t>
      </w:r>
    </w:p>
    <w:p w:rsidR="008F57EF" w:rsidP="008F57EF" w:rsidRDefault="008F57EF"/>
    <w:p w:rsidR="008F57EF" w:rsidP="008F57EF" w:rsidRDefault="008F57EF">
      <w:r>
        <w:t>For those areas with mountain big sage that might be maintained as grassland along ponderosa pine or Douglas-fir ecotones, FRI (questionable as to whether reported as CFI) has been indicated between 10-40yrs (</w:t>
      </w:r>
      <w:proofErr w:type="spellStart"/>
      <w:r>
        <w:t>Winward</w:t>
      </w:r>
      <w:proofErr w:type="spellEnd"/>
      <w:r>
        <w:t xml:space="preserve"> 1984; </w:t>
      </w:r>
      <w:proofErr w:type="spellStart"/>
      <w:r>
        <w:t>Winward</w:t>
      </w:r>
      <w:proofErr w:type="spellEnd"/>
      <w:r>
        <w:t xml:space="preserve"> 1991; Johnson 2000; Miller and </w:t>
      </w:r>
      <w:proofErr w:type="spellStart"/>
      <w:r>
        <w:t>Tausch</w:t>
      </w:r>
      <w:proofErr w:type="spellEnd"/>
      <w:r>
        <w:t xml:space="preserve"> 2001; Tart 1996) and greater than 50yrs (Welch and </w:t>
      </w:r>
      <w:proofErr w:type="spellStart"/>
      <w:r>
        <w:t>Criddle</w:t>
      </w:r>
      <w:proofErr w:type="spellEnd"/>
      <w:r>
        <w:t xml:space="preserve"> 2003) and between 35-100yrs (Baker in press). </w:t>
      </w:r>
    </w:p>
    <w:p w:rsidR="008F57EF" w:rsidP="008F57EF" w:rsidRDefault="008F57EF"/>
    <w:p w:rsidR="008F57EF" w:rsidP="008F57EF" w:rsidRDefault="008F57EF">
      <w:r>
        <w:lastRenderedPageBreak/>
        <w:t xml:space="preserve">Baker (in press) states that nearby CFI estimates need to be corrected for adjacency and for unburned area. Grasslands are about </w:t>
      </w:r>
      <w:r w:rsidR="0022246F">
        <w:t>two</w:t>
      </w:r>
      <w:r>
        <w:t xml:space="preserve"> to </w:t>
      </w:r>
      <w:r w:rsidR="0022246F">
        <w:t>two and a half</w:t>
      </w:r>
      <w:r>
        <w:t xml:space="preserve"> times less likely than forests to ignite and the fire density (#fires per unit area) is about 4 times lower in grasslands than in forests. Correcting Houston (1973) estimate of 20-25yrs, Arno and Gruel (1983) of 35-40yrs and Arno and Gruel (1986) estimate of 25yrs using a 2.0 adjacency correction and assuming a mean unburned area similar to that in sagebrush (21%), the estimated fire rotations would be 51-63yrs, 89-101yrs, and 63yrs, respectively. Thus, about 50-100yrs from these estimates.</w:t>
      </w:r>
    </w:p>
    <w:p w:rsidR="008F57EF" w:rsidP="008F57EF" w:rsidRDefault="008F57EF"/>
    <w:p w:rsidR="008F57EF" w:rsidP="008F57EF" w:rsidRDefault="008F57EF">
      <w:r>
        <w:t>After an extensive model review process, L</w:t>
      </w:r>
      <w:r w:rsidR="00C02111">
        <w:t xml:space="preserve">ANDFIRE </w:t>
      </w:r>
      <w:r>
        <w:t xml:space="preserve">leadership/guidance determined that the original modelers for MZ21 used an interpretation of the fire information available that did not represent the majority expert opinion/interpretation of the fire literature for MZ21. An interval of 30yrs was chosen for MZ21, based on expert opinion as well as based on intervals of adjoining systems; the interval for </w:t>
      </w:r>
      <w:proofErr w:type="spellStart"/>
      <w:r>
        <w:t>BpS</w:t>
      </w:r>
      <w:proofErr w:type="spellEnd"/>
      <w:r>
        <w:t xml:space="preserve"> 1139 is thus lower than that for 1126 and 1145. This new interval of 30yrs was consistent with the 17yrs FRI for </w:t>
      </w:r>
      <w:r w:rsidR="00C02111">
        <w:t>the original zone</w:t>
      </w:r>
      <w:r>
        <w:t xml:space="preserve"> 10 and 19</w:t>
      </w:r>
      <w:r w:rsidR="00C02111">
        <w:t xml:space="preserve"> models</w:t>
      </w:r>
      <w:r>
        <w:t>, and</w:t>
      </w:r>
      <w:r w:rsidR="00C02111">
        <w:t xml:space="preserve"> the 40yrs FRI used in the original zone </w:t>
      </w:r>
      <w:r>
        <w:t>18</w:t>
      </w:r>
      <w:r w:rsidR="00C02111">
        <w:t xml:space="preserve"> model</w:t>
      </w:r>
      <w:r>
        <w:t>.</w:t>
      </w:r>
    </w:p>
    <w:p w:rsidR="008F57EF" w:rsidP="008F57EF" w:rsidRDefault="00EF5E7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32</w:t>
            </w:r>
          </w:p>
        </w:tc>
        <w:tc>
          <w:p>
            <w:pPr>
              <w:jc w:val="center"/>
            </w:pPr>
            <w:r>
              <w:t>100</w:t>
            </w:r>
          </w:p>
        </w:tc>
        <w:tc>
          <w:p>
            <w:pPr>
              <w:jc w:val="center"/>
            </w:pPr>
            <w:r>
              <w:t>20</w:t>
            </w:r>
          </w:p>
        </w:tc>
        <w:tc>
          <w:p>
            <w:pPr>
              <w:jc w:val="center"/>
            </w:pPr>
            <w:r>
              <w:t>80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F57EF" w:rsidP="008F57EF" w:rsidRDefault="008F57EF">
      <w:pPr>
        <w:pStyle w:val="InfoPara"/>
      </w:pPr>
      <w:r>
        <w:t>Scale Description</w:t>
      </w:r>
    </w:p>
    <w:p w:rsidR="008F57EF" w:rsidP="008F57EF" w:rsidRDefault="008F57EF">
      <w:r>
        <w:t xml:space="preserve">This type can occupy broad expanses and also narrow bands below the lower montane forest. It may occur as small patches within forested ecosystems as a </w:t>
      </w:r>
      <w:proofErr w:type="spellStart"/>
      <w:r>
        <w:t>topoedaphic</w:t>
      </w:r>
      <w:proofErr w:type="spellEnd"/>
      <w:r>
        <w:t xml:space="preserve"> climax. In large valleys, fires may have been expansive historically, up to thousands of acres.</w:t>
      </w:r>
    </w:p>
    <w:p w:rsidR="008F57EF" w:rsidP="008F57EF" w:rsidRDefault="008F57EF">
      <w:pPr>
        <w:pStyle w:val="InfoPara"/>
      </w:pPr>
      <w:r>
        <w:t>Adjacency or Identification Concerns</w:t>
      </w:r>
    </w:p>
    <w:p w:rsidR="008F57EF" w:rsidP="008F57EF" w:rsidRDefault="008F57EF">
      <w:r>
        <w:t xml:space="preserve">Since this is a broad type, the dry </w:t>
      </w:r>
      <w:proofErr w:type="spellStart"/>
      <w:r>
        <w:t>bluebunch</w:t>
      </w:r>
      <w:proofErr w:type="spellEnd"/>
      <w:r>
        <w:t xml:space="preserve"> wheatgrass-needle and thread variant will probably have more </w:t>
      </w:r>
      <w:proofErr w:type="spellStart"/>
      <w:r>
        <w:t>bareground</w:t>
      </w:r>
      <w:proofErr w:type="spellEnd"/>
      <w:r>
        <w:t xml:space="preserve"> and a slightly higher MFI. Response to fire may differ slightly also.</w:t>
      </w:r>
    </w:p>
    <w:p w:rsidR="008F57EF" w:rsidP="008F57EF" w:rsidRDefault="008F57EF"/>
    <w:p w:rsidR="008F57EF" w:rsidP="008F57EF" w:rsidRDefault="008F57EF">
      <w:r>
        <w:t>Non-native species present today can include spotted knapweed, leafy spurge, smooth brome and cheatgrass. Historical livestock grazing may lower fuel loads and lengthen MFI, allowing sagebrush and conifers to invade.</w:t>
      </w:r>
    </w:p>
    <w:p w:rsidR="008F57EF" w:rsidP="008F57EF" w:rsidRDefault="008F57EF"/>
    <w:p w:rsidR="008F57EF" w:rsidP="008F57EF" w:rsidRDefault="008F57EF">
      <w:r>
        <w:t xml:space="preserve">This type is now limited on the Bridger-Teton, as most sites like this have been converted to non-native grasses like </w:t>
      </w:r>
      <w:proofErr w:type="spellStart"/>
      <w:r w:rsidRPr="0022246F">
        <w:rPr>
          <w:i/>
        </w:rPr>
        <w:t>Phleum</w:t>
      </w:r>
      <w:proofErr w:type="spellEnd"/>
      <w:r w:rsidRPr="0022246F">
        <w:rPr>
          <w:i/>
        </w:rPr>
        <w:t xml:space="preserve"> </w:t>
      </w:r>
      <w:proofErr w:type="spellStart"/>
      <w:r w:rsidRPr="0022246F">
        <w:rPr>
          <w:i/>
        </w:rPr>
        <w:t>pratense</w:t>
      </w:r>
      <w:proofErr w:type="spellEnd"/>
      <w:r>
        <w:t xml:space="preserve"> or </w:t>
      </w:r>
      <w:proofErr w:type="spellStart"/>
      <w:r w:rsidRPr="0022246F">
        <w:rPr>
          <w:i/>
        </w:rPr>
        <w:t>Bromus</w:t>
      </w:r>
      <w:proofErr w:type="spellEnd"/>
      <w:r>
        <w:t>.</w:t>
      </w:r>
    </w:p>
    <w:p w:rsidR="008F57EF" w:rsidP="008F57EF" w:rsidRDefault="008F57EF"/>
    <w:p w:rsidR="008F57EF" w:rsidP="008F57EF" w:rsidRDefault="008F57EF">
      <w:proofErr w:type="spellStart"/>
      <w:r w:rsidRPr="0022246F">
        <w:rPr>
          <w:i/>
        </w:rPr>
        <w:t>Poa</w:t>
      </w:r>
      <w:proofErr w:type="spellEnd"/>
      <w:r w:rsidRPr="0022246F">
        <w:rPr>
          <w:i/>
        </w:rPr>
        <w:t xml:space="preserve"> </w:t>
      </w:r>
      <w:proofErr w:type="spellStart"/>
      <w:r w:rsidRPr="0022246F">
        <w:rPr>
          <w:i/>
        </w:rPr>
        <w:t>pratensis</w:t>
      </w:r>
      <w:proofErr w:type="spellEnd"/>
      <w:r>
        <w:t xml:space="preserve"> is a debatable native/non-native most likely found in this </w:t>
      </w:r>
      <w:proofErr w:type="spellStart"/>
      <w:r>
        <w:t>BpS</w:t>
      </w:r>
      <w:proofErr w:type="spellEnd"/>
      <w:r>
        <w:t>.</w:t>
      </w:r>
    </w:p>
    <w:p w:rsidR="008F57EF" w:rsidP="008F57EF" w:rsidRDefault="008F57EF"/>
    <w:p w:rsidR="008F57EF" w:rsidP="008F57EF" w:rsidRDefault="008F57EF">
      <w:r>
        <w:t xml:space="preserve">Some grassland systems are invaded by sagebrush today in larger quantities. These grassland systems might today have mountain big sage, and pre-European settlement, might have had a bit of mountain sage. Pre-European settlement they would have been grassland systems, whereas today they might be confused for mountain big sage systems. It might be difficult to distinguish </w:t>
      </w:r>
      <w:r>
        <w:lastRenderedPageBreak/>
        <w:t xml:space="preserve">this type from the first successional stage/seral stage of </w:t>
      </w:r>
      <w:proofErr w:type="spellStart"/>
      <w:r>
        <w:t>BpS</w:t>
      </w:r>
      <w:proofErr w:type="spellEnd"/>
      <w:r>
        <w:t xml:space="preserve"> 1126 mountain big sage. Elevational range should be considered when trying to distinguish this grassland from 1126. </w:t>
      </w:r>
    </w:p>
    <w:p w:rsidR="008F57EF" w:rsidP="008F57EF" w:rsidRDefault="008F57EF"/>
    <w:p w:rsidR="008F57EF" w:rsidP="008F57EF" w:rsidRDefault="008F57EF">
      <w:r>
        <w:t xml:space="preserve">Fire exclusion is a major effect of livestock grazing in dynamic sagebrush/grassland systems (Miller et al. 1994; Miller and Rose 1999; Miller and </w:t>
      </w:r>
      <w:proofErr w:type="spellStart"/>
      <w:r>
        <w:t>Eddleman</w:t>
      </w:r>
      <w:proofErr w:type="spellEnd"/>
      <w:r>
        <w:t xml:space="preserve"> 2001).</w:t>
      </w:r>
    </w:p>
    <w:p w:rsidR="008F57EF" w:rsidP="008F57EF" w:rsidRDefault="008F57EF"/>
    <w:p w:rsidR="008F57EF" w:rsidP="008F57EF" w:rsidRDefault="008F57EF">
      <w:proofErr w:type="spellStart"/>
      <w:r>
        <w:t>Sindelar</w:t>
      </w:r>
      <w:proofErr w:type="spellEnd"/>
      <w:r>
        <w:t xml:space="preserve"> (1981) in western MT did not think that grasslands invaded by ARTRV were primarily fire maintained and instead implicated livestock grazing removal of competition from grasses in ARTRV invasion. Mountain big sagebrush has colonized some mountain grasslands in present day, but not all.</w:t>
      </w:r>
    </w:p>
    <w:p w:rsidR="008F57EF" w:rsidP="008F57EF" w:rsidRDefault="008F57EF">
      <w:pPr>
        <w:pStyle w:val="InfoPara"/>
      </w:pPr>
      <w:r>
        <w:t>Issues or Problems</w:t>
      </w:r>
    </w:p>
    <w:p w:rsidR="008F57EF" w:rsidP="008F57EF" w:rsidRDefault="008F57EF">
      <w:r>
        <w:t xml:space="preserve">This is a highly variable type, which includes most of </w:t>
      </w:r>
      <w:proofErr w:type="spellStart"/>
      <w:r>
        <w:t>Mueggler</w:t>
      </w:r>
      <w:proofErr w:type="spellEnd"/>
      <w:r>
        <w:t xml:space="preserve"> and Stewart's habitat types. The literature in FEIS suggests a MFI of between 10-30yrs for this type. The Lewis and Clark range type classification needs to be incorporated into this model also.</w:t>
      </w:r>
    </w:p>
    <w:p w:rsidR="008F57EF" w:rsidP="008F57EF" w:rsidRDefault="008F57EF"/>
    <w:p w:rsidR="008F57EF" w:rsidP="008F57EF" w:rsidRDefault="008F57EF">
      <w:r>
        <w:t xml:space="preserve">This type is now limited on the Bridger-Teton, as most sites like this have been converted to non-native grasses like </w:t>
      </w:r>
      <w:proofErr w:type="spellStart"/>
      <w:r w:rsidRPr="0022246F">
        <w:rPr>
          <w:i/>
        </w:rPr>
        <w:t>Phleum</w:t>
      </w:r>
      <w:proofErr w:type="spellEnd"/>
      <w:r w:rsidRPr="0022246F">
        <w:rPr>
          <w:i/>
        </w:rPr>
        <w:t xml:space="preserve"> </w:t>
      </w:r>
      <w:proofErr w:type="spellStart"/>
      <w:r w:rsidRPr="0022246F">
        <w:rPr>
          <w:i/>
        </w:rPr>
        <w:t>pratense</w:t>
      </w:r>
      <w:proofErr w:type="spellEnd"/>
      <w:r>
        <w:t xml:space="preserve"> or </w:t>
      </w:r>
      <w:proofErr w:type="spellStart"/>
      <w:r w:rsidRPr="0022246F">
        <w:rPr>
          <w:i/>
        </w:rPr>
        <w:t>Bromus</w:t>
      </w:r>
      <w:proofErr w:type="spellEnd"/>
      <w:r>
        <w:t>.</w:t>
      </w:r>
    </w:p>
    <w:p w:rsidR="008F57EF" w:rsidP="008F57EF" w:rsidRDefault="008F57EF"/>
    <w:p w:rsidR="008F57EF" w:rsidP="008F57EF" w:rsidRDefault="008F57EF">
      <w:proofErr w:type="spellStart"/>
      <w:r w:rsidRPr="0022246F">
        <w:rPr>
          <w:i/>
        </w:rPr>
        <w:t>Poa</w:t>
      </w:r>
      <w:proofErr w:type="spellEnd"/>
      <w:r w:rsidRPr="0022246F">
        <w:rPr>
          <w:i/>
        </w:rPr>
        <w:t xml:space="preserve"> </w:t>
      </w:r>
      <w:proofErr w:type="spellStart"/>
      <w:r w:rsidRPr="0022246F">
        <w:rPr>
          <w:i/>
        </w:rPr>
        <w:t>pratensis</w:t>
      </w:r>
      <w:proofErr w:type="spellEnd"/>
      <w:r>
        <w:t xml:space="preserve"> is a debatable native/non-native most likely found in this </w:t>
      </w:r>
      <w:proofErr w:type="spellStart"/>
      <w:r>
        <w:t>BpS</w:t>
      </w:r>
      <w:proofErr w:type="spellEnd"/>
      <w:r>
        <w:t>.</w:t>
      </w:r>
    </w:p>
    <w:p w:rsidR="008F57EF" w:rsidP="008F57EF" w:rsidRDefault="008F57EF">
      <w:pPr>
        <w:pStyle w:val="InfoPara"/>
      </w:pPr>
      <w:r>
        <w:t>Native Uncharacteristic Conditions</w:t>
      </w:r>
    </w:p>
    <w:p w:rsidR="008F57EF" w:rsidP="008F57EF" w:rsidRDefault="008F57EF">
      <w:r>
        <w:t>Shrub or tree cover over 10% is uncharacteristic.</w:t>
      </w:r>
    </w:p>
    <w:p w:rsidR="008F57EF" w:rsidP="008F57EF" w:rsidRDefault="008F57EF">
      <w:pPr>
        <w:pStyle w:val="InfoPara"/>
      </w:pPr>
      <w:r>
        <w:t>Comments</w:t>
      </w:r>
    </w:p>
    <w:p w:rsidRPr="00EF5E70" w:rsidR="00BE1C20" w:rsidP="00BE1C20" w:rsidRDefault="008F57EF">
      <w:r>
        <w:t>Original modelers for MZ21 were Reggie Cl</w:t>
      </w:r>
      <w:r w:rsidR="002E1030">
        <w:t xml:space="preserve">ark, Clayton Marlow, Tim </w:t>
      </w:r>
      <w:proofErr w:type="spellStart"/>
      <w:r w:rsidR="002E1030">
        <w:t>Klukas</w:t>
      </w:r>
      <w:proofErr w:type="spellEnd"/>
      <w:r w:rsidR="002E1030">
        <w:t xml:space="preserve">, </w:t>
      </w:r>
      <w:r>
        <w:t>John Simons</w:t>
      </w:r>
      <w:r w:rsidR="002E1030">
        <w:t xml:space="preserve"> and one anonymous modeler</w:t>
      </w:r>
      <w:r>
        <w:t xml:space="preserve">. Additional reviewers for MZ21 were Sarah </w:t>
      </w:r>
      <w:proofErr w:type="spellStart"/>
      <w:r>
        <w:t>Canham</w:t>
      </w:r>
      <w:proofErr w:type="spellEnd"/>
      <w:r>
        <w:t xml:space="preserve">, Brenda </w:t>
      </w:r>
      <w:proofErr w:type="spellStart"/>
      <w:r>
        <w:t>Fiddick</w:t>
      </w:r>
      <w:proofErr w:type="spellEnd"/>
      <w:r>
        <w:t xml:space="preserve">, Rod </w:t>
      </w:r>
      <w:proofErr w:type="spellStart"/>
      <w:r>
        <w:t>Dykehouse</w:t>
      </w:r>
      <w:proofErr w:type="spellEnd"/>
      <w:r>
        <w:t xml:space="preserve"> and Dave Tart. </w:t>
      </w:r>
    </w:p>
    <w:p w:rsidR="008F57EF" w:rsidP="008F57EF" w:rsidRDefault="008F57EF">
      <w:pPr>
        <w:pStyle w:val="ReportSection"/>
      </w:pPr>
      <w:r>
        <w:t>Succession Classes</w:t>
      </w:r>
    </w:p>
    <w:p w:rsidR="008F57EF" w:rsidP="008F57EF" w:rsidRDefault="008F57EF"/>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F57EF" w:rsidP="008F57EF" w:rsidRDefault="008F57EF">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008F57EF" w:rsidP="008F57EF" w:rsidRDefault="008F57EF"/>
    <w:p w:rsidR="008F57EF" w:rsidP="008F57EF" w:rsidRDefault="008F57E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916"/>
        <w:gridCol w:w="2916"/>
        <w:gridCol w:w="1956"/>
      </w:tblGrid>
      <w:tr w:rsidRPr="008F57EF" w:rsidR="008F57EF" w:rsidTr="008F57EF">
        <w:tc>
          <w:tcPr>
            <w:tcW w:w="1068" w:type="dxa"/>
            <w:tcBorders>
              <w:top w:val="single" w:color="auto" w:sz="2" w:space="0"/>
              <w:bottom w:val="single" w:color="000000" w:sz="12" w:space="0"/>
            </w:tcBorders>
            <w:shd w:val="clear" w:color="auto" w:fill="auto"/>
          </w:tcPr>
          <w:p w:rsidRPr="008F57EF" w:rsidR="008F57EF" w:rsidP="00376FE2" w:rsidRDefault="008F57EF">
            <w:pPr>
              <w:rPr>
                <w:b/>
                <w:bCs/>
              </w:rPr>
            </w:pPr>
            <w:r w:rsidRPr="008F57EF">
              <w:rPr>
                <w:b/>
                <w:bCs/>
              </w:rPr>
              <w:t>Symbol</w:t>
            </w:r>
          </w:p>
        </w:tc>
        <w:tc>
          <w:tcPr>
            <w:tcW w:w="2916" w:type="dxa"/>
            <w:tcBorders>
              <w:top w:val="single" w:color="auto" w:sz="2" w:space="0"/>
              <w:bottom w:val="single" w:color="000000" w:sz="12" w:space="0"/>
            </w:tcBorders>
            <w:shd w:val="clear" w:color="auto" w:fill="auto"/>
          </w:tcPr>
          <w:p w:rsidRPr="008F57EF" w:rsidR="008F57EF" w:rsidP="00376FE2" w:rsidRDefault="008F57EF">
            <w:pPr>
              <w:rPr>
                <w:b/>
                <w:bCs/>
              </w:rPr>
            </w:pPr>
            <w:r w:rsidRPr="008F57EF">
              <w:rPr>
                <w:b/>
                <w:bCs/>
              </w:rPr>
              <w:t>Scientific Name</w:t>
            </w:r>
          </w:p>
        </w:tc>
        <w:tc>
          <w:tcPr>
            <w:tcW w:w="2916" w:type="dxa"/>
            <w:tcBorders>
              <w:top w:val="single" w:color="auto" w:sz="2" w:space="0"/>
              <w:bottom w:val="single" w:color="000000" w:sz="12" w:space="0"/>
            </w:tcBorders>
            <w:shd w:val="clear" w:color="auto" w:fill="auto"/>
          </w:tcPr>
          <w:p w:rsidRPr="008F57EF" w:rsidR="008F57EF" w:rsidP="00376FE2" w:rsidRDefault="008F57EF">
            <w:pPr>
              <w:rPr>
                <w:b/>
                <w:bCs/>
              </w:rPr>
            </w:pPr>
            <w:r w:rsidRPr="008F57EF">
              <w:rPr>
                <w:b/>
                <w:bCs/>
              </w:rPr>
              <w:t>Common Name</w:t>
            </w:r>
          </w:p>
        </w:tc>
        <w:tc>
          <w:tcPr>
            <w:tcW w:w="1956" w:type="dxa"/>
            <w:tcBorders>
              <w:top w:val="single" w:color="auto" w:sz="2" w:space="0"/>
              <w:bottom w:val="single" w:color="000000" w:sz="12" w:space="0"/>
            </w:tcBorders>
            <w:shd w:val="clear" w:color="auto" w:fill="auto"/>
          </w:tcPr>
          <w:p w:rsidRPr="008F57EF" w:rsidR="008F57EF" w:rsidP="00376FE2" w:rsidRDefault="008F57EF">
            <w:pPr>
              <w:rPr>
                <w:b/>
                <w:bCs/>
              </w:rPr>
            </w:pPr>
            <w:r w:rsidRPr="008F57EF">
              <w:rPr>
                <w:b/>
                <w:bCs/>
              </w:rPr>
              <w:t>Canopy Position</w:t>
            </w:r>
          </w:p>
        </w:tc>
      </w:tr>
      <w:tr w:rsidRPr="008F57EF" w:rsidR="008F57EF" w:rsidTr="008F57EF">
        <w:tc>
          <w:tcPr>
            <w:tcW w:w="1068" w:type="dxa"/>
            <w:tcBorders>
              <w:top w:val="single" w:color="000000" w:sz="12" w:space="0"/>
            </w:tcBorders>
            <w:shd w:val="clear" w:color="auto" w:fill="auto"/>
          </w:tcPr>
          <w:p w:rsidRPr="008F57EF" w:rsidR="008F57EF" w:rsidP="00376FE2" w:rsidRDefault="008F57EF">
            <w:pPr>
              <w:rPr>
                <w:bCs/>
              </w:rPr>
            </w:pPr>
            <w:r w:rsidRPr="008F57EF">
              <w:rPr>
                <w:bCs/>
              </w:rPr>
              <w:t>PSSP6</w:t>
            </w:r>
          </w:p>
        </w:tc>
        <w:tc>
          <w:tcPr>
            <w:tcW w:w="2916" w:type="dxa"/>
            <w:tcBorders>
              <w:top w:val="single" w:color="000000" w:sz="12" w:space="0"/>
            </w:tcBorders>
            <w:shd w:val="clear" w:color="auto" w:fill="auto"/>
          </w:tcPr>
          <w:p w:rsidRPr="008F57EF" w:rsidR="008F57EF" w:rsidP="00376FE2" w:rsidRDefault="008F57EF">
            <w:proofErr w:type="spellStart"/>
            <w:r w:rsidRPr="008F57EF">
              <w:t>Pseudoroegneria</w:t>
            </w:r>
            <w:proofErr w:type="spellEnd"/>
            <w:r w:rsidRPr="008F57EF">
              <w:t xml:space="preserve"> </w:t>
            </w:r>
            <w:proofErr w:type="spellStart"/>
            <w:r w:rsidRPr="008F57EF">
              <w:t>spicata</w:t>
            </w:r>
            <w:proofErr w:type="spellEnd"/>
          </w:p>
        </w:tc>
        <w:tc>
          <w:tcPr>
            <w:tcW w:w="2916" w:type="dxa"/>
            <w:tcBorders>
              <w:top w:val="single" w:color="000000" w:sz="12" w:space="0"/>
            </w:tcBorders>
            <w:shd w:val="clear" w:color="auto" w:fill="auto"/>
          </w:tcPr>
          <w:p w:rsidRPr="008F57EF" w:rsidR="008F57EF" w:rsidP="00376FE2" w:rsidRDefault="008F57EF">
            <w:proofErr w:type="spellStart"/>
            <w:r w:rsidRPr="008F57EF">
              <w:t>Bluebunch</w:t>
            </w:r>
            <w:proofErr w:type="spellEnd"/>
            <w:r w:rsidRPr="008F57EF">
              <w:t xml:space="preserve"> wheatgrass</w:t>
            </w:r>
          </w:p>
        </w:tc>
        <w:tc>
          <w:tcPr>
            <w:tcW w:w="1956" w:type="dxa"/>
            <w:tcBorders>
              <w:top w:val="single" w:color="000000" w:sz="12" w:space="0"/>
            </w:tcBorders>
            <w:shd w:val="clear" w:color="auto" w:fill="auto"/>
          </w:tcPr>
          <w:p w:rsidRPr="008F57EF" w:rsidR="008F57EF" w:rsidP="00376FE2" w:rsidRDefault="008F57EF">
            <w:r w:rsidRPr="008F57EF">
              <w:t>Upper</w:t>
            </w:r>
          </w:p>
        </w:tc>
      </w:tr>
      <w:tr w:rsidRPr="008F57EF" w:rsidR="008F57EF" w:rsidTr="008F57EF">
        <w:tc>
          <w:tcPr>
            <w:tcW w:w="1068" w:type="dxa"/>
            <w:shd w:val="clear" w:color="auto" w:fill="auto"/>
          </w:tcPr>
          <w:p w:rsidRPr="008F57EF" w:rsidR="008F57EF" w:rsidP="00376FE2" w:rsidRDefault="008F57EF">
            <w:pPr>
              <w:rPr>
                <w:bCs/>
              </w:rPr>
            </w:pPr>
            <w:r w:rsidRPr="008F57EF">
              <w:rPr>
                <w:bCs/>
              </w:rPr>
              <w:t>KOMA</w:t>
            </w:r>
          </w:p>
        </w:tc>
        <w:tc>
          <w:tcPr>
            <w:tcW w:w="2916" w:type="dxa"/>
            <w:shd w:val="clear" w:color="auto" w:fill="auto"/>
          </w:tcPr>
          <w:p w:rsidRPr="008F57EF" w:rsidR="008F57EF" w:rsidP="00376FE2" w:rsidRDefault="008F57EF">
            <w:proofErr w:type="spellStart"/>
            <w:r w:rsidRPr="008F57EF">
              <w:t>Koeleria</w:t>
            </w:r>
            <w:proofErr w:type="spellEnd"/>
            <w:r w:rsidRPr="008F57EF">
              <w:t xml:space="preserve"> </w:t>
            </w:r>
            <w:proofErr w:type="spellStart"/>
            <w:r w:rsidRPr="008F57EF">
              <w:t>macrantha</w:t>
            </w:r>
            <w:proofErr w:type="spellEnd"/>
          </w:p>
        </w:tc>
        <w:tc>
          <w:tcPr>
            <w:tcW w:w="2916" w:type="dxa"/>
            <w:shd w:val="clear" w:color="auto" w:fill="auto"/>
          </w:tcPr>
          <w:p w:rsidRPr="008F57EF" w:rsidR="008F57EF" w:rsidP="00376FE2" w:rsidRDefault="008F57EF">
            <w:r w:rsidRPr="008F57EF">
              <w:t xml:space="preserve">Prairie </w:t>
            </w:r>
            <w:proofErr w:type="spellStart"/>
            <w:r w:rsidRPr="008F57EF">
              <w:t>junegrass</w:t>
            </w:r>
            <w:proofErr w:type="spellEnd"/>
          </w:p>
        </w:tc>
        <w:tc>
          <w:tcPr>
            <w:tcW w:w="1956" w:type="dxa"/>
            <w:shd w:val="clear" w:color="auto" w:fill="auto"/>
          </w:tcPr>
          <w:p w:rsidRPr="008F57EF" w:rsidR="008F57EF" w:rsidP="00376FE2" w:rsidRDefault="008F57EF">
            <w:r w:rsidRPr="008F57EF">
              <w:t>Upper</w:t>
            </w:r>
          </w:p>
        </w:tc>
      </w:tr>
      <w:tr w:rsidRPr="008F57EF" w:rsidR="008F57EF" w:rsidTr="008F57EF">
        <w:tc>
          <w:tcPr>
            <w:tcW w:w="1068" w:type="dxa"/>
            <w:shd w:val="clear" w:color="auto" w:fill="auto"/>
          </w:tcPr>
          <w:p w:rsidRPr="008F57EF" w:rsidR="008F57EF" w:rsidP="00376FE2" w:rsidRDefault="008F57EF">
            <w:pPr>
              <w:rPr>
                <w:bCs/>
              </w:rPr>
            </w:pPr>
            <w:r w:rsidRPr="008F57EF">
              <w:rPr>
                <w:bCs/>
              </w:rPr>
              <w:t>POSA</w:t>
            </w:r>
          </w:p>
        </w:tc>
        <w:tc>
          <w:tcPr>
            <w:tcW w:w="2916" w:type="dxa"/>
            <w:shd w:val="clear" w:color="auto" w:fill="auto"/>
          </w:tcPr>
          <w:p w:rsidRPr="008F57EF" w:rsidR="008F57EF" w:rsidP="00376FE2" w:rsidRDefault="008F57EF">
            <w:proofErr w:type="spellStart"/>
            <w:r w:rsidRPr="008F57EF">
              <w:t>Poa</w:t>
            </w:r>
            <w:proofErr w:type="spellEnd"/>
            <w:r w:rsidRPr="008F57EF">
              <w:t xml:space="preserve"> </w:t>
            </w:r>
            <w:proofErr w:type="spellStart"/>
            <w:r w:rsidRPr="008F57EF">
              <w:t>saltuensis</w:t>
            </w:r>
            <w:proofErr w:type="spellEnd"/>
          </w:p>
        </w:tc>
        <w:tc>
          <w:tcPr>
            <w:tcW w:w="2916" w:type="dxa"/>
            <w:shd w:val="clear" w:color="auto" w:fill="auto"/>
          </w:tcPr>
          <w:p w:rsidRPr="008F57EF" w:rsidR="008F57EF" w:rsidP="00376FE2" w:rsidRDefault="008F57EF">
            <w:proofErr w:type="spellStart"/>
            <w:r w:rsidRPr="008F57EF">
              <w:t>Oldpasture</w:t>
            </w:r>
            <w:proofErr w:type="spellEnd"/>
            <w:r w:rsidRPr="008F57EF">
              <w:t xml:space="preserve"> bluegrass</w:t>
            </w:r>
          </w:p>
        </w:tc>
        <w:tc>
          <w:tcPr>
            <w:tcW w:w="1956" w:type="dxa"/>
            <w:shd w:val="clear" w:color="auto" w:fill="auto"/>
          </w:tcPr>
          <w:p w:rsidRPr="008F57EF" w:rsidR="008F57EF" w:rsidP="00376FE2" w:rsidRDefault="008F57EF">
            <w:r w:rsidRPr="008F57EF">
              <w:t>Upper</w:t>
            </w:r>
          </w:p>
        </w:tc>
      </w:tr>
    </w:tbl>
    <w:p w:rsidR="008F57EF" w:rsidP="008F57EF" w:rsidRDefault="008F57EF"/>
    <w:p w:rsidR="008F57EF" w:rsidP="008F57EF" w:rsidRDefault="008F57EF">
      <w:pPr>
        <w:pStyle w:val="SClassInfoPara"/>
      </w:pPr>
      <w:r>
        <w:t>Description</w:t>
      </w:r>
    </w:p>
    <w:p w:rsidR="008F57EF" w:rsidP="00C42F91" w:rsidRDefault="008F57EF">
      <w:r>
        <w:t xml:space="preserve">Post fire, early seral community dominated by bunchgrasses and forbs. Herbs and forbs will generally have higher cover than pre-burn and may include astragalus, balsamroot, lupines, </w:t>
      </w:r>
      <w:r>
        <w:lastRenderedPageBreak/>
        <w:t xml:space="preserve">yarrow and prairie </w:t>
      </w:r>
      <w:proofErr w:type="spellStart"/>
      <w:r>
        <w:t>junegrass</w:t>
      </w:r>
      <w:proofErr w:type="spellEnd"/>
      <w:r>
        <w:t xml:space="preserve">. Idaho fescue may be present, but will recover more slowly than the </w:t>
      </w:r>
      <w:proofErr w:type="spellStart"/>
      <w:r>
        <w:t>bluebunch</w:t>
      </w:r>
      <w:proofErr w:type="spellEnd"/>
      <w:r>
        <w:t xml:space="preserve"> wheatgrass after fire. </w:t>
      </w:r>
    </w:p>
    <w:p w:rsidR="008F57EF" w:rsidP="008F57EF" w:rsidRDefault="008F57EF"/>
    <w:p w:rsidR="008F57EF" w:rsidP="008F57EF" w:rsidRDefault="008F57EF">
      <w:r>
        <w:t>In this environment (and a number of the other grassland, shrub steppe types) forb density and cover are most responsive to climatic conditions. Hence fire response will vary according to precipitation patterns before and immediately after the fire. Grasses are less “ephemeral” and tend to respond to the fire directly. That’s why we elected to not identify specific forb species response.</w:t>
      </w:r>
    </w:p>
    <w:p w:rsidR="008F57EF" w:rsidP="008F57EF" w:rsidRDefault="008F57EF"/>
    <w:p>
      <w:r>
        <w:rPr>
          <w:i/>
          <w:u w:val="single"/>
        </w:rPr>
        <w:t>Maximum Tree Size Class</w:t>
      </w:r>
      <w:br/>
      <w:r>
        <w:t>None</w:t>
      </w:r>
    </w:p>
    <w:p w:rsidR="008F57EF" w:rsidP="008F57EF" w:rsidRDefault="008F57EF">
      <w:pPr>
        <w:pStyle w:val="InfoPara"/>
        <w:pBdr>
          <w:top w:val="single" w:color="auto" w:sz="4" w:space="1"/>
        </w:pBdr>
      </w:pPr>
      <w:r xmlns:w="http://schemas.openxmlformats.org/wordprocessingml/2006/main">
        <w:t>Class B</w:t>
      </w:r>
      <w:r xmlns:w="http://schemas.openxmlformats.org/wordprocessingml/2006/main">
        <w:tab/>
        <w:t>65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F57EF" w:rsidP="008F57EF" w:rsidRDefault="008F57EF"/>
    <w:p w:rsidR="008F57EF" w:rsidP="008F57EF" w:rsidRDefault="008F57E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8F57EF" w:rsidR="008F57EF" w:rsidTr="008F57EF">
        <w:tc>
          <w:tcPr>
            <w:tcW w:w="1056" w:type="dxa"/>
            <w:tcBorders>
              <w:top w:val="single" w:color="auto" w:sz="2" w:space="0"/>
              <w:bottom w:val="single" w:color="000000" w:sz="12" w:space="0"/>
            </w:tcBorders>
            <w:shd w:val="clear" w:color="auto" w:fill="auto"/>
          </w:tcPr>
          <w:p w:rsidRPr="008F57EF" w:rsidR="008F57EF" w:rsidP="00100431" w:rsidRDefault="008F57EF">
            <w:pPr>
              <w:rPr>
                <w:b/>
                <w:bCs/>
              </w:rPr>
            </w:pPr>
            <w:r w:rsidRPr="008F57EF">
              <w:rPr>
                <w:b/>
                <w:bCs/>
              </w:rPr>
              <w:t>Symbol</w:t>
            </w:r>
          </w:p>
        </w:tc>
        <w:tc>
          <w:tcPr>
            <w:tcW w:w="2700" w:type="dxa"/>
            <w:tcBorders>
              <w:top w:val="single" w:color="auto" w:sz="2" w:space="0"/>
              <w:bottom w:val="single" w:color="000000" w:sz="12" w:space="0"/>
            </w:tcBorders>
            <w:shd w:val="clear" w:color="auto" w:fill="auto"/>
          </w:tcPr>
          <w:p w:rsidRPr="008F57EF" w:rsidR="008F57EF" w:rsidP="00100431" w:rsidRDefault="008F57EF">
            <w:pPr>
              <w:rPr>
                <w:b/>
                <w:bCs/>
              </w:rPr>
            </w:pPr>
            <w:r w:rsidRPr="008F57EF">
              <w:rPr>
                <w:b/>
                <w:bCs/>
              </w:rPr>
              <w:t>Scientific Name</w:t>
            </w:r>
          </w:p>
        </w:tc>
        <w:tc>
          <w:tcPr>
            <w:tcW w:w="2520" w:type="dxa"/>
            <w:tcBorders>
              <w:top w:val="single" w:color="auto" w:sz="2" w:space="0"/>
              <w:bottom w:val="single" w:color="000000" w:sz="12" w:space="0"/>
            </w:tcBorders>
            <w:shd w:val="clear" w:color="auto" w:fill="auto"/>
          </w:tcPr>
          <w:p w:rsidRPr="008F57EF" w:rsidR="008F57EF" w:rsidP="00100431" w:rsidRDefault="008F57EF">
            <w:pPr>
              <w:rPr>
                <w:b/>
                <w:bCs/>
              </w:rPr>
            </w:pPr>
            <w:r w:rsidRPr="008F57EF">
              <w:rPr>
                <w:b/>
                <w:bCs/>
              </w:rPr>
              <w:t>Common Name</w:t>
            </w:r>
          </w:p>
        </w:tc>
        <w:tc>
          <w:tcPr>
            <w:tcW w:w="1956" w:type="dxa"/>
            <w:tcBorders>
              <w:top w:val="single" w:color="auto" w:sz="2" w:space="0"/>
              <w:bottom w:val="single" w:color="000000" w:sz="12" w:space="0"/>
            </w:tcBorders>
            <w:shd w:val="clear" w:color="auto" w:fill="auto"/>
          </w:tcPr>
          <w:p w:rsidRPr="008F57EF" w:rsidR="008F57EF" w:rsidP="00100431" w:rsidRDefault="008F57EF">
            <w:pPr>
              <w:rPr>
                <w:b/>
                <w:bCs/>
              </w:rPr>
            </w:pPr>
            <w:r w:rsidRPr="008F57EF">
              <w:rPr>
                <w:b/>
                <w:bCs/>
              </w:rPr>
              <w:t>Canopy Position</w:t>
            </w:r>
          </w:p>
        </w:tc>
      </w:tr>
      <w:tr w:rsidRPr="008F57EF" w:rsidR="008F57EF" w:rsidTr="008F57EF">
        <w:tc>
          <w:tcPr>
            <w:tcW w:w="1056" w:type="dxa"/>
            <w:tcBorders>
              <w:top w:val="single" w:color="000000" w:sz="12" w:space="0"/>
            </w:tcBorders>
            <w:shd w:val="clear" w:color="auto" w:fill="auto"/>
          </w:tcPr>
          <w:p w:rsidRPr="008F57EF" w:rsidR="008F57EF" w:rsidP="00100431" w:rsidRDefault="008F57EF">
            <w:pPr>
              <w:rPr>
                <w:bCs/>
              </w:rPr>
            </w:pPr>
            <w:r w:rsidRPr="008F57EF">
              <w:rPr>
                <w:bCs/>
              </w:rPr>
              <w:t>PSSP6</w:t>
            </w:r>
          </w:p>
        </w:tc>
        <w:tc>
          <w:tcPr>
            <w:tcW w:w="2700" w:type="dxa"/>
            <w:tcBorders>
              <w:top w:val="single" w:color="000000" w:sz="12" w:space="0"/>
            </w:tcBorders>
            <w:shd w:val="clear" w:color="auto" w:fill="auto"/>
          </w:tcPr>
          <w:p w:rsidRPr="008F57EF" w:rsidR="008F57EF" w:rsidP="00100431" w:rsidRDefault="008F57EF">
            <w:proofErr w:type="spellStart"/>
            <w:r w:rsidRPr="008F57EF">
              <w:t>Pseudoroegneria</w:t>
            </w:r>
            <w:proofErr w:type="spellEnd"/>
            <w:r w:rsidRPr="008F57EF">
              <w:t xml:space="preserve"> </w:t>
            </w:r>
            <w:proofErr w:type="spellStart"/>
            <w:r w:rsidRPr="008F57EF">
              <w:t>spicata</w:t>
            </w:r>
            <w:proofErr w:type="spellEnd"/>
          </w:p>
        </w:tc>
        <w:tc>
          <w:tcPr>
            <w:tcW w:w="2520" w:type="dxa"/>
            <w:tcBorders>
              <w:top w:val="single" w:color="000000" w:sz="12" w:space="0"/>
            </w:tcBorders>
            <w:shd w:val="clear" w:color="auto" w:fill="auto"/>
          </w:tcPr>
          <w:p w:rsidRPr="008F57EF" w:rsidR="008F57EF" w:rsidP="00100431" w:rsidRDefault="008F57EF">
            <w:proofErr w:type="spellStart"/>
            <w:r w:rsidRPr="008F57EF">
              <w:t>Bluebunch</w:t>
            </w:r>
            <w:proofErr w:type="spellEnd"/>
            <w:r w:rsidRPr="008F57EF">
              <w:t xml:space="preserve"> wheatgrass</w:t>
            </w:r>
          </w:p>
        </w:tc>
        <w:tc>
          <w:tcPr>
            <w:tcW w:w="1956" w:type="dxa"/>
            <w:tcBorders>
              <w:top w:val="single" w:color="000000" w:sz="12" w:space="0"/>
            </w:tcBorders>
            <w:shd w:val="clear" w:color="auto" w:fill="auto"/>
          </w:tcPr>
          <w:p w:rsidRPr="008F57EF" w:rsidR="008F57EF" w:rsidP="00100431" w:rsidRDefault="008F57EF">
            <w:r w:rsidRPr="008F57EF">
              <w:t>Upper</w:t>
            </w:r>
          </w:p>
        </w:tc>
      </w:tr>
      <w:tr w:rsidRPr="008F57EF" w:rsidR="008F57EF" w:rsidTr="008F57EF">
        <w:tc>
          <w:tcPr>
            <w:tcW w:w="1056" w:type="dxa"/>
            <w:shd w:val="clear" w:color="auto" w:fill="auto"/>
          </w:tcPr>
          <w:p w:rsidRPr="008F57EF" w:rsidR="008F57EF" w:rsidP="00100431" w:rsidRDefault="008F57EF">
            <w:pPr>
              <w:rPr>
                <w:bCs/>
              </w:rPr>
            </w:pPr>
            <w:r w:rsidRPr="008F57EF">
              <w:rPr>
                <w:bCs/>
              </w:rPr>
              <w:t>FEID</w:t>
            </w:r>
          </w:p>
        </w:tc>
        <w:tc>
          <w:tcPr>
            <w:tcW w:w="2700" w:type="dxa"/>
            <w:shd w:val="clear" w:color="auto" w:fill="auto"/>
          </w:tcPr>
          <w:p w:rsidRPr="008F57EF" w:rsidR="008F57EF" w:rsidP="00100431" w:rsidRDefault="008F57EF">
            <w:proofErr w:type="spellStart"/>
            <w:r w:rsidRPr="008F57EF">
              <w:t>Festuca</w:t>
            </w:r>
            <w:proofErr w:type="spellEnd"/>
            <w:r w:rsidRPr="008F57EF">
              <w:t xml:space="preserve"> </w:t>
            </w:r>
            <w:proofErr w:type="spellStart"/>
            <w:r w:rsidRPr="008F57EF">
              <w:t>idahoensis</w:t>
            </w:r>
            <w:proofErr w:type="spellEnd"/>
          </w:p>
        </w:tc>
        <w:tc>
          <w:tcPr>
            <w:tcW w:w="2520" w:type="dxa"/>
            <w:shd w:val="clear" w:color="auto" w:fill="auto"/>
          </w:tcPr>
          <w:p w:rsidRPr="008F57EF" w:rsidR="008F57EF" w:rsidP="00100431" w:rsidRDefault="008F57EF">
            <w:r w:rsidRPr="008F57EF">
              <w:t>Idaho fescue</w:t>
            </w:r>
          </w:p>
        </w:tc>
        <w:tc>
          <w:tcPr>
            <w:tcW w:w="1956" w:type="dxa"/>
            <w:shd w:val="clear" w:color="auto" w:fill="auto"/>
          </w:tcPr>
          <w:p w:rsidRPr="008F57EF" w:rsidR="008F57EF" w:rsidP="00100431" w:rsidRDefault="008F57EF">
            <w:r w:rsidRPr="008F57EF">
              <w:t>Upper</w:t>
            </w:r>
          </w:p>
        </w:tc>
      </w:tr>
      <w:tr w:rsidRPr="008F57EF" w:rsidR="008F57EF" w:rsidTr="008F57EF">
        <w:tc>
          <w:tcPr>
            <w:tcW w:w="1056" w:type="dxa"/>
            <w:shd w:val="clear" w:color="auto" w:fill="auto"/>
          </w:tcPr>
          <w:p w:rsidRPr="008F57EF" w:rsidR="008F57EF" w:rsidP="00100431" w:rsidRDefault="008F57EF">
            <w:pPr>
              <w:rPr>
                <w:bCs/>
              </w:rPr>
            </w:pPr>
            <w:r w:rsidRPr="008F57EF">
              <w:rPr>
                <w:bCs/>
              </w:rPr>
              <w:t>POSA</w:t>
            </w:r>
          </w:p>
        </w:tc>
        <w:tc>
          <w:tcPr>
            <w:tcW w:w="2700" w:type="dxa"/>
            <w:shd w:val="clear" w:color="auto" w:fill="auto"/>
          </w:tcPr>
          <w:p w:rsidRPr="008F57EF" w:rsidR="008F57EF" w:rsidP="00100431" w:rsidRDefault="008F57EF">
            <w:proofErr w:type="spellStart"/>
            <w:r w:rsidRPr="008F57EF">
              <w:t>Poa</w:t>
            </w:r>
            <w:proofErr w:type="spellEnd"/>
            <w:r w:rsidRPr="008F57EF">
              <w:t xml:space="preserve"> </w:t>
            </w:r>
            <w:proofErr w:type="spellStart"/>
            <w:r w:rsidRPr="008F57EF">
              <w:t>saltuensis</w:t>
            </w:r>
            <w:proofErr w:type="spellEnd"/>
          </w:p>
        </w:tc>
        <w:tc>
          <w:tcPr>
            <w:tcW w:w="2520" w:type="dxa"/>
            <w:shd w:val="clear" w:color="auto" w:fill="auto"/>
          </w:tcPr>
          <w:p w:rsidRPr="008F57EF" w:rsidR="008F57EF" w:rsidP="00100431" w:rsidRDefault="008F57EF">
            <w:proofErr w:type="spellStart"/>
            <w:r w:rsidRPr="008F57EF">
              <w:t>Oldpasture</w:t>
            </w:r>
            <w:proofErr w:type="spellEnd"/>
            <w:r w:rsidRPr="008F57EF">
              <w:t xml:space="preserve"> bluegrass</w:t>
            </w:r>
          </w:p>
        </w:tc>
        <w:tc>
          <w:tcPr>
            <w:tcW w:w="1956" w:type="dxa"/>
            <w:shd w:val="clear" w:color="auto" w:fill="auto"/>
          </w:tcPr>
          <w:p w:rsidRPr="008F57EF" w:rsidR="008F57EF" w:rsidP="00100431" w:rsidRDefault="008F57EF">
            <w:r w:rsidRPr="008F57EF">
              <w:t>Upper</w:t>
            </w:r>
          </w:p>
        </w:tc>
      </w:tr>
      <w:tr w:rsidRPr="008F57EF" w:rsidR="008F57EF" w:rsidTr="008F57EF">
        <w:tc>
          <w:tcPr>
            <w:tcW w:w="1056" w:type="dxa"/>
            <w:shd w:val="clear" w:color="auto" w:fill="auto"/>
          </w:tcPr>
          <w:p w:rsidRPr="008F57EF" w:rsidR="008F57EF" w:rsidP="00100431" w:rsidRDefault="008F57EF">
            <w:pPr>
              <w:rPr>
                <w:bCs/>
              </w:rPr>
            </w:pPr>
            <w:r w:rsidRPr="008F57EF">
              <w:rPr>
                <w:bCs/>
              </w:rPr>
              <w:t>STCO</w:t>
            </w:r>
          </w:p>
        </w:tc>
        <w:tc>
          <w:tcPr>
            <w:tcW w:w="2700" w:type="dxa"/>
            <w:shd w:val="clear" w:color="auto" w:fill="auto"/>
          </w:tcPr>
          <w:p w:rsidRPr="008F57EF" w:rsidR="008F57EF" w:rsidP="00100431" w:rsidRDefault="008F57EF">
            <w:proofErr w:type="spellStart"/>
            <w:r w:rsidRPr="008F57EF">
              <w:t>Stachys</w:t>
            </w:r>
            <w:proofErr w:type="spellEnd"/>
            <w:r w:rsidRPr="008F57EF">
              <w:t xml:space="preserve"> coccinea</w:t>
            </w:r>
          </w:p>
        </w:tc>
        <w:tc>
          <w:tcPr>
            <w:tcW w:w="2520" w:type="dxa"/>
            <w:shd w:val="clear" w:color="auto" w:fill="auto"/>
          </w:tcPr>
          <w:p w:rsidRPr="008F57EF" w:rsidR="008F57EF" w:rsidP="00100431" w:rsidRDefault="008F57EF">
            <w:r w:rsidRPr="008F57EF">
              <w:t xml:space="preserve">Scarlet </w:t>
            </w:r>
            <w:proofErr w:type="spellStart"/>
            <w:r w:rsidRPr="008F57EF">
              <w:t>hedgenettle</w:t>
            </w:r>
            <w:proofErr w:type="spellEnd"/>
          </w:p>
        </w:tc>
        <w:tc>
          <w:tcPr>
            <w:tcW w:w="1956" w:type="dxa"/>
            <w:shd w:val="clear" w:color="auto" w:fill="auto"/>
          </w:tcPr>
          <w:p w:rsidRPr="008F57EF" w:rsidR="008F57EF" w:rsidP="00100431" w:rsidRDefault="008F57EF">
            <w:r w:rsidRPr="008F57EF">
              <w:t>Upper</w:t>
            </w:r>
          </w:p>
        </w:tc>
      </w:tr>
    </w:tbl>
    <w:p w:rsidR="008F57EF" w:rsidP="008F57EF" w:rsidRDefault="008F57EF"/>
    <w:p w:rsidR="008F57EF" w:rsidP="008F57EF" w:rsidRDefault="008F57EF">
      <w:pPr>
        <w:pStyle w:val="SClassInfoPara"/>
      </w:pPr>
      <w:r>
        <w:t>Description</w:t>
      </w:r>
    </w:p>
    <w:p w:rsidR="008F57EF" w:rsidP="00C42F91" w:rsidRDefault="008F57EF">
      <w:r>
        <w:t>Mid-development with moderate canopy closure dominated by bunchgrasses with forb cover generally higher than pre-burn.</w:t>
      </w:r>
    </w:p>
    <w:p w:rsidR="008F57EF" w:rsidP="008F57EF" w:rsidRDefault="008F57EF"/>
    <w:p>
      <w:r>
        <w:rPr>
          <w:i/>
          <w:u w:val="single"/>
        </w:rPr>
        <w:t>Maximum Tree Size Class</w:t>
      </w:r>
      <w:br/>
      <w:r>
        <w:t>None</w:t>
      </w:r>
    </w:p>
    <w:p w:rsidR="008F57EF" w:rsidP="008F57EF" w:rsidRDefault="008F57EF">
      <w:pPr>
        <w:pStyle w:val="InfoPara"/>
        <w:pBdr>
          <w:top w:val="single" w:color="auto" w:sz="4" w:space="1"/>
        </w:pBdr>
      </w:pPr>
      <w:r xmlns:w="http://schemas.openxmlformats.org/wordprocessingml/2006/main">
        <w:t>Class C</w:t>
      </w:r>
      <w:r xmlns:w="http://schemas.openxmlformats.org/wordprocessingml/2006/main">
        <w:tab/>
        <w:t>32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F57EF" w:rsidP="008F57EF" w:rsidRDefault="008F57EF"/>
    <w:p w:rsidR="008F57EF" w:rsidP="008F57EF" w:rsidRDefault="008F57E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8F57EF" w:rsidR="008F57EF" w:rsidTr="008F57EF">
        <w:tc>
          <w:tcPr>
            <w:tcW w:w="1056" w:type="dxa"/>
            <w:tcBorders>
              <w:top w:val="single" w:color="auto" w:sz="2" w:space="0"/>
              <w:bottom w:val="single" w:color="000000" w:sz="12" w:space="0"/>
            </w:tcBorders>
            <w:shd w:val="clear" w:color="auto" w:fill="auto"/>
          </w:tcPr>
          <w:p w:rsidRPr="008F57EF" w:rsidR="008F57EF" w:rsidP="00F30B83" w:rsidRDefault="008F57EF">
            <w:pPr>
              <w:rPr>
                <w:b/>
                <w:bCs/>
              </w:rPr>
            </w:pPr>
            <w:r w:rsidRPr="008F57EF">
              <w:rPr>
                <w:b/>
                <w:bCs/>
              </w:rPr>
              <w:t>Symbol</w:t>
            </w:r>
          </w:p>
        </w:tc>
        <w:tc>
          <w:tcPr>
            <w:tcW w:w="2700" w:type="dxa"/>
            <w:tcBorders>
              <w:top w:val="single" w:color="auto" w:sz="2" w:space="0"/>
              <w:bottom w:val="single" w:color="000000" w:sz="12" w:space="0"/>
            </w:tcBorders>
            <w:shd w:val="clear" w:color="auto" w:fill="auto"/>
          </w:tcPr>
          <w:p w:rsidRPr="008F57EF" w:rsidR="008F57EF" w:rsidP="00F30B83" w:rsidRDefault="008F57EF">
            <w:pPr>
              <w:rPr>
                <w:b/>
                <w:bCs/>
              </w:rPr>
            </w:pPr>
            <w:r w:rsidRPr="008F57EF">
              <w:rPr>
                <w:b/>
                <w:bCs/>
              </w:rPr>
              <w:t>Scientific Name</w:t>
            </w:r>
          </w:p>
        </w:tc>
        <w:tc>
          <w:tcPr>
            <w:tcW w:w="2520" w:type="dxa"/>
            <w:tcBorders>
              <w:top w:val="single" w:color="auto" w:sz="2" w:space="0"/>
              <w:bottom w:val="single" w:color="000000" w:sz="12" w:space="0"/>
            </w:tcBorders>
            <w:shd w:val="clear" w:color="auto" w:fill="auto"/>
          </w:tcPr>
          <w:p w:rsidRPr="008F57EF" w:rsidR="008F57EF" w:rsidP="00F30B83" w:rsidRDefault="008F57EF">
            <w:pPr>
              <w:rPr>
                <w:b/>
                <w:bCs/>
              </w:rPr>
            </w:pPr>
            <w:r w:rsidRPr="008F57EF">
              <w:rPr>
                <w:b/>
                <w:bCs/>
              </w:rPr>
              <w:t>Common Name</w:t>
            </w:r>
          </w:p>
        </w:tc>
        <w:tc>
          <w:tcPr>
            <w:tcW w:w="1956" w:type="dxa"/>
            <w:tcBorders>
              <w:top w:val="single" w:color="auto" w:sz="2" w:space="0"/>
              <w:bottom w:val="single" w:color="000000" w:sz="12" w:space="0"/>
            </w:tcBorders>
            <w:shd w:val="clear" w:color="auto" w:fill="auto"/>
          </w:tcPr>
          <w:p w:rsidRPr="008F57EF" w:rsidR="008F57EF" w:rsidP="00F30B83" w:rsidRDefault="008F57EF">
            <w:pPr>
              <w:rPr>
                <w:b/>
                <w:bCs/>
              </w:rPr>
            </w:pPr>
            <w:r w:rsidRPr="008F57EF">
              <w:rPr>
                <w:b/>
                <w:bCs/>
              </w:rPr>
              <w:t>Canopy Position</w:t>
            </w:r>
          </w:p>
        </w:tc>
      </w:tr>
      <w:tr w:rsidRPr="008F57EF" w:rsidR="008F57EF" w:rsidTr="008F57EF">
        <w:tc>
          <w:tcPr>
            <w:tcW w:w="1056" w:type="dxa"/>
            <w:tcBorders>
              <w:top w:val="single" w:color="000000" w:sz="12" w:space="0"/>
            </w:tcBorders>
            <w:shd w:val="clear" w:color="auto" w:fill="auto"/>
          </w:tcPr>
          <w:p w:rsidRPr="008F57EF" w:rsidR="008F57EF" w:rsidP="00F30B83" w:rsidRDefault="008F57EF">
            <w:pPr>
              <w:rPr>
                <w:bCs/>
              </w:rPr>
            </w:pPr>
            <w:r w:rsidRPr="008F57EF">
              <w:rPr>
                <w:bCs/>
              </w:rPr>
              <w:t>PSSP6</w:t>
            </w:r>
          </w:p>
        </w:tc>
        <w:tc>
          <w:tcPr>
            <w:tcW w:w="2700" w:type="dxa"/>
            <w:tcBorders>
              <w:top w:val="single" w:color="000000" w:sz="12" w:space="0"/>
            </w:tcBorders>
            <w:shd w:val="clear" w:color="auto" w:fill="auto"/>
          </w:tcPr>
          <w:p w:rsidRPr="008F57EF" w:rsidR="008F57EF" w:rsidP="00F30B83" w:rsidRDefault="008F57EF">
            <w:proofErr w:type="spellStart"/>
            <w:r w:rsidRPr="008F57EF">
              <w:t>Pseudoroegneria</w:t>
            </w:r>
            <w:proofErr w:type="spellEnd"/>
            <w:r w:rsidRPr="008F57EF">
              <w:t xml:space="preserve"> </w:t>
            </w:r>
            <w:proofErr w:type="spellStart"/>
            <w:r w:rsidRPr="008F57EF">
              <w:t>spicata</w:t>
            </w:r>
            <w:proofErr w:type="spellEnd"/>
          </w:p>
        </w:tc>
        <w:tc>
          <w:tcPr>
            <w:tcW w:w="2520" w:type="dxa"/>
            <w:tcBorders>
              <w:top w:val="single" w:color="000000" w:sz="12" w:space="0"/>
            </w:tcBorders>
            <w:shd w:val="clear" w:color="auto" w:fill="auto"/>
          </w:tcPr>
          <w:p w:rsidRPr="008F57EF" w:rsidR="008F57EF" w:rsidP="00F30B83" w:rsidRDefault="008F57EF">
            <w:proofErr w:type="spellStart"/>
            <w:r w:rsidRPr="008F57EF">
              <w:t>Bluebunch</w:t>
            </w:r>
            <w:proofErr w:type="spellEnd"/>
            <w:r w:rsidRPr="008F57EF">
              <w:t xml:space="preserve"> wheatgrass</w:t>
            </w:r>
          </w:p>
        </w:tc>
        <w:tc>
          <w:tcPr>
            <w:tcW w:w="1956" w:type="dxa"/>
            <w:tcBorders>
              <w:top w:val="single" w:color="000000" w:sz="12" w:space="0"/>
            </w:tcBorders>
            <w:shd w:val="clear" w:color="auto" w:fill="auto"/>
          </w:tcPr>
          <w:p w:rsidRPr="008F57EF" w:rsidR="008F57EF" w:rsidP="00F30B83" w:rsidRDefault="008F57EF">
            <w:r w:rsidRPr="008F57EF">
              <w:t>Upper</w:t>
            </w:r>
          </w:p>
        </w:tc>
      </w:tr>
      <w:tr w:rsidRPr="008F57EF" w:rsidR="008F57EF" w:rsidTr="008F57EF">
        <w:tc>
          <w:tcPr>
            <w:tcW w:w="1056" w:type="dxa"/>
            <w:shd w:val="clear" w:color="auto" w:fill="auto"/>
          </w:tcPr>
          <w:p w:rsidRPr="008F57EF" w:rsidR="008F57EF" w:rsidP="00F30B83" w:rsidRDefault="008F57EF">
            <w:pPr>
              <w:rPr>
                <w:bCs/>
              </w:rPr>
            </w:pPr>
            <w:r w:rsidRPr="008F57EF">
              <w:rPr>
                <w:bCs/>
              </w:rPr>
              <w:t>FEID</w:t>
            </w:r>
          </w:p>
        </w:tc>
        <w:tc>
          <w:tcPr>
            <w:tcW w:w="2700" w:type="dxa"/>
            <w:shd w:val="clear" w:color="auto" w:fill="auto"/>
          </w:tcPr>
          <w:p w:rsidRPr="008F57EF" w:rsidR="008F57EF" w:rsidP="00F30B83" w:rsidRDefault="008F57EF">
            <w:proofErr w:type="spellStart"/>
            <w:r w:rsidRPr="008F57EF">
              <w:t>Festuca</w:t>
            </w:r>
            <w:proofErr w:type="spellEnd"/>
            <w:r w:rsidRPr="008F57EF">
              <w:t xml:space="preserve"> </w:t>
            </w:r>
            <w:proofErr w:type="spellStart"/>
            <w:r w:rsidRPr="008F57EF">
              <w:t>idahoensis</w:t>
            </w:r>
            <w:proofErr w:type="spellEnd"/>
          </w:p>
        </w:tc>
        <w:tc>
          <w:tcPr>
            <w:tcW w:w="2520" w:type="dxa"/>
            <w:shd w:val="clear" w:color="auto" w:fill="auto"/>
          </w:tcPr>
          <w:p w:rsidRPr="008F57EF" w:rsidR="008F57EF" w:rsidP="00F30B83" w:rsidRDefault="008F57EF">
            <w:r w:rsidRPr="008F57EF">
              <w:t>Idaho fescue</w:t>
            </w:r>
          </w:p>
        </w:tc>
        <w:tc>
          <w:tcPr>
            <w:tcW w:w="1956" w:type="dxa"/>
            <w:shd w:val="clear" w:color="auto" w:fill="auto"/>
          </w:tcPr>
          <w:p w:rsidRPr="008F57EF" w:rsidR="008F57EF" w:rsidP="00F30B83" w:rsidRDefault="008F57EF">
            <w:r w:rsidRPr="008F57EF">
              <w:t>Upper</w:t>
            </w:r>
          </w:p>
        </w:tc>
      </w:tr>
      <w:tr w:rsidRPr="008F57EF" w:rsidR="008F57EF" w:rsidTr="008F57EF">
        <w:tc>
          <w:tcPr>
            <w:tcW w:w="1056" w:type="dxa"/>
            <w:shd w:val="clear" w:color="auto" w:fill="auto"/>
          </w:tcPr>
          <w:p w:rsidRPr="008F57EF" w:rsidR="008F57EF" w:rsidP="00F30B83" w:rsidRDefault="008F57EF">
            <w:pPr>
              <w:rPr>
                <w:bCs/>
              </w:rPr>
            </w:pPr>
            <w:r w:rsidRPr="008F57EF">
              <w:rPr>
                <w:bCs/>
              </w:rPr>
              <w:t>POSA</w:t>
            </w:r>
          </w:p>
        </w:tc>
        <w:tc>
          <w:tcPr>
            <w:tcW w:w="2700" w:type="dxa"/>
            <w:shd w:val="clear" w:color="auto" w:fill="auto"/>
          </w:tcPr>
          <w:p w:rsidRPr="008F57EF" w:rsidR="008F57EF" w:rsidP="00F30B83" w:rsidRDefault="008F57EF">
            <w:proofErr w:type="spellStart"/>
            <w:r w:rsidRPr="008F57EF">
              <w:t>Poa</w:t>
            </w:r>
            <w:proofErr w:type="spellEnd"/>
            <w:r w:rsidRPr="008F57EF">
              <w:t xml:space="preserve"> </w:t>
            </w:r>
            <w:proofErr w:type="spellStart"/>
            <w:r w:rsidRPr="008F57EF">
              <w:t>saltuensis</w:t>
            </w:r>
            <w:proofErr w:type="spellEnd"/>
          </w:p>
        </w:tc>
        <w:tc>
          <w:tcPr>
            <w:tcW w:w="2520" w:type="dxa"/>
            <w:shd w:val="clear" w:color="auto" w:fill="auto"/>
          </w:tcPr>
          <w:p w:rsidRPr="008F57EF" w:rsidR="008F57EF" w:rsidP="00F30B83" w:rsidRDefault="008F57EF">
            <w:proofErr w:type="spellStart"/>
            <w:r w:rsidRPr="008F57EF">
              <w:t>Oldpasture</w:t>
            </w:r>
            <w:proofErr w:type="spellEnd"/>
            <w:r w:rsidRPr="008F57EF">
              <w:t xml:space="preserve"> bluegrass</w:t>
            </w:r>
          </w:p>
        </w:tc>
        <w:tc>
          <w:tcPr>
            <w:tcW w:w="1956" w:type="dxa"/>
            <w:shd w:val="clear" w:color="auto" w:fill="auto"/>
          </w:tcPr>
          <w:p w:rsidRPr="008F57EF" w:rsidR="008F57EF" w:rsidP="00F30B83" w:rsidRDefault="008F57EF">
            <w:r w:rsidRPr="008F57EF">
              <w:t>Upper</w:t>
            </w:r>
          </w:p>
        </w:tc>
      </w:tr>
      <w:tr w:rsidRPr="008F57EF" w:rsidR="008F57EF" w:rsidTr="008F57EF">
        <w:tc>
          <w:tcPr>
            <w:tcW w:w="1056" w:type="dxa"/>
            <w:shd w:val="clear" w:color="auto" w:fill="auto"/>
          </w:tcPr>
          <w:p w:rsidRPr="008F57EF" w:rsidR="008F57EF" w:rsidP="00F30B83" w:rsidRDefault="008F57EF">
            <w:pPr>
              <w:rPr>
                <w:bCs/>
              </w:rPr>
            </w:pPr>
            <w:r w:rsidRPr="008F57EF">
              <w:rPr>
                <w:bCs/>
              </w:rPr>
              <w:t>STCO</w:t>
            </w:r>
          </w:p>
        </w:tc>
        <w:tc>
          <w:tcPr>
            <w:tcW w:w="2700" w:type="dxa"/>
            <w:shd w:val="clear" w:color="auto" w:fill="auto"/>
          </w:tcPr>
          <w:p w:rsidRPr="008F57EF" w:rsidR="008F57EF" w:rsidP="00F30B83" w:rsidRDefault="008F57EF">
            <w:proofErr w:type="spellStart"/>
            <w:r w:rsidRPr="008F57EF">
              <w:t>Stachys</w:t>
            </w:r>
            <w:proofErr w:type="spellEnd"/>
            <w:r w:rsidRPr="008F57EF">
              <w:t xml:space="preserve"> coccinea</w:t>
            </w:r>
          </w:p>
        </w:tc>
        <w:tc>
          <w:tcPr>
            <w:tcW w:w="2520" w:type="dxa"/>
            <w:shd w:val="clear" w:color="auto" w:fill="auto"/>
          </w:tcPr>
          <w:p w:rsidRPr="008F57EF" w:rsidR="008F57EF" w:rsidP="00F30B83" w:rsidRDefault="008F57EF">
            <w:r w:rsidRPr="008F57EF">
              <w:t xml:space="preserve">Scarlet </w:t>
            </w:r>
            <w:proofErr w:type="spellStart"/>
            <w:r w:rsidRPr="008F57EF">
              <w:t>hedgenettle</w:t>
            </w:r>
            <w:proofErr w:type="spellEnd"/>
          </w:p>
        </w:tc>
        <w:tc>
          <w:tcPr>
            <w:tcW w:w="1956" w:type="dxa"/>
            <w:shd w:val="clear" w:color="auto" w:fill="auto"/>
          </w:tcPr>
          <w:p w:rsidRPr="008F57EF" w:rsidR="008F57EF" w:rsidP="00F30B83" w:rsidRDefault="008F57EF">
            <w:r w:rsidRPr="008F57EF">
              <w:t>Upper</w:t>
            </w:r>
          </w:p>
        </w:tc>
      </w:tr>
    </w:tbl>
    <w:p w:rsidR="008F57EF" w:rsidP="008F57EF" w:rsidRDefault="008F57EF"/>
    <w:p w:rsidR="008F57EF" w:rsidP="008F57EF" w:rsidRDefault="008F57EF">
      <w:pPr>
        <w:pStyle w:val="SClassInfoPara"/>
      </w:pPr>
      <w:r>
        <w:t>Description</w:t>
      </w:r>
    </w:p>
    <w:p w:rsidR="008F57EF" w:rsidP="008F57EF" w:rsidRDefault="008F57EF">
      <w:r>
        <w:t xml:space="preserve">Late-development, closed canopy of grasses and forbs. Bunchgrasses dominate with low densities of shrubs in some areas, particularly where this </w:t>
      </w:r>
      <w:proofErr w:type="spellStart"/>
      <w:r>
        <w:t>BpS</w:t>
      </w:r>
      <w:proofErr w:type="spellEnd"/>
      <w:r>
        <w:t xml:space="preserve"> transitions to shrub or tree-dominated communities. Shrub species may include </w:t>
      </w:r>
      <w:r w:rsidRPr="00C42F91">
        <w:rPr>
          <w:i/>
        </w:rPr>
        <w:t xml:space="preserve">Artemisia </w:t>
      </w:r>
      <w:proofErr w:type="spellStart"/>
      <w:r w:rsidRPr="00C42F91">
        <w:rPr>
          <w:i/>
        </w:rPr>
        <w:t>tridentada</w:t>
      </w:r>
      <w:proofErr w:type="spellEnd"/>
      <w:r>
        <w:t xml:space="preserve">, </w:t>
      </w:r>
      <w:r w:rsidRPr="00C42F91">
        <w:rPr>
          <w:i/>
        </w:rPr>
        <w:t>Ceanothus</w:t>
      </w:r>
      <w:r>
        <w:t>, bitterbrush</w:t>
      </w:r>
      <w:r w:rsidR="00C42F91">
        <w:t>,</w:t>
      </w:r>
      <w:r>
        <w:t xml:space="preserve"> and </w:t>
      </w:r>
      <w:proofErr w:type="spellStart"/>
      <w:r w:rsidRPr="00C42F91">
        <w:rPr>
          <w:i/>
        </w:rPr>
        <w:t>Symphorocarpus</w:t>
      </w:r>
      <w:proofErr w:type="spellEnd"/>
      <w:r>
        <w:t xml:space="preserve">. Some Douglas-fir and Rocky Mt. juniper could be present. Other forbs include </w:t>
      </w:r>
      <w:proofErr w:type="spellStart"/>
      <w:r w:rsidRPr="00C42F91">
        <w:rPr>
          <w:i/>
        </w:rPr>
        <w:t>Eriogonum</w:t>
      </w:r>
      <w:proofErr w:type="spellEnd"/>
      <w:r>
        <w:t xml:space="preserve"> (</w:t>
      </w:r>
      <w:proofErr w:type="spellStart"/>
      <w:r>
        <w:t>buckwheats</w:t>
      </w:r>
      <w:proofErr w:type="spellEnd"/>
      <w:r>
        <w:t>).</w:t>
      </w:r>
    </w:p>
    <w:p w:rsidR="008F57EF" w:rsidP="008F57EF" w:rsidRDefault="008F57EF"/>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w:t>
            </w:r>
          </w:p>
        </w:tc>
      </w:tr>
      <w:tr>
        <w:tc>
          <w:p>
            <w:pPr>
              <w:jc w:val="center"/>
            </w:pPr>
            <w:r>
              <w:rPr>
                <w:sz w:val="20"/>
              </w:rPr>
              <w:t>Mid1:CLS</w:t>
            </w:r>
          </w:p>
        </w:tc>
        <w:tc>
          <w:p>
            <w:pPr>
              <w:jc w:val="center"/>
            </w:pPr>
            <w:r>
              <w:rPr>
                <w:sz w:val="20"/>
              </w:rPr>
              <w:t>2</w:t>
            </w:r>
          </w:p>
        </w:tc>
        <w:tc>
          <w:p>
            <w:pPr>
              <w:jc w:val="center"/>
            </w:pPr>
            <w:r>
              <w:rPr>
                <w:sz w:val="20"/>
              </w:rPr>
              <w:t>Late1:CLS</w:t>
            </w:r>
          </w:p>
        </w:tc>
        <w:tc>
          <w:p>
            <w:pPr>
              <w:jc w:val="center"/>
            </w:pPr>
            <w:r>
              <w:rPr>
                <w:sz w:val="20"/>
              </w:rPr>
              <w:t>35</w:t>
            </w:r>
          </w:p>
        </w:tc>
      </w:tr>
      <w:tr>
        <w:tc>
          <w:p>
            <w:pPr>
              <w:jc w:val="center"/>
            </w:pPr>
            <w:r>
              <w:rPr>
                <w:sz w:val="20"/>
              </w:rPr>
              <w:t>Late1:CLS</w:t>
            </w:r>
          </w:p>
        </w:tc>
        <w:tc>
          <w:p>
            <w:pPr>
              <w:jc w:val="center"/>
            </w:pPr>
            <w:r>
              <w:rPr>
                <w:sz w:val="20"/>
              </w:rPr>
              <w:t>36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0.0333</w:t>
            </w:r>
          </w:p>
        </w:tc>
        <w:tc>
          <w:p>
            <w:pPr>
              <w:jc w:val="center"/>
            </w:pPr>
            <w:r>
              <w:rPr>
                <w:sz w:val="20"/>
              </w:rPr>
              <w:t>30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F57EF" w:rsidP="008F57EF" w:rsidRDefault="008F57EF">
      <w:r>
        <w:t xml:space="preserve">Arno, S.F. and G.E. </w:t>
      </w:r>
      <w:proofErr w:type="spellStart"/>
      <w:r>
        <w:t>Gruell</w:t>
      </w:r>
      <w:proofErr w:type="spellEnd"/>
      <w:r>
        <w:t>. 1983. Fire history at the forest-grassland ecotone in southwestern Montana. Journal of Range Management 36: 332-336.</w:t>
      </w:r>
    </w:p>
    <w:p w:rsidR="008F57EF" w:rsidP="008F57EF" w:rsidRDefault="008F57EF"/>
    <w:p w:rsidR="008F57EF" w:rsidP="008F57EF" w:rsidRDefault="008F57EF">
      <w:r>
        <w:t xml:space="preserve">Baker, W.L. (in press). Fire history in ponderosa pine landscapes of Grand Canyon National Park: Is it reliable enough for management and restoration? International Journal of Wildland Fire. </w:t>
      </w:r>
    </w:p>
    <w:p w:rsidR="008F57EF" w:rsidP="008F57EF" w:rsidRDefault="008F57EF"/>
    <w:p w:rsidR="008F57EF" w:rsidP="008F57EF" w:rsidRDefault="008F57EF">
      <w:r>
        <w:t>Baker, W.L. in press. Fire and Restoration of Sagebrush Ecosystems. Manuscript submitted to Wildlife Society Bulletin.</w:t>
      </w:r>
    </w:p>
    <w:p w:rsidR="008F57EF" w:rsidP="008F57EF" w:rsidRDefault="008F57EF"/>
    <w:p w:rsidR="008F57EF" w:rsidP="008F57EF" w:rsidRDefault="008F57EF">
      <w:r>
        <w:t>Houston, D.B. 1973. Wildfires in northern Yellowstone National Park. Ecology 54(5): 1111-1117.</w:t>
      </w:r>
    </w:p>
    <w:p w:rsidR="008F57EF" w:rsidP="008F57EF" w:rsidRDefault="008F57EF"/>
    <w:p w:rsidR="008F57EF" w:rsidP="008F57EF" w:rsidRDefault="008F57EF">
      <w:r>
        <w:t xml:space="preserve">Johnson, K.A. 2000. Artemisia tridentata spp. </w:t>
      </w:r>
      <w:proofErr w:type="spellStart"/>
      <w:r>
        <w:t>vaseyana</w:t>
      </w:r>
      <w:proofErr w:type="spellEnd"/>
      <w:r>
        <w:t xml:space="preserve">. In: Fire Effects Information System, [Online]. USDA Forest Service, Rocky Mountain Research Station, Fire Sciences Laboratory (Producer). Available: http://www.fs.fed.us/database/feis/ [2006, March 7]. </w:t>
      </w:r>
    </w:p>
    <w:p w:rsidR="008F57EF" w:rsidP="008F57EF" w:rsidRDefault="008F57EF"/>
    <w:p w:rsidR="008F57EF" w:rsidP="008F57EF" w:rsidRDefault="008F57EF">
      <w:r>
        <w:t xml:space="preserve">Miller, R.F., T.J. Svejcar and N.E. West. 1994. Implications of livestock grazing in the Intermountain sagebrush region: Plant composition. Pages 101-146 in: M. </w:t>
      </w:r>
      <w:proofErr w:type="spellStart"/>
      <w:r>
        <w:t>Vavra</w:t>
      </w:r>
      <w:proofErr w:type="spellEnd"/>
      <w:r>
        <w:t>, W.A. Laycock and R.D Pieper, eds. Ecological implications of livestock herbivory in the West. Denver, CO: Society for Range Management.</w:t>
      </w:r>
    </w:p>
    <w:p w:rsidR="008F57EF" w:rsidP="008F57EF" w:rsidRDefault="008F57EF"/>
    <w:p w:rsidR="008F57EF" w:rsidP="008F57EF" w:rsidRDefault="008F57EF">
      <w:r>
        <w:t xml:space="preserve">Miller, R.F. and R.J. </w:t>
      </w:r>
      <w:proofErr w:type="spellStart"/>
      <w:r>
        <w:t>Tausch</w:t>
      </w:r>
      <w:proofErr w:type="spellEnd"/>
      <w:r>
        <w:t>. 2001. The role of fire in juniper and pinyon woodlands: a descriptive analysis. Pages 15-30 in K.E.M. Galley and T.P. Wilson (eds.). 2001. Proceedings of the Invasive Species Workshop: the Role of Fire in the Control and Spread of Invasive Species. Fire Conference 2000: the First National Congress on Fire Ecology, Prevention, and Management. Misc. Pub. No. 11. Tall Timbers Research Station, Tallahassee, FL.</w:t>
      </w:r>
    </w:p>
    <w:p w:rsidR="008F57EF" w:rsidP="008F57EF" w:rsidRDefault="008F57EF"/>
    <w:p w:rsidR="008F57EF" w:rsidP="008F57EF" w:rsidRDefault="008F57EF">
      <w:r>
        <w:t>Miller, R.F. and J.A. Rose. 1999. Fire history and western juniper encroachment in sagebrush steppe. Journal of Range Management 52: 550-559.</w:t>
      </w:r>
    </w:p>
    <w:p w:rsidR="008F57EF" w:rsidP="008F57EF" w:rsidRDefault="008F57EF"/>
    <w:p w:rsidR="008F57EF" w:rsidP="008F57EF" w:rsidRDefault="008F57EF">
      <w:r>
        <w:t xml:space="preserve">Miller, R.F. and L.L. </w:t>
      </w:r>
      <w:proofErr w:type="spellStart"/>
      <w:r>
        <w:t>Eddleman</w:t>
      </w:r>
      <w:proofErr w:type="spellEnd"/>
      <w:r>
        <w:t>. 2001. Spatial and Temporal Changes of Sage Grouse Habitat in the Sagebrush Biome. Tech. Bulletin 151,Oregon State Univ., Agricultural Experiment Station. Corvallis, OR. 35 pp.</w:t>
      </w:r>
    </w:p>
    <w:p w:rsidR="008F57EF" w:rsidP="008F57EF" w:rsidRDefault="008F57EF"/>
    <w:p w:rsidR="008F57EF" w:rsidP="008F57EF" w:rsidRDefault="008F57EF">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8F57EF" w:rsidP="008F57EF" w:rsidRDefault="008F57EF"/>
    <w:p w:rsidR="008F57EF" w:rsidP="008F57EF" w:rsidRDefault="008F57EF">
      <w:r>
        <w:t>NatureServe. 2007. International Ecological Classification Standard: Terrestrial Ecological Classifications. NatureServe Central Databases. Arlington, VA. Data current as of 10 February 2007.</w:t>
      </w:r>
    </w:p>
    <w:p w:rsidR="008F57EF" w:rsidP="008F57EF" w:rsidRDefault="008F57EF"/>
    <w:p w:rsidR="008F57EF" w:rsidP="008F57EF" w:rsidRDefault="008F57EF">
      <w:proofErr w:type="spellStart"/>
      <w:r>
        <w:t>Sindelar</w:t>
      </w:r>
      <w:proofErr w:type="spellEnd"/>
      <w:r>
        <w:t xml:space="preserve">, B.W. 1981. Rate of plant succession on mined land in Montana. US Government Reports 83(23): 5727. 10 pp. </w:t>
      </w:r>
    </w:p>
    <w:p w:rsidR="008F57EF" w:rsidP="008F57EF" w:rsidRDefault="008F57EF"/>
    <w:p w:rsidR="008F57EF" w:rsidP="008F57EF" w:rsidRDefault="008F57EF">
      <w:r>
        <w:t>Tart, D.L. 1996. Big sagebrush plant associations of the Pinedale Ranger District. Final Review Draft. August 1996. Bridger-Teton National Forest. 97 pp.</w:t>
      </w:r>
    </w:p>
    <w:p w:rsidR="008F57EF" w:rsidP="008F57EF" w:rsidRDefault="008F57EF"/>
    <w:p w:rsidR="008F57EF" w:rsidP="008F57EF" w:rsidRDefault="008F57EF">
      <w:r>
        <w:t xml:space="preserve">Welch, B.L and C. </w:t>
      </w:r>
      <w:proofErr w:type="spellStart"/>
      <w:r>
        <w:t>Criddle</w:t>
      </w:r>
      <w:proofErr w:type="spellEnd"/>
      <w:r>
        <w:t>. 2003. Countering Misinformation Concerning Big Sagebrush. Research Paper RMRS-RP-40. Ogden, UT: USDA Forest Service, Rocky Mountain Research Station. 28 pp.</w:t>
      </w:r>
    </w:p>
    <w:p w:rsidR="008F57EF" w:rsidP="008F57EF" w:rsidRDefault="008F57EF"/>
    <w:p w:rsidR="008F57EF" w:rsidP="008F57EF" w:rsidRDefault="008F57EF">
      <w:proofErr w:type="spellStart"/>
      <w:r>
        <w:t>Winward</w:t>
      </w:r>
      <w:proofErr w:type="spellEnd"/>
      <w:r>
        <w:t>, A.H. 1984. Fire in the Sagebrush-Grass Ecosystem: The Ecological Setting. Pages 2-6 in: K. Sanders and J. Durham, and others (ed.). 1985. Rangeland Fire Effects: A Symposium. USDI Bureau of Land Management, Idaho State Office. Boise, ID. 124 pp.</w:t>
      </w:r>
    </w:p>
    <w:p w:rsidR="008F57EF" w:rsidP="008F57EF" w:rsidRDefault="008F57EF"/>
    <w:p w:rsidR="008F57EF" w:rsidP="008F57EF" w:rsidRDefault="008F57EF">
      <w:proofErr w:type="spellStart"/>
      <w:r>
        <w:t>Winward</w:t>
      </w:r>
      <w:proofErr w:type="spellEnd"/>
      <w:r>
        <w:t>, A.H. 1991. Management in the Sagebrush Steppe. Special Report 880, Oregon State Univ., Agricultural Experiment Station. Corvallis, OR. 7 pp.</w:t>
      </w:r>
    </w:p>
    <w:p w:rsidRPr="00A43E41" w:rsidR="004D5F12" w:rsidP="008F57E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E6E" w:rsidRDefault="000F7E6E">
      <w:r>
        <w:separator/>
      </w:r>
    </w:p>
  </w:endnote>
  <w:endnote w:type="continuationSeparator" w:id="0">
    <w:p w:rsidR="000F7E6E" w:rsidRDefault="000F7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7EF" w:rsidRDefault="008F57EF" w:rsidP="008F57E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E6E" w:rsidRDefault="000F7E6E">
      <w:r>
        <w:separator/>
      </w:r>
    </w:p>
  </w:footnote>
  <w:footnote w:type="continuationSeparator" w:id="0">
    <w:p w:rsidR="000F7E6E" w:rsidRDefault="000F7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F57E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EF"/>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0F7E6E"/>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46F"/>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E1030"/>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66DA"/>
    <w:rsid w:val="00386837"/>
    <w:rsid w:val="00393EB8"/>
    <w:rsid w:val="00397DC1"/>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36567"/>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298"/>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7EF"/>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1C20"/>
    <w:rsid w:val="00BE47D0"/>
    <w:rsid w:val="00BE537C"/>
    <w:rsid w:val="00BE7010"/>
    <w:rsid w:val="00BF1600"/>
    <w:rsid w:val="00BF177F"/>
    <w:rsid w:val="00BF3879"/>
    <w:rsid w:val="00BF4A9A"/>
    <w:rsid w:val="00BF5AD2"/>
    <w:rsid w:val="00C00265"/>
    <w:rsid w:val="00C0134A"/>
    <w:rsid w:val="00C02111"/>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2F91"/>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5E70"/>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1A9E50-2300-4ABB-A09D-5168B952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E1C20"/>
    <w:pPr>
      <w:ind w:left="720"/>
    </w:pPr>
    <w:rPr>
      <w:rFonts w:ascii="Calibri" w:eastAsiaTheme="minorHAnsi" w:hAnsi="Calibri"/>
      <w:sz w:val="22"/>
      <w:szCs w:val="22"/>
    </w:rPr>
  </w:style>
  <w:style w:type="character" w:styleId="Hyperlink">
    <w:name w:val="Hyperlink"/>
    <w:basedOn w:val="DefaultParagraphFont"/>
    <w:rsid w:val="00BE1C20"/>
    <w:rPr>
      <w:color w:val="0000FF" w:themeColor="hyperlink"/>
      <w:u w:val="single"/>
    </w:rPr>
  </w:style>
  <w:style w:type="paragraph" w:styleId="BalloonText">
    <w:name w:val="Balloon Text"/>
    <w:basedOn w:val="Normal"/>
    <w:link w:val="BalloonTextChar"/>
    <w:uiPriority w:val="99"/>
    <w:semiHidden/>
    <w:unhideWhenUsed/>
    <w:rsid w:val="00BE1C20"/>
    <w:rPr>
      <w:rFonts w:ascii="Tahoma" w:hAnsi="Tahoma" w:cs="Tahoma"/>
      <w:sz w:val="16"/>
      <w:szCs w:val="16"/>
    </w:rPr>
  </w:style>
  <w:style w:type="character" w:customStyle="1" w:styleId="BalloonTextChar">
    <w:name w:val="Balloon Text Char"/>
    <w:basedOn w:val="DefaultParagraphFont"/>
    <w:link w:val="BalloonText"/>
    <w:uiPriority w:val="99"/>
    <w:semiHidden/>
    <w:rsid w:val="00BE1C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645574">
      <w:bodyDiv w:val="1"/>
      <w:marLeft w:val="0"/>
      <w:marRight w:val="0"/>
      <w:marTop w:val="0"/>
      <w:marBottom w:val="0"/>
      <w:divBdr>
        <w:top w:val="none" w:sz="0" w:space="0" w:color="auto"/>
        <w:left w:val="none" w:sz="0" w:space="0" w:color="auto"/>
        <w:bottom w:val="none" w:sz="0" w:space="0" w:color="auto"/>
        <w:right w:val="none" w:sz="0" w:space="0" w:color="auto"/>
      </w:divBdr>
    </w:div>
    <w:div w:id="190652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TotalTime>
  <Pages>7</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2014-08-21T14:27:00Z</cp:lastPrinted>
  <dcterms:created xsi:type="dcterms:W3CDTF">2015-06-28T17:54:00Z</dcterms:created>
  <dcterms:modified xsi:type="dcterms:W3CDTF">2018-06-15T13:30:00Z</dcterms:modified>
</cp:coreProperties>
</file>