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5BC" w:rsidP="00E145BC" w:rsidRDefault="00E145BC">
      <w:pPr>
        <w:pStyle w:val="BpSTitle"/>
      </w:pPr>
      <w:r>
        <w:t>11400</w:t>
      </w:r>
    </w:p>
    <w:p w:rsidR="00E145BC" w:rsidP="00E145BC" w:rsidRDefault="00E145BC">
      <w:pPr>
        <w:pStyle w:val="BpSTitle"/>
      </w:pPr>
      <w:r>
        <w:t>Northern Rocky Mountain Subalpine-Upper Montane Grassland</w:t>
      </w:r>
    </w:p>
    <w:p w:rsidR="00E145BC" w:rsidP="00E145BC" w:rsidRDefault="00E145BC">
      <w:r>
        <w:t xmlns:w="http://schemas.openxmlformats.org/wordprocessingml/2006/main">BpS Model/Description Version: Aug. 2020</w:t>
      </w:r>
      <w:r>
        <w:tab/>
      </w:r>
      <w:r>
        <w:tab/>
      </w:r>
      <w:r>
        <w:tab/>
      </w:r>
      <w:r>
        <w:tab/>
      </w:r>
      <w:r>
        <w:tab/>
      </w:r>
      <w:r>
        <w:tab/>
      </w:r>
      <w:r>
        <w:tab/>
      </w:r>
    </w:p>
    <w:p w:rsidR="00E145BC" w:rsidP="00E145BC" w:rsidRDefault="00E145B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652"/>
        <w:gridCol w:w="1884"/>
        <w:gridCol w:w="3084"/>
      </w:tblGrid>
      <w:tr w:rsidRPr="00E145BC" w:rsidR="00E145BC" w:rsidTr="00E145BC">
        <w:tc>
          <w:tcPr>
            <w:tcW w:w="1956" w:type="dxa"/>
            <w:tcBorders>
              <w:top w:val="single" w:color="auto" w:sz="2" w:space="0"/>
              <w:left w:val="single" w:color="auto" w:sz="12" w:space="0"/>
              <w:bottom w:val="single" w:color="000000" w:sz="12" w:space="0"/>
            </w:tcBorders>
            <w:shd w:val="clear" w:color="auto" w:fill="auto"/>
          </w:tcPr>
          <w:p w:rsidRPr="00E145BC" w:rsidR="00E145BC" w:rsidP="00B646BC" w:rsidRDefault="00E145BC">
            <w:pPr>
              <w:rPr>
                <w:b/>
                <w:bCs/>
              </w:rPr>
            </w:pPr>
            <w:r w:rsidRPr="00E145BC">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E145BC" w:rsidR="00E145BC" w:rsidP="00B646BC" w:rsidRDefault="00E145BC">
            <w:pPr>
              <w:rPr>
                <w:b/>
                <w:bCs/>
              </w:rPr>
            </w:pPr>
          </w:p>
        </w:tc>
        <w:tc>
          <w:tcPr>
            <w:tcW w:w="1884" w:type="dxa"/>
            <w:tcBorders>
              <w:top w:val="single" w:color="auto" w:sz="2" w:space="0"/>
              <w:left w:val="single" w:color="000000" w:sz="12" w:space="0"/>
              <w:bottom w:val="single" w:color="000000" w:sz="12" w:space="0"/>
            </w:tcBorders>
            <w:shd w:val="clear" w:color="auto" w:fill="auto"/>
          </w:tcPr>
          <w:p w:rsidRPr="00E145BC" w:rsidR="00E145BC" w:rsidP="00B646BC" w:rsidRDefault="00E145BC">
            <w:pPr>
              <w:rPr>
                <w:b/>
                <w:bCs/>
              </w:rPr>
            </w:pPr>
            <w:r w:rsidRPr="00E145BC">
              <w:rPr>
                <w:b/>
                <w:bCs/>
              </w:rPr>
              <w:t>Reviewers</w:t>
            </w:r>
          </w:p>
        </w:tc>
        <w:tc>
          <w:tcPr>
            <w:tcW w:w="3084" w:type="dxa"/>
            <w:tcBorders>
              <w:top w:val="single" w:color="auto" w:sz="2" w:space="0"/>
              <w:bottom w:val="single" w:color="000000" w:sz="12" w:space="0"/>
            </w:tcBorders>
            <w:shd w:val="clear" w:color="auto" w:fill="auto"/>
          </w:tcPr>
          <w:p w:rsidRPr="00E145BC" w:rsidR="00E145BC" w:rsidP="00B646BC" w:rsidRDefault="00E145BC">
            <w:pPr>
              <w:rPr>
                <w:b/>
                <w:bCs/>
              </w:rPr>
            </w:pPr>
          </w:p>
        </w:tc>
      </w:tr>
      <w:tr w:rsidRPr="00E145BC" w:rsidR="00E145BC" w:rsidTr="00E145BC">
        <w:tc>
          <w:tcPr>
            <w:tcW w:w="1956" w:type="dxa"/>
            <w:tcBorders>
              <w:top w:val="single" w:color="000000" w:sz="12" w:space="0"/>
              <w:left w:val="single" w:color="auto" w:sz="12" w:space="0"/>
            </w:tcBorders>
            <w:shd w:val="clear" w:color="auto" w:fill="auto"/>
          </w:tcPr>
          <w:p w:rsidRPr="00E145BC" w:rsidR="00E145BC" w:rsidP="00B646BC" w:rsidRDefault="00E145BC">
            <w:pPr>
              <w:rPr>
                <w:bCs/>
              </w:rPr>
            </w:pPr>
            <w:r w:rsidRPr="00E145BC">
              <w:rPr>
                <w:bCs/>
              </w:rPr>
              <w:t>Reggie Clark</w:t>
            </w:r>
          </w:p>
        </w:tc>
        <w:tc>
          <w:tcPr>
            <w:tcW w:w="2652" w:type="dxa"/>
            <w:tcBorders>
              <w:top w:val="single" w:color="000000" w:sz="12" w:space="0"/>
              <w:right w:val="single" w:color="000000" w:sz="12" w:space="0"/>
            </w:tcBorders>
            <w:shd w:val="clear" w:color="auto" w:fill="auto"/>
          </w:tcPr>
          <w:p w:rsidRPr="00E145BC" w:rsidR="00E145BC" w:rsidP="00B646BC" w:rsidRDefault="00E145BC">
            <w:r w:rsidRPr="00E145BC">
              <w:t>rmclark@fs.fed.us</w:t>
            </w:r>
          </w:p>
        </w:tc>
        <w:tc>
          <w:tcPr>
            <w:tcW w:w="1884" w:type="dxa"/>
            <w:tcBorders>
              <w:top w:val="single" w:color="000000" w:sz="12" w:space="0"/>
              <w:left w:val="single" w:color="000000" w:sz="12" w:space="0"/>
            </w:tcBorders>
            <w:shd w:val="clear" w:color="auto" w:fill="auto"/>
          </w:tcPr>
          <w:p w:rsidRPr="00E145BC" w:rsidR="00E145BC" w:rsidP="00B646BC" w:rsidRDefault="00E145BC">
            <w:r w:rsidRPr="00E145BC">
              <w:t xml:space="preserve">Bill </w:t>
            </w:r>
            <w:proofErr w:type="spellStart"/>
            <w:r w:rsidRPr="00E145BC">
              <w:t>Romme</w:t>
            </w:r>
            <w:proofErr w:type="spellEnd"/>
          </w:p>
        </w:tc>
        <w:tc>
          <w:tcPr>
            <w:tcW w:w="3084" w:type="dxa"/>
            <w:tcBorders>
              <w:top w:val="single" w:color="000000" w:sz="12" w:space="0"/>
            </w:tcBorders>
            <w:shd w:val="clear" w:color="auto" w:fill="auto"/>
          </w:tcPr>
          <w:p w:rsidRPr="00E145BC" w:rsidR="00E145BC" w:rsidP="00B646BC" w:rsidRDefault="00E145BC">
            <w:r w:rsidRPr="00E145BC">
              <w:t>romme@warnercnr.colostate.edu</w:t>
            </w:r>
          </w:p>
        </w:tc>
      </w:tr>
      <w:tr w:rsidRPr="00E145BC" w:rsidR="00E145BC" w:rsidTr="00E145BC">
        <w:tc>
          <w:tcPr>
            <w:tcW w:w="1956" w:type="dxa"/>
            <w:tcBorders>
              <w:left w:val="single" w:color="auto" w:sz="12" w:space="0"/>
            </w:tcBorders>
            <w:shd w:val="clear" w:color="auto" w:fill="auto"/>
          </w:tcPr>
          <w:p w:rsidRPr="00E145BC" w:rsidR="00E145BC" w:rsidP="00B646BC" w:rsidRDefault="00E145BC">
            <w:pPr>
              <w:rPr>
                <w:bCs/>
              </w:rPr>
            </w:pPr>
            <w:r w:rsidRPr="00E145BC">
              <w:rPr>
                <w:bCs/>
              </w:rPr>
              <w:t>Clayton Marlow</w:t>
            </w:r>
          </w:p>
        </w:tc>
        <w:tc>
          <w:tcPr>
            <w:tcW w:w="2652" w:type="dxa"/>
            <w:tcBorders>
              <w:right w:val="single" w:color="000000" w:sz="12" w:space="0"/>
            </w:tcBorders>
            <w:shd w:val="clear" w:color="auto" w:fill="auto"/>
          </w:tcPr>
          <w:p w:rsidRPr="00E145BC" w:rsidR="00E145BC" w:rsidP="00B646BC" w:rsidRDefault="00E145BC">
            <w:r w:rsidRPr="00E145BC">
              <w:t>cmarlow@montana.edu</w:t>
            </w:r>
          </w:p>
        </w:tc>
        <w:tc>
          <w:tcPr>
            <w:tcW w:w="1884" w:type="dxa"/>
            <w:tcBorders>
              <w:left w:val="single" w:color="000000" w:sz="12" w:space="0"/>
            </w:tcBorders>
            <w:shd w:val="clear" w:color="auto" w:fill="auto"/>
          </w:tcPr>
          <w:p w:rsidRPr="00E145BC" w:rsidR="00E145BC" w:rsidP="00B646BC" w:rsidRDefault="00E145BC">
            <w:r w:rsidRPr="00E145BC">
              <w:t xml:space="preserve">Jim </w:t>
            </w:r>
            <w:proofErr w:type="spellStart"/>
            <w:r w:rsidRPr="00E145BC">
              <w:t>Ozenberger</w:t>
            </w:r>
            <w:proofErr w:type="spellEnd"/>
          </w:p>
        </w:tc>
        <w:tc>
          <w:tcPr>
            <w:tcW w:w="3084" w:type="dxa"/>
            <w:shd w:val="clear" w:color="auto" w:fill="auto"/>
          </w:tcPr>
          <w:p w:rsidRPr="00E145BC" w:rsidR="00E145BC" w:rsidP="00B646BC" w:rsidRDefault="00E145BC">
            <w:r w:rsidRPr="00E145BC">
              <w:t>jozenberger@fs.fed.us</w:t>
            </w:r>
          </w:p>
        </w:tc>
      </w:tr>
      <w:tr w:rsidRPr="00E145BC" w:rsidR="00E145BC" w:rsidTr="00E145BC">
        <w:tc>
          <w:tcPr>
            <w:tcW w:w="1956" w:type="dxa"/>
            <w:tcBorders>
              <w:left w:val="single" w:color="auto" w:sz="12" w:space="0"/>
              <w:bottom w:val="single" w:color="auto" w:sz="2" w:space="0"/>
            </w:tcBorders>
            <w:shd w:val="clear" w:color="auto" w:fill="auto"/>
          </w:tcPr>
          <w:p w:rsidRPr="00E145BC" w:rsidR="00E145BC" w:rsidP="00B646BC" w:rsidRDefault="00E145BC">
            <w:pPr>
              <w:rPr>
                <w:bCs/>
              </w:rPr>
            </w:pPr>
            <w:r w:rsidRPr="00E145BC">
              <w:rPr>
                <w:bCs/>
              </w:rPr>
              <w:t>John Simons</w:t>
            </w:r>
          </w:p>
        </w:tc>
        <w:tc>
          <w:tcPr>
            <w:tcW w:w="2652" w:type="dxa"/>
            <w:tcBorders>
              <w:right w:val="single" w:color="000000" w:sz="12" w:space="0"/>
            </w:tcBorders>
            <w:shd w:val="clear" w:color="auto" w:fill="auto"/>
          </w:tcPr>
          <w:p w:rsidRPr="00E145BC" w:rsidR="00E145BC" w:rsidP="00B646BC" w:rsidRDefault="00E145BC">
            <w:r w:rsidRPr="00E145BC">
              <w:t>john_simons@blm.gov</w:t>
            </w:r>
          </w:p>
        </w:tc>
        <w:tc>
          <w:tcPr>
            <w:tcW w:w="1884" w:type="dxa"/>
            <w:tcBorders>
              <w:left w:val="single" w:color="000000" w:sz="12" w:space="0"/>
              <w:bottom w:val="single" w:color="auto" w:sz="2" w:space="0"/>
            </w:tcBorders>
            <w:shd w:val="clear" w:color="auto" w:fill="auto"/>
          </w:tcPr>
          <w:p w:rsidRPr="00E145BC" w:rsidR="00E145BC" w:rsidP="00B646BC" w:rsidRDefault="00E145BC">
            <w:r w:rsidRPr="00E145BC">
              <w:t>Andy Norman</w:t>
            </w:r>
          </w:p>
        </w:tc>
        <w:tc>
          <w:tcPr>
            <w:tcW w:w="3084" w:type="dxa"/>
            <w:shd w:val="clear" w:color="auto" w:fill="auto"/>
          </w:tcPr>
          <w:p w:rsidRPr="00E145BC" w:rsidR="00E145BC" w:rsidP="00B646BC" w:rsidRDefault="00E145BC">
            <w:r w:rsidRPr="00E145BC">
              <w:t>anorman@fs.fed.us</w:t>
            </w:r>
          </w:p>
        </w:tc>
      </w:tr>
    </w:tbl>
    <w:p w:rsidR="00E145BC" w:rsidP="00E145BC" w:rsidRDefault="00E145BC"/>
    <w:p w:rsidR="00E145BC" w:rsidP="00E145BC" w:rsidRDefault="00E145BC">
      <w:pPr>
        <w:pStyle w:val="InfoPara"/>
      </w:pPr>
      <w:r>
        <w:t>Vegetation Type</w:t>
      </w:r>
    </w:p>
    <w:p w:rsidR="00E145BC" w:rsidP="00E145BC" w:rsidRDefault="00E145BC">
      <w:bookmarkStart w:name="_GoBack" w:id="0"/>
      <w:bookmarkEnd w:id="0"/>
      <w:r>
        <w:t>Herbaceous</w:t>
      </w:r>
    </w:p>
    <w:p w:rsidR="00E145BC" w:rsidP="00E145BC" w:rsidRDefault="00E145BC">
      <w:pPr>
        <w:pStyle w:val="InfoPara"/>
      </w:pPr>
      <w:r>
        <w:t>Map Zones</w:t>
      </w:r>
    </w:p>
    <w:p w:rsidR="00E145BC" w:rsidP="00E145BC" w:rsidRDefault="00E145BC">
      <w:r>
        <w:t>21</w:t>
      </w:r>
    </w:p>
    <w:p w:rsidR="00E145BC" w:rsidP="00E145BC" w:rsidRDefault="00E145BC">
      <w:pPr>
        <w:pStyle w:val="InfoPara"/>
      </w:pPr>
      <w:r>
        <w:t>Geographic Range</w:t>
      </w:r>
    </w:p>
    <w:p w:rsidR="00E145BC" w:rsidP="00E145BC" w:rsidRDefault="00E145BC">
      <w:r>
        <w:t>Southern MT, northwestern WY and eastern ID.</w:t>
      </w:r>
    </w:p>
    <w:p w:rsidR="00E145BC" w:rsidP="00E145BC" w:rsidRDefault="00E145BC">
      <w:pPr>
        <w:pStyle w:val="InfoPara"/>
      </w:pPr>
      <w:r>
        <w:t>Biophysical Site Description</w:t>
      </w:r>
    </w:p>
    <w:p w:rsidR="00E145BC" w:rsidP="00E145BC" w:rsidRDefault="00E145BC">
      <w:r>
        <w:t>This is a high-elevation (&gt;6</w:t>
      </w:r>
      <w:r w:rsidR="004619D0">
        <w:t>,</w:t>
      </w:r>
      <w:r>
        <w:t>000ft), dry grass-forb system dominated by perennial grasses and forbs, on dry sites particularly south-facing slopes. Subalpine grasslands are small meadows to large open parks surrounded by conifer trees but lack tree cover within them. In general soil textures are much finer, and soils are often deeper under grasslands than in the neighboring forests. Larger sites are often wind-swept, resulting in lack of snowpack and summer drought, but smaller ones can have deeper snowpack and more forbs.</w:t>
      </w:r>
    </w:p>
    <w:p w:rsidR="00E145BC" w:rsidP="00E145BC" w:rsidRDefault="00E145BC"/>
    <w:p w:rsidR="00E145BC" w:rsidP="00E145BC" w:rsidRDefault="00E145BC">
      <w:r>
        <w:t xml:space="preserve">This is also more of a mid-to-high elevation, rather than high elevation type. Coarse soils should also be included. The mesic meadow </w:t>
      </w:r>
      <w:proofErr w:type="spellStart"/>
      <w:r>
        <w:t>BpS</w:t>
      </w:r>
      <w:proofErr w:type="spellEnd"/>
      <w:r>
        <w:t xml:space="preserve"> will encompass finer soils.</w:t>
      </w:r>
    </w:p>
    <w:p w:rsidR="00E145BC" w:rsidP="00E145BC" w:rsidRDefault="00E145BC">
      <w:pPr>
        <w:pStyle w:val="InfoPara"/>
      </w:pPr>
      <w:r>
        <w:t>Vegetation Description</w:t>
      </w:r>
    </w:p>
    <w:p w:rsidR="00E145BC" w:rsidP="00E145BC" w:rsidRDefault="00E145BC">
      <w:r>
        <w:t xml:space="preserve">Typical dominant species include </w:t>
      </w:r>
      <w:proofErr w:type="spellStart"/>
      <w:r w:rsidRPr="001A57E8">
        <w:rPr>
          <w:i/>
        </w:rPr>
        <w:t>Festuca</w:t>
      </w:r>
      <w:proofErr w:type="spellEnd"/>
      <w:r w:rsidRPr="001A57E8">
        <w:rPr>
          <w:i/>
        </w:rPr>
        <w:t xml:space="preserve"> </w:t>
      </w:r>
      <w:proofErr w:type="spellStart"/>
      <w:r w:rsidRPr="001A57E8">
        <w:rPr>
          <w:i/>
        </w:rPr>
        <w:t>idahoensis</w:t>
      </w:r>
      <w:proofErr w:type="spellEnd"/>
      <w:r>
        <w:t xml:space="preserve">, </w:t>
      </w:r>
      <w:r w:rsidRPr="001A57E8">
        <w:rPr>
          <w:i/>
        </w:rPr>
        <w:t>Aster</w:t>
      </w:r>
      <w:r>
        <w:t xml:space="preserve"> spp</w:t>
      </w:r>
      <w:r w:rsidR="001A57E8">
        <w:t>.</w:t>
      </w:r>
      <w:r>
        <w:t xml:space="preserve">, </w:t>
      </w:r>
      <w:proofErr w:type="spellStart"/>
      <w:r w:rsidRPr="001A57E8">
        <w:rPr>
          <w:i/>
        </w:rPr>
        <w:t>Eriogonum</w:t>
      </w:r>
      <w:proofErr w:type="spellEnd"/>
      <w:r>
        <w:t xml:space="preserve"> spp</w:t>
      </w:r>
      <w:r w:rsidR="001A57E8">
        <w:t>.</w:t>
      </w:r>
      <w:r>
        <w:t xml:space="preserve">, </w:t>
      </w:r>
      <w:proofErr w:type="spellStart"/>
      <w:r w:rsidRPr="001A57E8">
        <w:rPr>
          <w:i/>
        </w:rPr>
        <w:t>Lupinus</w:t>
      </w:r>
      <w:proofErr w:type="spellEnd"/>
      <w:r>
        <w:t xml:space="preserve"> spp</w:t>
      </w:r>
      <w:r w:rsidR="001A57E8">
        <w:t>.</w:t>
      </w:r>
      <w:r>
        <w:t xml:space="preserve">, </w:t>
      </w:r>
      <w:proofErr w:type="spellStart"/>
      <w:r w:rsidRPr="001A57E8">
        <w:rPr>
          <w:i/>
        </w:rPr>
        <w:t>Carex</w:t>
      </w:r>
      <w:proofErr w:type="spellEnd"/>
      <w:r>
        <w:t xml:space="preserve"> spp</w:t>
      </w:r>
      <w:r w:rsidR="001A57E8">
        <w:t>.</w:t>
      </w:r>
      <w:r>
        <w:t xml:space="preserve">, </w:t>
      </w:r>
      <w:proofErr w:type="spellStart"/>
      <w:r w:rsidRPr="001A57E8">
        <w:rPr>
          <w:i/>
        </w:rPr>
        <w:t>Phleum</w:t>
      </w:r>
      <w:proofErr w:type="spellEnd"/>
      <w:r w:rsidRPr="001A57E8">
        <w:rPr>
          <w:i/>
        </w:rPr>
        <w:t xml:space="preserve"> </w:t>
      </w:r>
      <w:proofErr w:type="spellStart"/>
      <w:r w:rsidRPr="001A57E8">
        <w:rPr>
          <w:i/>
        </w:rPr>
        <w:t>alpinum</w:t>
      </w:r>
      <w:proofErr w:type="spellEnd"/>
      <w:r>
        <w:t xml:space="preserve">, </w:t>
      </w:r>
      <w:proofErr w:type="spellStart"/>
      <w:r w:rsidRPr="001A57E8">
        <w:rPr>
          <w:i/>
        </w:rPr>
        <w:t>Bromus</w:t>
      </w:r>
      <w:proofErr w:type="spellEnd"/>
      <w:r w:rsidRPr="001A57E8">
        <w:rPr>
          <w:i/>
        </w:rPr>
        <w:t xml:space="preserve"> </w:t>
      </w:r>
      <w:proofErr w:type="spellStart"/>
      <w:r w:rsidRPr="001A57E8">
        <w:rPr>
          <w:i/>
        </w:rPr>
        <w:t>marginatus</w:t>
      </w:r>
      <w:proofErr w:type="spellEnd"/>
      <w:r>
        <w:t xml:space="preserve">, </w:t>
      </w:r>
      <w:proofErr w:type="spellStart"/>
      <w:r w:rsidRPr="001A57E8">
        <w:rPr>
          <w:i/>
        </w:rPr>
        <w:t>Danthonia</w:t>
      </w:r>
      <w:proofErr w:type="spellEnd"/>
      <w:r>
        <w:t xml:space="preserve"> spp</w:t>
      </w:r>
      <w:r w:rsidR="001A57E8">
        <w:t>.</w:t>
      </w:r>
      <w:r>
        <w:t xml:space="preserve">, </w:t>
      </w:r>
      <w:r w:rsidRPr="001A57E8">
        <w:rPr>
          <w:i/>
        </w:rPr>
        <w:t>Geranium</w:t>
      </w:r>
      <w:r>
        <w:t xml:space="preserve"> spp</w:t>
      </w:r>
      <w:r w:rsidR="001A57E8">
        <w:t>.</w:t>
      </w:r>
      <w:r>
        <w:t xml:space="preserve">, </w:t>
      </w:r>
      <w:proofErr w:type="spellStart"/>
      <w:r w:rsidRPr="001A57E8">
        <w:rPr>
          <w:i/>
        </w:rPr>
        <w:t>Potentilla</w:t>
      </w:r>
      <w:proofErr w:type="spellEnd"/>
      <w:r>
        <w:t xml:space="preserve"> spp</w:t>
      </w:r>
      <w:r w:rsidR="001A57E8">
        <w:t>.</w:t>
      </w:r>
      <w:r>
        <w:t xml:space="preserve">, </w:t>
      </w:r>
      <w:proofErr w:type="spellStart"/>
      <w:r w:rsidRPr="001A57E8">
        <w:rPr>
          <w:i/>
        </w:rPr>
        <w:t>Pseudoroegneria</w:t>
      </w:r>
      <w:proofErr w:type="spellEnd"/>
      <w:r w:rsidRPr="001A57E8">
        <w:rPr>
          <w:i/>
        </w:rPr>
        <w:t xml:space="preserve"> </w:t>
      </w:r>
      <w:proofErr w:type="spellStart"/>
      <w:r w:rsidRPr="001A57E8">
        <w:rPr>
          <w:i/>
        </w:rPr>
        <w:t>spicata</w:t>
      </w:r>
      <w:proofErr w:type="spellEnd"/>
      <w:r>
        <w:t xml:space="preserve">, </w:t>
      </w:r>
      <w:proofErr w:type="spellStart"/>
      <w:r w:rsidRPr="001A57E8">
        <w:rPr>
          <w:i/>
        </w:rPr>
        <w:t>Balsamorhiza</w:t>
      </w:r>
      <w:proofErr w:type="spellEnd"/>
      <w:r w:rsidRPr="001A57E8">
        <w:rPr>
          <w:i/>
        </w:rPr>
        <w:t xml:space="preserve"> </w:t>
      </w:r>
      <w:proofErr w:type="spellStart"/>
      <w:r w:rsidRPr="001A57E8">
        <w:rPr>
          <w:i/>
        </w:rPr>
        <w:t>sagittata</w:t>
      </w:r>
      <w:proofErr w:type="spellEnd"/>
      <w:r>
        <w:t xml:space="preserve">, </w:t>
      </w:r>
      <w:proofErr w:type="spellStart"/>
      <w:r w:rsidRPr="001A57E8">
        <w:rPr>
          <w:i/>
        </w:rPr>
        <w:t>Helianthella</w:t>
      </w:r>
      <w:proofErr w:type="spellEnd"/>
      <w:r w:rsidRPr="001A57E8">
        <w:rPr>
          <w:i/>
        </w:rPr>
        <w:t xml:space="preserve"> </w:t>
      </w:r>
      <w:proofErr w:type="spellStart"/>
      <w:r w:rsidRPr="001A57E8">
        <w:rPr>
          <w:i/>
        </w:rPr>
        <w:t>uniflora</w:t>
      </w:r>
      <w:proofErr w:type="spellEnd"/>
      <w:r>
        <w:t xml:space="preserve">, </w:t>
      </w:r>
      <w:proofErr w:type="spellStart"/>
      <w:r w:rsidRPr="001A57E8">
        <w:rPr>
          <w:i/>
        </w:rPr>
        <w:t>Hesperochloe</w:t>
      </w:r>
      <w:proofErr w:type="spellEnd"/>
      <w:r w:rsidRPr="001A57E8">
        <w:rPr>
          <w:i/>
        </w:rPr>
        <w:t xml:space="preserve"> </w:t>
      </w:r>
      <w:proofErr w:type="spellStart"/>
      <w:r w:rsidRPr="001A57E8">
        <w:rPr>
          <w:i/>
        </w:rPr>
        <w:t>kineii</w:t>
      </w:r>
      <w:proofErr w:type="spellEnd"/>
      <w:r>
        <w:t xml:space="preserve">, </w:t>
      </w:r>
      <w:proofErr w:type="spellStart"/>
      <w:r w:rsidRPr="001A57E8">
        <w:rPr>
          <w:i/>
        </w:rPr>
        <w:t>Antennaria</w:t>
      </w:r>
      <w:proofErr w:type="spellEnd"/>
      <w:r>
        <w:t xml:space="preserve"> spp</w:t>
      </w:r>
      <w:r w:rsidR="001A57E8">
        <w:t>.</w:t>
      </w:r>
      <w:r>
        <w:t xml:space="preserve">, </w:t>
      </w:r>
      <w:proofErr w:type="spellStart"/>
      <w:r w:rsidRPr="001A57E8">
        <w:rPr>
          <w:i/>
        </w:rPr>
        <w:t>Poa</w:t>
      </w:r>
      <w:proofErr w:type="spellEnd"/>
      <w:r w:rsidRPr="001A57E8">
        <w:rPr>
          <w:i/>
        </w:rPr>
        <w:t xml:space="preserve"> </w:t>
      </w:r>
      <w:proofErr w:type="spellStart"/>
      <w:r w:rsidRPr="001A57E8">
        <w:rPr>
          <w:i/>
        </w:rPr>
        <w:t>secunda</w:t>
      </w:r>
      <w:proofErr w:type="spellEnd"/>
      <w:r>
        <w:t xml:space="preserve">, </w:t>
      </w:r>
      <w:proofErr w:type="spellStart"/>
      <w:r w:rsidRPr="001A57E8">
        <w:rPr>
          <w:i/>
        </w:rPr>
        <w:t>Elymus</w:t>
      </w:r>
      <w:proofErr w:type="spellEnd"/>
      <w:r w:rsidRPr="001A57E8">
        <w:rPr>
          <w:i/>
        </w:rPr>
        <w:t xml:space="preserve"> </w:t>
      </w:r>
      <w:proofErr w:type="spellStart"/>
      <w:r w:rsidRPr="001A57E8">
        <w:rPr>
          <w:i/>
        </w:rPr>
        <w:t>trachycaulus</w:t>
      </w:r>
      <w:proofErr w:type="spellEnd"/>
      <w:r>
        <w:t xml:space="preserve">, </w:t>
      </w:r>
      <w:proofErr w:type="spellStart"/>
      <w:r w:rsidRPr="001A57E8">
        <w:rPr>
          <w:i/>
        </w:rPr>
        <w:t>Elymus</w:t>
      </w:r>
      <w:proofErr w:type="spellEnd"/>
      <w:r w:rsidRPr="001A57E8">
        <w:rPr>
          <w:i/>
        </w:rPr>
        <w:t xml:space="preserve"> </w:t>
      </w:r>
      <w:proofErr w:type="spellStart"/>
      <w:r w:rsidRPr="001A57E8">
        <w:rPr>
          <w:i/>
        </w:rPr>
        <w:t>lanceolatus</w:t>
      </w:r>
      <w:proofErr w:type="spellEnd"/>
      <w:r>
        <w:t xml:space="preserve">, </w:t>
      </w:r>
      <w:proofErr w:type="spellStart"/>
      <w:r w:rsidRPr="001A57E8">
        <w:rPr>
          <w:i/>
        </w:rPr>
        <w:t>Agastache</w:t>
      </w:r>
      <w:proofErr w:type="spellEnd"/>
      <w:r w:rsidRPr="001A57E8">
        <w:rPr>
          <w:i/>
        </w:rPr>
        <w:t xml:space="preserve"> </w:t>
      </w:r>
      <w:proofErr w:type="spellStart"/>
      <w:r w:rsidRPr="001A57E8">
        <w:rPr>
          <w:i/>
        </w:rPr>
        <w:t>urticifolia</w:t>
      </w:r>
      <w:proofErr w:type="spellEnd"/>
      <w:r>
        <w:t xml:space="preserve">, </w:t>
      </w:r>
      <w:proofErr w:type="spellStart"/>
      <w:r w:rsidRPr="001A57E8">
        <w:rPr>
          <w:i/>
        </w:rPr>
        <w:t>Wyethia</w:t>
      </w:r>
      <w:proofErr w:type="spellEnd"/>
      <w:r w:rsidRPr="001A57E8">
        <w:rPr>
          <w:i/>
        </w:rPr>
        <w:t xml:space="preserve"> </w:t>
      </w:r>
      <w:proofErr w:type="spellStart"/>
      <w:r w:rsidRPr="001A57E8">
        <w:rPr>
          <w:i/>
        </w:rPr>
        <w:t>amplexicaulis</w:t>
      </w:r>
      <w:proofErr w:type="spellEnd"/>
      <w:r>
        <w:t xml:space="preserve">, </w:t>
      </w:r>
      <w:proofErr w:type="spellStart"/>
      <w:r w:rsidRPr="001A57E8">
        <w:rPr>
          <w:i/>
        </w:rPr>
        <w:t>Pedicularis</w:t>
      </w:r>
      <w:proofErr w:type="spellEnd"/>
      <w:r>
        <w:t xml:space="preserve"> spp</w:t>
      </w:r>
      <w:r w:rsidR="001A57E8">
        <w:t>.,</w:t>
      </w:r>
      <w:r>
        <w:t xml:space="preserve"> and </w:t>
      </w:r>
      <w:proofErr w:type="spellStart"/>
      <w:r w:rsidRPr="001A57E8">
        <w:rPr>
          <w:i/>
        </w:rPr>
        <w:t>Melica</w:t>
      </w:r>
      <w:proofErr w:type="spellEnd"/>
      <w:r w:rsidRPr="001A57E8">
        <w:rPr>
          <w:i/>
        </w:rPr>
        <w:t xml:space="preserve"> </w:t>
      </w:r>
      <w:proofErr w:type="spellStart"/>
      <w:r w:rsidRPr="001A57E8">
        <w:rPr>
          <w:i/>
        </w:rPr>
        <w:t>spectabilis</w:t>
      </w:r>
      <w:proofErr w:type="spellEnd"/>
      <w:r>
        <w:t xml:space="preserve">. </w:t>
      </w:r>
    </w:p>
    <w:p w:rsidR="00E145BC" w:rsidP="00E145BC" w:rsidRDefault="00E145BC"/>
    <w:p w:rsidR="00E145BC" w:rsidP="00E145BC" w:rsidRDefault="00E145BC">
      <w:r>
        <w:t xml:space="preserve">In this environment (and </w:t>
      </w:r>
      <w:proofErr w:type="gramStart"/>
      <w:r>
        <w:t>a number of</w:t>
      </w:r>
      <w:proofErr w:type="gramEnd"/>
      <w:r>
        <w:t xml:space="preserve">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E145BC" w:rsidP="00E145BC" w:rsidRDefault="00E145BC">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ASTER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BROMU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DANTH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Oatgrass</w:t>
            </w:r>
          </w:p>
        </w:tc>
      </w:tr>
    </w:tbl>
    <w:p>
      <w:r>
        <w:rPr>
          <w:sz w:val="16"/>
        </w:rPr>
        <w:t>Species names are from the NRCS PLANTS database. Check species codes at http://plants.usda.gov.</w:t>
      </w:r>
    </w:p>
    <w:p w:rsidR="00E145BC" w:rsidP="00E145BC" w:rsidRDefault="00E145BC">
      <w:pPr>
        <w:pStyle w:val="InfoPara"/>
      </w:pPr>
      <w:r>
        <w:t>Disturbance Description</w:t>
      </w:r>
    </w:p>
    <w:p w:rsidR="00E145BC" w:rsidP="00E145BC" w:rsidRDefault="00E145BC">
      <w:r>
        <w:t xml:space="preserve">Fire regimes are probably </w:t>
      </w:r>
      <w:proofErr w:type="gramStart"/>
      <w:r>
        <w:t>similar to</w:t>
      </w:r>
      <w:proofErr w:type="gramEnd"/>
      <w:r>
        <w:t xml:space="preserve"> adjacent forested vegetation, and will generally be long interval, stand replacement</w:t>
      </w:r>
      <w:r w:rsidR="004619D0">
        <w:t xml:space="preserve"> regimes</w:t>
      </w:r>
      <w:r>
        <w:t>. Fires may finger into this system from adjacent forests. Conifer encroachment is not common due to the disturbance by pocket gophers and competition with grasses.</w:t>
      </w:r>
    </w:p>
    <w:p w:rsidR="00E145BC" w:rsidP="00E145BC" w:rsidRDefault="00E145BC"/>
    <w:p w:rsidR="00E145BC" w:rsidP="00E145BC" w:rsidRDefault="00E145BC">
      <w:r>
        <w:t>It is debatable as to whether fire is needed at moderately high frequencies to keep sagebrush out of these grassland systems, or whether sagebrush is invading in current times due to overgrazing and/or climate change.</w:t>
      </w:r>
    </w:p>
    <w:p w:rsidR="00E145BC" w:rsidP="00E145BC" w:rsidRDefault="004619D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205</w:t>
            </w:r>
          </w:p>
        </w:tc>
        <w:tc>
          <w:p>
            <w:pPr>
              <w:jc w:val="center"/>
            </w:pPr>
            <w:r>
              <w:t>100</w:t>
            </w:r>
          </w:p>
        </w:tc>
        <w:tc>
          <w:p>
            <w:pPr>
              <w:jc w:val="center"/>
            </w:pPr>
            <w:r>
              <w:t>100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45BC" w:rsidP="00E145BC" w:rsidRDefault="00E145BC">
      <w:pPr>
        <w:pStyle w:val="InfoPara"/>
      </w:pPr>
      <w:r>
        <w:t>Scale Description</w:t>
      </w:r>
    </w:p>
    <w:p w:rsidR="00E145BC" w:rsidP="00E145BC" w:rsidRDefault="00E145BC">
      <w:r>
        <w:t>Patches are typically tens to hundreds of acres.</w:t>
      </w:r>
    </w:p>
    <w:p w:rsidR="00E145BC" w:rsidP="00E145BC" w:rsidRDefault="00E145BC">
      <w:pPr>
        <w:pStyle w:val="InfoPara"/>
      </w:pPr>
      <w:r>
        <w:t>Adjacency or Identification Concerns</w:t>
      </w:r>
    </w:p>
    <w:p w:rsidR="00E145BC" w:rsidP="00E145BC" w:rsidRDefault="00E145BC">
      <w:r>
        <w:t>Historical sheep grazing may have occurred in these systems. The cumulative effects are unknown.</w:t>
      </w:r>
    </w:p>
    <w:p w:rsidR="00E145BC" w:rsidP="00E145BC" w:rsidRDefault="00E145BC"/>
    <w:p w:rsidR="00E145BC" w:rsidP="00E145BC" w:rsidRDefault="00E145BC">
      <w:r>
        <w:t>Some grassland systems are invaded by sagebrush today in larger quantities. Pre-European settlement they would have been grassland systems, whereas today they might be confused for some big sagebrush systems.</w:t>
      </w:r>
    </w:p>
    <w:p w:rsidR="00E145BC" w:rsidP="00E145BC" w:rsidRDefault="00E145BC">
      <w:pPr>
        <w:pStyle w:val="InfoPara"/>
      </w:pPr>
      <w:r>
        <w:t>Issues or Problems</w:t>
      </w:r>
    </w:p>
    <w:p w:rsidR="00E145BC" w:rsidP="00E145BC" w:rsidRDefault="00E145BC"/>
    <w:p w:rsidR="00E145BC" w:rsidP="00E145BC" w:rsidRDefault="00E145BC">
      <w:pPr>
        <w:pStyle w:val="InfoPara"/>
      </w:pPr>
      <w:r>
        <w:t>Native Uncharacteristic Conditions</w:t>
      </w:r>
    </w:p>
    <w:p w:rsidR="00E145BC" w:rsidP="00E145BC" w:rsidRDefault="00E145BC"/>
    <w:p w:rsidR="00E145BC" w:rsidP="00E145BC" w:rsidRDefault="00E145BC">
      <w:pPr>
        <w:pStyle w:val="InfoPara"/>
      </w:pPr>
      <w:r>
        <w:t>Comments</w:t>
      </w:r>
    </w:p>
    <w:p w:rsidR="00E145BC" w:rsidP="00E145BC" w:rsidRDefault="00E145BC">
      <w:r>
        <w:t xml:space="preserve">For MZ21, additional modelers include Tim </w:t>
      </w:r>
      <w:proofErr w:type="spellStart"/>
      <w:r>
        <w:t>Klukas</w:t>
      </w:r>
      <w:proofErr w:type="spellEnd"/>
      <w:r>
        <w:t xml:space="preserve"> and an anonymous contributor. Additional reviewers for MZ21 included Rod </w:t>
      </w:r>
      <w:proofErr w:type="spellStart"/>
      <w:r>
        <w:t>Dykehouse</w:t>
      </w:r>
      <w:proofErr w:type="spellEnd"/>
      <w:r>
        <w:t xml:space="preserve">, Sarah </w:t>
      </w:r>
      <w:proofErr w:type="spellStart"/>
      <w:r>
        <w:t>Canham</w:t>
      </w:r>
      <w:proofErr w:type="spellEnd"/>
      <w:r>
        <w:t xml:space="preserve">, Brenda </w:t>
      </w:r>
      <w:proofErr w:type="spellStart"/>
      <w:r>
        <w:t>Fiddick</w:t>
      </w:r>
      <w:proofErr w:type="spellEnd"/>
      <w:r>
        <w:t>, and Dave Tart.</w:t>
      </w:r>
    </w:p>
    <w:p w:rsidR="00C401EC" w:rsidP="00C401EC" w:rsidRDefault="00C401EC">
      <w:pPr>
        <w:rPr>
          <w:b/>
        </w:rPr>
      </w:pPr>
    </w:p>
    <w:p w:rsidR="00E145BC" w:rsidP="00E145BC" w:rsidRDefault="00E145BC">
      <w:pPr>
        <w:pStyle w:val="ReportSection"/>
      </w:pPr>
      <w:r>
        <w:t>Succession Classes</w:t>
      </w:r>
    </w:p>
    <w:p w:rsidR="00E145BC" w:rsidP="00E145BC" w:rsidRDefault="00E145B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45BC" w:rsidP="00E145BC" w:rsidRDefault="00E145BC">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E145BC" w:rsidP="00E145BC" w:rsidRDefault="00E145BC"/>
    <w:p w:rsidR="00E145BC" w:rsidP="00E145BC" w:rsidRDefault="00E145B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E145BC" w:rsidR="00E145BC" w:rsidTr="00E145BC">
        <w:tc>
          <w:tcPr>
            <w:tcW w:w="1104" w:type="dxa"/>
            <w:tcBorders>
              <w:top w:val="single" w:color="auto" w:sz="2" w:space="0"/>
              <w:bottom w:val="single" w:color="000000" w:sz="12" w:space="0"/>
            </w:tcBorders>
            <w:shd w:val="clear" w:color="auto" w:fill="auto"/>
          </w:tcPr>
          <w:p w:rsidRPr="00E145BC" w:rsidR="00E145BC" w:rsidP="002B2D98" w:rsidRDefault="00E145BC">
            <w:pPr>
              <w:rPr>
                <w:b/>
                <w:bCs/>
              </w:rPr>
            </w:pPr>
            <w:r w:rsidRPr="00E145BC">
              <w:rPr>
                <w:b/>
                <w:bCs/>
              </w:rPr>
              <w:t>Symbol</w:t>
            </w:r>
          </w:p>
        </w:tc>
        <w:tc>
          <w:tcPr>
            <w:tcW w:w="2916" w:type="dxa"/>
            <w:tcBorders>
              <w:top w:val="single" w:color="auto" w:sz="2" w:space="0"/>
              <w:bottom w:val="single" w:color="000000" w:sz="12" w:space="0"/>
            </w:tcBorders>
            <w:shd w:val="clear" w:color="auto" w:fill="auto"/>
          </w:tcPr>
          <w:p w:rsidRPr="00E145BC" w:rsidR="00E145BC" w:rsidP="002B2D98" w:rsidRDefault="00E145BC">
            <w:pPr>
              <w:rPr>
                <w:b/>
                <w:bCs/>
              </w:rPr>
            </w:pPr>
            <w:r w:rsidRPr="00E145BC">
              <w:rPr>
                <w:b/>
                <w:bCs/>
              </w:rPr>
              <w:t>Scientific Name</w:t>
            </w:r>
          </w:p>
        </w:tc>
        <w:tc>
          <w:tcPr>
            <w:tcW w:w="2916" w:type="dxa"/>
            <w:tcBorders>
              <w:top w:val="single" w:color="auto" w:sz="2" w:space="0"/>
              <w:bottom w:val="single" w:color="000000" w:sz="12" w:space="0"/>
            </w:tcBorders>
            <w:shd w:val="clear" w:color="auto" w:fill="auto"/>
          </w:tcPr>
          <w:p w:rsidRPr="00E145BC" w:rsidR="00E145BC" w:rsidP="002B2D98" w:rsidRDefault="00E145BC">
            <w:pPr>
              <w:rPr>
                <w:b/>
                <w:bCs/>
              </w:rPr>
            </w:pPr>
            <w:r w:rsidRPr="00E145BC">
              <w:rPr>
                <w:b/>
                <w:bCs/>
              </w:rPr>
              <w:t>Common Name</w:t>
            </w:r>
          </w:p>
        </w:tc>
        <w:tc>
          <w:tcPr>
            <w:tcW w:w="1956" w:type="dxa"/>
            <w:tcBorders>
              <w:top w:val="single" w:color="auto" w:sz="2" w:space="0"/>
              <w:bottom w:val="single" w:color="000000" w:sz="12" w:space="0"/>
            </w:tcBorders>
            <w:shd w:val="clear" w:color="auto" w:fill="auto"/>
          </w:tcPr>
          <w:p w:rsidRPr="00E145BC" w:rsidR="00E145BC" w:rsidP="002B2D98" w:rsidRDefault="00E145BC">
            <w:pPr>
              <w:rPr>
                <w:b/>
                <w:bCs/>
              </w:rPr>
            </w:pPr>
            <w:r w:rsidRPr="00E145BC">
              <w:rPr>
                <w:b/>
                <w:bCs/>
              </w:rPr>
              <w:t>Canopy Position</w:t>
            </w:r>
          </w:p>
        </w:tc>
      </w:tr>
      <w:tr w:rsidRPr="00E145BC" w:rsidR="00E145BC" w:rsidTr="00E145BC">
        <w:tc>
          <w:tcPr>
            <w:tcW w:w="1104" w:type="dxa"/>
            <w:tcBorders>
              <w:top w:val="single" w:color="000000" w:sz="12" w:space="0"/>
            </w:tcBorders>
            <w:shd w:val="clear" w:color="auto" w:fill="auto"/>
          </w:tcPr>
          <w:p w:rsidRPr="00E145BC" w:rsidR="00E145BC" w:rsidP="002B2D98" w:rsidRDefault="00E145BC">
            <w:pPr>
              <w:rPr>
                <w:bCs/>
              </w:rPr>
            </w:pPr>
            <w:r w:rsidRPr="00E145BC">
              <w:rPr>
                <w:bCs/>
              </w:rPr>
              <w:t>FORBS</w:t>
            </w:r>
          </w:p>
        </w:tc>
        <w:tc>
          <w:tcPr>
            <w:tcW w:w="2916" w:type="dxa"/>
            <w:tcBorders>
              <w:top w:val="single" w:color="000000" w:sz="12" w:space="0"/>
            </w:tcBorders>
            <w:shd w:val="clear" w:color="auto" w:fill="auto"/>
          </w:tcPr>
          <w:p w:rsidRPr="00E145BC" w:rsidR="00E145BC" w:rsidP="002B2D98" w:rsidRDefault="00E145BC">
            <w:r w:rsidRPr="00E145BC">
              <w:t>&lt;NOT FOUND IN NRCS&gt;</w:t>
            </w:r>
          </w:p>
        </w:tc>
        <w:tc>
          <w:tcPr>
            <w:tcW w:w="2916" w:type="dxa"/>
            <w:tcBorders>
              <w:top w:val="single" w:color="000000" w:sz="12" w:space="0"/>
            </w:tcBorders>
            <w:shd w:val="clear" w:color="auto" w:fill="auto"/>
          </w:tcPr>
          <w:p w:rsidRPr="00E145BC" w:rsidR="00E145BC" w:rsidP="002B2D98" w:rsidRDefault="00E145BC">
            <w:r w:rsidRPr="00E145BC">
              <w:t>&lt;NOT FOUND IN NRCS&gt;</w:t>
            </w:r>
          </w:p>
        </w:tc>
        <w:tc>
          <w:tcPr>
            <w:tcW w:w="1956" w:type="dxa"/>
            <w:tcBorders>
              <w:top w:val="single" w:color="000000" w:sz="12" w:space="0"/>
            </w:tcBorders>
            <w:shd w:val="clear" w:color="auto" w:fill="auto"/>
          </w:tcPr>
          <w:p w:rsidRPr="00E145BC" w:rsidR="00E145BC" w:rsidP="002B2D98" w:rsidRDefault="00E145BC">
            <w:r w:rsidRPr="00E145BC">
              <w:t>Upper</w:t>
            </w:r>
          </w:p>
        </w:tc>
      </w:tr>
      <w:tr w:rsidRPr="00E145BC" w:rsidR="00E145BC" w:rsidTr="00E145BC">
        <w:tc>
          <w:tcPr>
            <w:tcW w:w="1104" w:type="dxa"/>
            <w:shd w:val="clear" w:color="auto" w:fill="auto"/>
          </w:tcPr>
          <w:p w:rsidRPr="00E145BC" w:rsidR="00E145BC" w:rsidP="002B2D98" w:rsidRDefault="00E145BC">
            <w:pPr>
              <w:rPr>
                <w:bCs/>
              </w:rPr>
            </w:pPr>
            <w:r w:rsidRPr="00E145BC">
              <w:rPr>
                <w:bCs/>
              </w:rPr>
              <w:t>FEID</w:t>
            </w:r>
          </w:p>
        </w:tc>
        <w:tc>
          <w:tcPr>
            <w:tcW w:w="2916" w:type="dxa"/>
            <w:shd w:val="clear" w:color="auto" w:fill="auto"/>
          </w:tcPr>
          <w:p w:rsidRPr="00E145BC" w:rsidR="00E145BC" w:rsidP="002B2D98" w:rsidRDefault="00E145BC">
            <w:proofErr w:type="spellStart"/>
            <w:r w:rsidRPr="00E145BC">
              <w:t>Festuca</w:t>
            </w:r>
            <w:proofErr w:type="spellEnd"/>
            <w:r w:rsidRPr="00E145BC">
              <w:t xml:space="preserve"> </w:t>
            </w:r>
            <w:proofErr w:type="spellStart"/>
            <w:r w:rsidRPr="00E145BC">
              <w:t>idahoensis</w:t>
            </w:r>
            <w:proofErr w:type="spellEnd"/>
          </w:p>
        </w:tc>
        <w:tc>
          <w:tcPr>
            <w:tcW w:w="2916" w:type="dxa"/>
            <w:shd w:val="clear" w:color="auto" w:fill="auto"/>
          </w:tcPr>
          <w:p w:rsidRPr="00E145BC" w:rsidR="00E145BC" w:rsidP="002B2D98" w:rsidRDefault="00E145BC">
            <w:r w:rsidRPr="00E145BC">
              <w:t>Idaho fescue</w:t>
            </w:r>
          </w:p>
        </w:tc>
        <w:tc>
          <w:tcPr>
            <w:tcW w:w="1956" w:type="dxa"/>
            <w:shd w:val="clear" w:color="auto" w:fill="auto"/>
          </w:tcPr>
          <w:p w:rsidRPr="00E145BC" w:rsidR="00E145BC" w:rsidP="002B2D98" w:rsidRDefault="00E145BC">
            <w:r w:rsidRPr="00E145BC">
              <w:t>Upper</w:t>
            </w:r>
          </w:p>
        </w:tc>
      </w:tr>
      <w:tr w:rsidRPr="00E145BC" w:rsidR="00E145BC" w:rsidTr="00E145BC">
        <w:tc>
          <w:tcPr>
            <w:tcW w:w="1104" w:type="dxa"/>
            <w:shd w:val="clear" w:color="auto" w:fill="auto"/>
          </w:tcPr>
          <w:p w:rsidRPr="00E145BC" w:rsidR="00E145BC" w:rsidP="002B2D98" w:rsidRDefault="00E145BC">
            <w:pPr>
              <w:rPr>
                <w:bCs/>
              </w:rPr>
            </w:pPr>
            <w:r w:rsidRPr="00E145BC">
              <w:rPr>
                <w:bCs/>
              </w:rPr>
              <w:t>PSSP6</w:t>
            </w:r>
          </w:p>
        </w:tc>
        <w:tc>
          <w:tcPr>
            <w:tcW w:w="2916" w:type="dxa"/>
            <w:shd w:val="clear" w:color="auto" w:fill="auto"/>
          </w:tcPr>
          <w:p w:rsidRPr="00E145BC" w:rsidR="00E145BC" w:rsidP="002B2D98" w:rsidRDefault="00E145BC">
            <w:proofErr w:type="spellStart"/>
            <w:r w:rsidRPr="00E145BC">
              <w:t>Pseudoroegneria</w:t>
            </w:r>
            <w:proofErr w:type="spellEnd"/>
            <w:r w:rsidRPr="00E145BC">
              <w:t xml:space="preserve"> </w:t>
            </w:r>
            <w:proofErr w:type="spellStart"/>
            <w:r w:rsidRPr="00E145BC">
              <w:t>spicata</w:t>
            </w:r>
            <w:proofErr w:type="spellEnd"/>
          </w:p>
        </w:tc>
        <w:tc>
          <w:tcPr>
            <w:tcW w:w="2916" w:type="dxa"/>
            <w:shd w:val="clear" w:color="auto" w:fill="auto"/>
          </w:tcPr>
          <w:p w:rsidRPr="00E145BC" w:rsidR="00E145BC" w:rsidP="002B2D98" w:rsidRDefault="00E145BC">
            <w:proofErr w:type="spellStart"/>
            <w:r w:rsidRPr="00E145BC">
              <w:t>Bluebunch</w:t>
            </w:r>
            <w:proofErr w:type="spellEnd"/>
            <w:r w:rsidRPr="00E145BC">
              <w:t xml:space="preserve"> wheatgrass</w:t>
            </w:r>
          </w:p>
        </w:tc>
        <w:tc>
          <w:tcPr>
            <w:tcW w:w="1956" w:type="dxa"/>
            <w:shd w:val="clear" w:color="auto" w:fill="auto"/>
          </w:tcPr>
          <w:p w:rsidRPr="00E145BC" w:rsidR="00E145BC" w:rsidP="002B2D98" w:rsidRDefault="00E145BC">
            <w:r w:rsidRPr="00E145BC">
              <w:t>Upper</w:t>
            </w:r>
          </w:p>
        </w:tc>
      </w:tr>
      <w:tr w:rsidRPr="00E145BC" w:rsidR="00E145BC" w:rsidTr="00E145BC">
        <w:tc>
          <w:tcPr>
            <w:tcW w:w="1104" w:type="dxa"/>
            <w:shd w:val="clear" w:color="auto" w:fill="auto"/>
          </w:tcPr>
          <w:p w:rsidRPr="00E145BC" w:rsidR="00E145BC" w:rsidP="002B2D98" w:rsidRDefault="00E145BC">
            <w:pPr>
              <w:rPr>
                <w:bCs/>
              </w:rPr>
            </w:pPr>
            <w:r w:rsidRPr="00E145BC">
              <w:rPr>
                <w:bCs/>
              </w:rPr>
              <w:t>ASTER</w:t>
            </w:r>
          </w:p>
        </w:tc>
        <w:tc>
          <w:tcPr>
            <w:tcW w:w="2916" w:type="dxa"/>
            <w:shd w:val="clear" w:color="auto" w:fill="auto"/>
          </w:tcPr>
          <w:p w:rsidRPr="00E145BC" w:rsidR="00E145BC" w:rsidP="002B2D98" w:rsidRDefault="00E145BC">
            <w:r w:rsidRPr="00E145BC">
              <w:t>Aster</w:t>
            </w:r>
          </w:p>
        </w:tc>
        <w:tc>
          <w:tcPr>
            <w:tcW w:w="2916" w:type="dxa"/>
            <w:shd w:val="clear" w:color="auto" w:fill="auto"/>
          </w:tcPr>
          <w:p w:rsidRPr="00E145BC" w:rsidR="00E145BC" w:rsidP="002B2D98" w:rsidRDefault="00E145BC">
            <w:r w:rsidRPr="00E145BC">
              <w:t>Aster</w:t>
            </w:r>
          </w:p>
        </w:tc>
        <w:tc>
          <w:tcPr>
            <w:tcW w:w="1956" w:type="dxa"/>
            <w:shd w:val="clear" w:color="auto" w:fill="auto"/>
          </w:tcPr>
          <w:p w:rsidRPr="00E145BC" w:rsidR="00E145BC" w:rsidP="002B2D98" w:rsidRDefault="00E145BC">
            <w:r w:rsidRPr="00E145BC">
              <w:t>Upper</w:t>
            </w:r>
          </w:p>
        </w:tc>
      </w:tr>
    </w:tbl>
    <w:p w:rsidR="00E145BC" w:rsidP="00E145BC" w:rsidRDefault="00E145BC"/>
    <w:p w:rsidR="00E145BC" w:rsidP="00E145BC" w:rsidRDefault="00E145BC">
      <w:pPr>
        <w:pStyle w:val="SClassInfoPara"/>
      </w:pPr>
      <w:r>
        <w:t>Description</w:t>
      </w:r>
    </w:p>
    <w:p w:rsidR="00E145BC" w:rsidP="00E145BC" w:rsidRDefault="00E145BC">
      <w:r>
        <w:t xml:space="preserve">Post-replacement disturbance conditions dominated by herbs and grasses including Idaho fescue, </w:t>
      </w:r>
      <w:proofErr w:type="spellStart"/>
      <w:r>
        <w:t>bluebunch</w:t>
      </w:r>
      <w:proofErr w:type="spellEnd"/>
      <w:r>
        <w:t xml:space="preserve"> wheatgrass</w:t>
      </w:r>
      <w:r w:rsidR="001A57E8">
        <w:t>,</w:t>
      </w:r>
      <w:r>
        <w:t xml:space="preserve"> or </w:t>
      </w:r>
      <w:proofErr w:type="spellStart"/>
      <w:r w:rsidRPr="001A57E8">
        <w:rPr>
          <w:i/>
        </w:rPr>
        <w:t>Epilobium</w:t>
      </w:r>
      <w:proofErr w:type="spellEnd"/>
      <w:r>
        <w:t xml:space="preserve"> spp. </w:t>
      </w:r>
    </w:p>
    <w:p w:rsidR="00E145BC" w:rsidP="00E145BC" w:rsidRDefault="00E145BC"/>
    <w:p w:rsidR="00E145BC" w:rsidP="00E145BC" w:rsidRDefault="00E145BC">
      <w:r>
        <w:t xml:space="preserve">In this environment (and </w:t>
      </w:r>
      <w:proofErr w:type="gramStart"/>
      <w:r>
        <w:t>a number of</w:t>
      </w:r>
      <w:proofErr w:type="gramEnd"/>
      <w:r>
        <w:t xml:space="preserve">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E145BC" w:rsidP="00E145BC" w:rsidRDefault="00E145BC"/>
    <w:p>
      <w:r>
        <w:rPr>
          <w:i/>
          <w:u w:val="single"/>
        </w:rPr>
        <w:t>Maximum Tree Size Class</w:t>
      </w:r>
      <w:br/>
      <w:r>
        <w:t>None</w:t>
      </w:r>
    </w:p>
    <w:p w:rsidR="00E145BC" w:rsidP="00E145BC" w:rsidRDefault="00E145BC">
      <w:pPr>
        <w:pStyle w:val="InfoPara"/>
        <w:pBdr>
          <w:top w:val="single" w:color="auto" w:sz="4" w:space="1"/>
        </w:pBdr>
      </w:pPr>
      <w:r xmlns:w="http://schemas.openxmlformats.org/wordprocessingml/2006/main">
        <w:t>Class B</w:t>
      </w:r>
      <w:r xmlns:w="http://schemas.openxmlformats.org/wordprocessingml/2006/main">
        <w:tab/>
        <w:t>99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145BC" w:rsidP="00E145BC" w:rsidRDefault="00E145BC"/>
    <w:p w:rsidR="00E145BC" w:rsidP="00E145BC" w:rsidRDefault="00E145B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E145BC" w:rsidR="00E145BC" w:rsidTr="00E145BC">
        <w:tc>
          <w:tcPr>
            <w:tcW w:w="1104" w:type="dxa"/>
            <w:tcBorders>
              <w:top w:val="single" w:color="auto" w:sz="2" w:space="0"/>
              <w:bottom w:val="single" w:color="000000" w:sz="12" w:space="0"/>
            </w:tcBorders>
            <w:shd w:val="clear" w:color="auto" w:fill="auto"/>
          </w:tcPr>
          <w:p w:rsidRPr="00E145BC" w:rsidR="00E145BC" w:rsidP="005C0342" w:rsidRDefault="00E145BC">
            <w:pPr>
              <w:rPr>
                <w:b/>
                <w:bCs/>
              </w:rPr>
            </w:pPr>
            <w:r w:rsidRPr="00E145BC">
              <w:rPr>
                <w:b/>
                <w:bCs/>
              </w:rPr>
              <w:t>Symbol</w:t>
            </w:r>
          </w:p>
        </w:tc>
        <w:tc>
          <w:tcPr>
            <w:tcW w:w="2916" w:type="dxa"/>
            <w:tcBorders>
              <w:top w:val="single" w:color="auto" w:sz="2" w:space="0"/>
              <w:bottom w:val="single" w:color="000000" w:sz="12" w:space="0"/>
            </w:tcBorders>
            <w:shd w:val="clear" w:color="auto" w:fill="auto"/>
          </w:tcPr>
          <w:p w:rsidRPr="00E145BC" w:rsidR="00E145BC" w:rsidP="005C0342" w:rsidRDefault="00E145BC">
            <w:pPr>
              <w:rPr>
                <w:b/>
                <w:bCs/>
              </w:rPr>
            </w:pPr>
            <w:r w:rsidRPr="00E145BC">
              <w:rPr>
                <w:b/>
                <w:bCs/>
              </w:rPr>
              <w:t>Scientific Name</w:t>
            </w:r>
          </w:p>
        </w:tc>
        <w:tc>
          <w:tcPr>
            <w:tcW w:w="2916" w:type="dxa"/>
            <w:tcBorders>
              <w:top w:val="single" w:color="auto" w:sz="2" w:space="0"/>
              <w:bottom w:val="single" w:color="000000" w:sz="12" w:space="0"/>
            </w:tcBorders>
            <w:shd w:val="clear" w:color="auto" w:fill="auto"/>
          </w:tcPr>
          <w:p w:rsidRPr="00E145BC" w:rsidR="00E145BC" w:rsidP="005C0342" w:rsidRDefault="00E145BC">
            <w:pPr>
              <w:rPr>
                <w:b/>
                <w:bCs/>
              </w:rPr>
            </w:pPr>
            <w:r w:rsidRPr="00E145BC">
              <w:rPr>
                <w:b/>
                <w:bCs/>
              </w:rPr>
              <w:t>Common Name</w:t>
            </w:r>
          </w:p>
        </w:tc>
        <w:tc>
          <w:tcPr>
            <w:tcW w:w="1956" w:type="dxa"/>
            <w:tcBorders>
              <w:top w:val="single" w:color="auto" w:sz="2" w:space="0"/>
              <w:bottom w:val="single" w:color="000000" w:sz="12" w:space="0"/>
            </w:tcBorders>
            <w:shd w:val="clear" w:color="auto" w:fill="auto"/>
          </w:tcPr>
          <w:p w:rsidRPr="00E145BC" w:rsidR="00E145BC" w:rsidP="005C0342" w:rsidRDefault="00E145BC">
            <w:pPr>
              <w:rPr>
                <w:b/>
                <w:bCs/>
              </w:rPr>
            </w:pPr>
            <w:r w:rsidRPr="00E145BC">
              <w:rPr>
                <w:b/>
                <w:bCs/>
              </w:rPr>
              <w:t>Canopy Position</w:t>
            </w:r>
          </w:p>
        </w:tc>
      </w:tr>
      <w:tr w:rsidRPr="00E145BC" w:rsidR="00E145BC" w:rsidTr="00E145BC">
        <w:tc>
          <w:tcPr>
            <w:tcW w:w="1104" w:type="dxa"/>
            <w:tcBorders>
              <w:top w:val="single" w:color="000000" w:sz="12" w:space="0"/>
            </w:tcBorders>
            <w:shd w:val="clear" w:color="auto" w:fill="auto"/>
          </w:tcPr>
          <w:p w:rsidRPr="00E145BC" w:rsidR="00E145BC" w:rsidP="005C0342" w:rsidRDefault="00E145BC">
            <w:pPr>
              <w:rPr>
                <w:bCs/>
              </w:rPr>
            </w:pPr>
            <w:r w:rsidRPr="00E145BC">
              <w:rPr>
                <w:bCs/>
              </w:rPr>
              <w:t>FORBS</w:t>
            </w:r>
          </w:p>
        </w:tc>
        <w:tc>
          <w:tcPr>
            <w:tcW w:w="2916" w:type="dxa"/>
            <w:tcBorders>
              <w:top w:val="single" w:color="000000" w:sz="12" w:space="0"/>
            </w:tcBorders>
            <w:shd w:val="clear" w:color="auto" w:fill="auto"/>
          </w:tcPr>
          <w:p w:rsidRPr="00E145BC" w:rsidR="00E145BC" w:rsidP="005C0342" w:rsidRDefault="00E145BC">
            <w:r w:rsidRPr="00E145BC">
              <w:t>&lt;NOT FOUND IN NRCS&gt;</w:t>
            </w:r>
          </w:p>
        </w:tc>
        <w:tc>
          <w:tcPr>
            <w:tcW w:w="2916" w:type="dxa"/>
            <w:tcBorders>
              <w:top w:val="single" w:color="000000" w:sz="12" w:space="0"/>
            </w:tcBorders>
            <w:shd w:val="clear" w:color="auto" w:fill="auto"/>
          </w:tcPr>
          <w:p w:rsidRPr="00E145BC" w:rsidR="00E145BC" w:rsidP="005C0342" w:rsidRDefault="00E145BC">
            <w:r w:rsidRPr="00E145BC">
              <w:t>&lt;NOT FOUND IN NRCS&gt;</w:t>
            </w:r>
          </w:p>
        </w:tc>
        <w:tc>
          <w:tcPr>
            <w:tcW w:w="1956" w:type="dxa"/>
            <w:tcBorders>
              <w:top w:val="single" w:color="000000" w:sz="12" w:space="0"/>
            </w:tcBorders>
            <w:shd w:val="clear" w:color="auto" w:fill="auto"/>
          </w:tcPr>
          <w:p w:rsidRPr="00E145BC" w:rsidR="00E145BC" w:rsidP="005C0342" w:rsidRDefault="00E145BC">
            <w:r w:rsidRPr="00E145BC">
              <w:t>Upper</w:t>
            </w:r>
          </w:p>
        </w:tc>
      </w:tr>
      <w:tr w:rsidRPr="00E145BC" w:rsidR="00E145BC" w:rsidTr="00E145BC">
        <w:tc>
          <w:tcPr>
            <w:tcW w:w="1104" w:type="dxa"/>
            <w:shd w:val="clear" w:color="auto" w:fill="auto"/>
          </w:tcPr>
          <w:p w:rsidRPr="00E145BC" w:rsidR="00E145BC" w:rsidP="005C0342" w:rsidRDefault="00E145BC">
            <w:pPr>
              <w:rPr>
                <w:bCs/>
              </w:rPr>
            </w:pPr>
            <w:r w:rsidRPr="00E145BC">
              <w:rPr>
                <w:bCs/>
              </w:rPr>
              <w:t>FEID</w:t>
            </w:r>
          </w:p>
        </w:tc>
        <w:tc>
          <w:tcPr>
            <w:tcW w:w="2916" w:type="dxa"/>
            <w:shd w:val="clear" w:color="auto" w:fill="auto"/>
          </w:tcPr>
          <w:p w:rsidRPr="00E145BC" w:rsidR="00E145BC" w:rsidP="005C0342" w:rsidRDefault="00E145BC">
            <w:proofErr w:type="spellStart"/>
            <w:r w:rsidRPr="00E145BC">
              <w:t>Festuca</w:t>
            </w:r>
            <w:proofErr w:type="spellEnd"/>
            <w:r w:rsidRPr="00E145BC">
              <w:t xml:space="preserve"> </w:t>
            </w:r>
            <w:proofErr w:type="spellStart"/>
            <w:r w:rsidRPr="00E145BC">
              <w:t>idahoensis</w:t>
            </w:r>
            <w:proofErr w:type="spellEnd"/>
          </w:p>
        </w:tc>
        <w:tc>
          <w:tcPr>
            <w:tcW w:w="2916" w:type="dxa"/>
            <w:shd w:val="clear" w:color="auto" w:fill="auto"/>
          </w:tcPr>
          <w:p w:rsidRPr="00E145BC" w:rsidR="00E145BC" w:rsidP="005C0342" w:rsidRDefault="00E145BC">
            <w:r w:rsidRPr="00E145BC">
              <w:t>Idaho fescue</w:t>
            </w:r>
          </w:p>
        </w:tc>
        <w:tc>
          <w:tcPr>
            <w:tcW w:w="1956" w:type="dxa"/>
            <w:shd w:val="clear" w:color="auto" w:fill="auto"/>
          </w:tcPr>
          <w:p w:rsidRPr="00E145BC" w:rsidR="00E145BC" w:rsidP="005C0342" w:rsidRDefault="00E145BC">
            <w:r w:rsidRPr="00E145BC">
              <w:t>Upper</w:t>
            </w:r>
          </w:p>
        </w:tc>
      </w:tr>
      <w:tr w:rsidRPr="00E145BC" w:rsidR="00E145BC" w:rsidTr="00E145BC">
        <w:tc>
          <w:tcPr>
            <w:tcW w:w="1104" w:type="dxa"/>
            <w:shd w:val="clear" w:color="auto" w:fill="auto"/>
          </w:tcPr>
          <w:p w:rsidRPr="00E145BC" w:rsidR="00E145BC" w:rsidP="005C0342" w:rsidRDefault="00E145BC">
            <w:pPr>
              <w:rPr>
                <w:bCs/>
              </w:rPr>
            </w:pPr>
            <w:r w:rsidRPr="00E145BC">
              <w:rPr>
                <w:bCs/>
              </w:rPr>
              <w:t>PSSP6</w:t>
            </w:r>
          </w:p>
        </w:tc>
        <w:tc>
          <w:tcPr>
            <w:tcW w:w="2916" w:type="dxa"/>
            <w:shd w:val="clear" w:color="auto" w:fill="auto"/>
          </w:tcPr>
          <w:p w:rsidRPr="00E145BC" w:rsidR="00E145BC" w:rsidP="005C0342" w:rsidRDefault="00E145BC">
            <w:proofErr w:type="spellStart"/>
            <w:r w:rsidRPr="00E145BC">
              <w:t>Pseudoroegneria</w:t>
            </w:r>
            <w:proofErr w:type="spellEnd"/>
            <w:r w:rsidRPr="00E145BC">
              <w:t xml:space="preserve"> </w:t>
            </w:r>
            <w:proofErr w:type="spellStart"/>
            <w:r w:rsidRPr="00E145BC">
              <w:t>spicata</w:t>
            </w:r>
            <w:proofErr w:type="spellEnd"/>
          </w:p>
        </w:tc>
        <w:tc>
          <w:tcPr>
            <w:tcW w:w="2916" w:type="dxa"/>
            <w:shd w:val="clear" w:color="auto" w:fill="auto"/>
          </w:tcPr>
          <w:p w:rsidRPr="00E145BC" w:rsidR="00E145BC" w:rsidP="005C0342" w:rsidRDefault="00E145BC">
            <w:proofErr w:type="spellStart"/>
            <w:r w:rsidRPr="00E145BC">
              <w:t>Bluebunch</w:t>
            </w:r>
            <w:proofErr w:type="spellEnd"/>
            <w:r w:rsidRPr="00E145BC">
              <w:t xml:space="preserve"> wheatgrass</w:t>
            </w:r>
          </w:p>
        </w:tc>
        <w:tc>
          <w:tcPr>
            <w:tcW w:w="1956" w:type="dxa"/>
            <w:shd w:val="clear" w:color="auto" w:fill="auto"/>
          </w:tcPr>
          <w:p w:rsidRPr="00E145BC" w:rsidR="00E145BC" w:rsidP="005C0342" w:rsidRDefault="00E145BC">
            <w:r w:rsidRPr="00E145BC">
              <w:t>Upper</w:t>
            </w:r>
          </w:p>
        </w:tc>
      </w:tr>
      <w:tr w:rsidRPr="00E145BC" w:rsidR="00E145BC" w:rsidTr="00E145BC">
        <w:tc>
          <w:tcPr>
            <w:tcW w:w="1104" w:type="dxa"/>
            <w:shd w:val="clear" w:color="auto" w:fill="auto"/>
          </w:tcPr>
          <w:p w:rsidRPr="00E145BC" w:rsidR="00E145BC" w:rsidP="005C0342" w:rsidRDefault="00E145BC">
            <w:pPr>
              <w:rPr>
                <w:bCs/>
              </w:rPr>
            </w:pPr>
            <w:r w:rsidRPr="00E145BC">
              <w:rPr>
                <w:bCs/>
              </w:rPr>
              <w:t>ASTER</w:t>
            </w:r>
          </w:p>
        </w:tc>
        <w:tc>
          <w:tcPr>
            <w:tcW w:w="2916" w:type="dxa"/>
            <w:shd w:val="clear" w:color="auto" w:fill="auto"/>
          </w:tcPr>
          <w:p w:rsidRPr="00E145BC" w:rsidR="00E145BC" w:rsidP="005C0342" w:rsidRDefault="00E145BC">
            <w:r w:rsidRPr="00E145BC">
              <w:t>Aster</w:t>
            </w:r>
          </w:p>
        </w:tc>
        <w:tc>
          <w:tcPr>
            <w:tcW w:w="2916" w:type="dxa"/>
            <w:shd w:val="clear" w:color="auto" w:fill="auto"/>
          </w:tcPr>
          <w:p w:rsidRPr="00E145BC" w:rsidR="00E145BC" w:rsidP="005C0342" w:rsidRDefault="00E145BC">
            <w:r w:rsidRPr="00E145BC">
              <w:t>Aster</w:t>
            </w:r>
          </w:p>
        </w:tc>
        <w:tc>
          <w:tcPr>
            <w:tcW w:w="1956" w:type="dxa"/>
            <w:shd w:val="clear" w:color="auto" w:fill="auto"/>
          </w:tcPr>
          <w:p w:rsidRPr="00E145BC" w:rsidR="00E145BC" w:rsidP="005C0342" w:rsidRDefault="00E145BC">
            <w:r w:rsidRPr="00E145BC">
              <w:t>Upper</w:t>
            </w:r>
          </w:p>
        </w:tc>
      </w:tr>
    </w:tbl>
    <w:p w:rsidR="00E145BC" w:rsidP="00E145BC" w:rsidRDefault="00E145BC"/>
    <w:p w:rsidR="00E145BC" w:rsidP="00E145BC" w:rsidRDefault="00E145BC">
      <w:pPr>
        <w:pStyle w:val="SClassInfoPara"/>
      </w:pPr>
      <w:r>
        <w:t>Description</w:t>
      </w:r>
    </w:p>
    <w:p w:rsidR="00E145BC" w:rsidP="00E145BC" w:rsidRDefault="00E145BC">
      <w:r>
        <w:t>Closed herbaceous cover dominated by Ida</w:t>
      </w:r>
      <w:r w:rsidR="001A57E8">
        <w:t xml:space="preserve">ho fescue, </w:t>
      </w:r>
      <w:proofErr w:type="spellStart"/>
      <w:r w:rsidR="001A57E8">
        <w:t>bluebunch</w:t>
      </w:r>
      <w:proofErr w:type="spellEnd"/>
      <w:r w:rsidR="001A57E8">
        <w:t xml:space="preserve"> wheatgrass,</w:t>
      </w:r>
      <w:r>
        <w:t xml:space="preserve"> </w:t>
      </w:r>
      <w:proofErr w:type="spellStart"/>
      <w:r w:rsidRPr="001A57E8">
        <w:rPr>
          <w:i/>
        </w:rPr>
        <w:t>Erigonum</w:t>
      </w:r>
      <w:proofErr w:type="spellEnd"/>
      <w:r>
        <w:t xml:space="preserve"> spp</w:t>
      </w:r>
      <w:r w:rsidR="001A57E8">
        <w:t>.</w:t>
      </w:r>
      <w:r>
        <w:t xml:space="preserve">, </w:t>
      </w:r>
      <w:r w:rsidRPr="001A57E8">
        <w:rPr>
          <w:i/>
        </w:rPr>
        <w:t>Phlox</w:t>
      </w:r>
      <w:r>
        <w:t xml:space="preserve"> spp</w:t>
      </w:r>
      <w:r w:rsidR="001A57E8">
        <w:t>.</w:t>
      </w:r>
      <w:r>
        <w:t xml:space="preserve">, </w:t>
      </w:r>
      <w:proofErr w:type="spellStart"/>
      <w:r w:rsidRPr="001A57E8">
        <w:rPr>
          <w:i/>
        </w:rPr>
        <w:t>Carex</w:t>
      </w:r>
      <w:proofErr w:type="spellEnd"/>
      <w:r>
        <w:t xml:space="preserve"> spp</w:t>
      </w:r>
      <w:r w:rsidR="001A57E8">
        <w:t>.</w:t>
      </w:r>
      <w:r>
        <w:t xml:space="preserve">, </w:t>
      </w:r>
      <w:proofErr w:type="spellStart"/>
      <w:r w:rsidRPr="001A57E8">
        <w:rPr>
          <w:i/>
        </w:rPr>
        <w:t>Bromus</w:t>
      </w:r>
      <w:proofErr w:type="spellEnd"/>
      <w:r w:rsidRPr="001A57E8">
        <w:rPr>
          <w:i/>
        </w:rPr>
        <w:t xml:space="preserve"> </w:t>
      </w:r>
      <w:proofErr w:type="spellStart"/>
      <w:r w:rsidRPr="001A57E8">
        <w:rPr>
          <w:i/>
        </w:rPr>
        <w:t>marginatus</w:t>
      </w:r>
      <w:proofErr w:type="spellEnd"/>
      <w:r w:rsidR="001A57E8">
        <w:t>,</w:t>
      </w:r>
      <w:r>
        <w:t xml:space="preserve"> and </w:t>
      </w:r>
      <w:proofErr w:type="spellStart"/>
      <w:r w:rsidRPr="001A57E8">
        <w:rPr>
          <w:i/>
        </w:rPr>
        <w:t>Danthonia</w:t>
      </w:r>
      <w:proofErr w:type="spellEnd"/>
      <w:r>
        <w:t xml:space="preserve"> spp. </w:t>
      </w:r>
    </w:p>
    <w:p w:rsidR="00E145BC" w:rsidP="00E145BC" w:rsidRDefault="00E145B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3</w:t>
            </w:r>
          </w:p>
        </w:tc>
      </w:tr>
      <w:tr>
        <w:tc>
          <w:p>
            <w:pPr>
              <w:jc w:val="center"/>
            </w:pPr>
            <w:r>
              <w:rPr>
                <w:sz w:val="20"/>
              </w:rPr>
              <w:t>Late1:CLS</w:t>
            </w:r>
          </w:p>
        </w:tc>
        <w:tc>
          <w:p>
            <w:pPr>
              <w:jc w:val="center"/>
            </w:pPr>
            <w:r>
              <w:rPr>
                <w:sz w:val="20"/>
              </w:rPr>
              <w:t>4</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145BC" w:rsidP="00E145BC" w:rsidRDefault="00E145BC">
      <w:r>
        <w:t xml:space="preserve">NOTE: References imported from previous modeled </w:t>
      </w:r>
      <w:proofErr w:type="spellStart"/>
      <w:r>
        <w:t>mapzones</w:t>
      </w:r>
      <w:proofErr w:type="spellEnd"/>
      <w:r>
        <w:t xml:space="preserve"> for this </w:t>
      </w:r>
      <w:proofErr w:type="spellStart"/>
      <w:r>
        <w:t>BpS</w:t>
      </w:r>
      <w:proofErr w:type="spellEnd"/>
      <w:r>
        <w:t>.</w:t>
      </w:r>
    </w:p>
    <w:p w:rsidR="00E145BC" w:rsidP="00E145BC" w:rsidRDefault="00E145BC"/>
    <w:p w:rsidR="00E145BC" w:rsidP="00E145BC" w:rsidRDefault="00E145BC">
      <w:r>
        <w:t>Daubenmire, R. 1981. Subalpine parks associated with snow transfer in the mountains of northern Idaho and eastern Washington. Northwest Science. 55(2): 124-135.</w:t>
      </w:r>
    </w:p>
    <w:p w:rsidR="00E145BC" w:rsidP="00E145BC" w:rsidRDefault="00E145BC"/>
    <w:p w:rsidR="00E145BC" w:rsidP="00E145BC" w:rsidRDefault="00E145BC">
      <w:r>
        <w:lastRenderedPageBreak/>
        <w:t>Daubenmire, RF. and J.B. Daubenmire. 1968. Forest vegetation of eastern Washington and northern Idaho. Technical Bulletin 60. Pullman, WA: Washington State University, Agricultural Experiment Station. 104 pp.</w:t>
      </w:r>
    </w:p>
    <w:p w:rsidR="00E145BC" w:rsidP="00E145BC" w:rsidRDefault="00E145BC"/>
    <w:p w:rsidR="00E145BC" w:rsidP="00E145BC" w:rsidRDefault="00E145BC">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E145BC" w:rsidP="00E145BC" w:rsidRDefault="00E145BC"/>
    <w:p w:rsidR="00E145BC" w:rsidP="00E145BC" w:rsidRDefault="00E145BC">
      <w:r>
        <w:t>NatureServe. 2007. International Ecological Classification Standard: Terrestrial Ecological Classifications. NatureServe Central Databases. Arlington, VA. Data current as of 10 February 2007.</w:t>
      </w:r>
    </w:p>
    <w:p w:rsidRPr="00A43E41" w:rsidR="004D5F12" w:rsidP="00E145B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D4" w:rsidRDefault="00B80DD4">
      <w:r>
        <w:separator/>
      </w:r>
    </w:p>
  </w:endnote>
  <w:endnote w:type="continuationSeparator" w:id="0">
    <w:p w:rsidR="00B80DD4" w:rsidRDefault="00B8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5BC" w:rsidRDefault="00E145BC" w:rsidP="00E145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D4" w:rsidRDefault="00B80DD4">
      <w:r>
        <w:separator/>
      </w:r>
    </w:p>
  </w:footnote>
  <w:footnote w:type="continuationSeparator" w:id="0">
    <w:p w:rsidR="00B80DD4" w:rsidRDefault="00B8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45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B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57E8"/>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4DDE"/>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19D0"/>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2128"/>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3F3"/>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097"/>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0DD4"/>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01EC"/>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C6DD1"/>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45BC"/>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3182"/>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F53F3"/>
    <w:rPr>
      <w:sz w:val="16"/>
      <w:szCs w:val="16"/>
    </w:rPr>
  </w:style>
  <w:style w:type="paragraph" w:styleId="CommentText">
    <w:name w:val="annotation text"/>
    <w:basedOn w:val="Normal"/>
    <w:link w:val="CommentTextChar"/>
    <w:uiPriority w:val="99"/>
    <w:semiHidden/>
    <w:unhideWhenUsed/>
    <w:rsid w:val="008F53F3"/>
    <w:rPr>
      <w:sz w:val="20"/>
      <w:szCs w:val="20"/>
    </w:rPr>
  </w:style>
  <w:style w:type="character" w:customStyle="1" w:styleId="CommentTextChar">
    <w:name w:val="Comment Text Char"/>
    <w:basedOn w:val="DefaultParagraphFont"/>
    <w:link w:val="CommentText"/>
    <w:uiPriority w:val="99"/>
    <w:semiHidden/>
    <w:rsid w:val="008F53F3"/>
  </w:style>
  <w:style w:type="paragraph" w:styleId="CommentSubject">
    <w:name w:val="annotation subject"/>
    <w:basedOn w:val="CommentText"/>
    <w:next w:val="CommentText"/>
    <w:link w:val="CommentSubjectChar"/>
    <w:uiPriority w:val="99"/>
    <w:semiHidden/>
    <w:unhideWhenUsed/>
    <w:rsid w:val="008F53F3"/>
    <w:rPr>
      <w:b/>
      <w:bCs/>
    </w:rPr>
  </w:style>
  <w:style w:type="character" w:customStyle="1" w:styleId="CommentSubjectChar">
    <w:name w:val="Comment Subject Char"/>
    <w:basedOn w:val="CommentTextChar"/>
    <w:link w:val="CommentSubject"/>
    <w:uiPriority w:val="99"/>
    <w:semiHidden/>
    <w:rsid w:val="008F53F3"/>
    <w:rPr>
      <w:b/>
      <w:bCs/>
    </w:rPr>
  </w:style>
  <w:style w:type="paragraph" w:styleId="BalloonText">
    <w:name w:val="Balloon Text"/>
    <w:basedOn w:val="Normal"/>
    <w:link w:val="BalloonTextChar"/>
    <w:uiPriority w:val="99"/>
    <w:semiHidden/>
    <w:unhideWhenUsed/>
    <w:rsid w:val="008F53F3"/>
    <w:rPr>
      <w:rFonts w:ascii="Tahoma" w:hAnsi="Tahoma" w:cs="Tahoma"/>
      <w:sz w:val="16"/>
      <w:szCs w:val="16"/>
    </w:rPr>
  </w:style>
  <w:style w:type="character" w:customStyle="1" w:styleId="BalloonTextChar">
    <w:name w:val="Balloon Text Char"/>
    <w:basedOn w:val="DefaultParagraphFont"/>
    <w:link w:val="BalloonText"/>
    <w:uiPriority w:val="99"/>
    <w:semiHidden/>
    <w:rsid w:val="008F53F3"/>
    <w:rPr>
      <w:rFonts w:ascii="Tahoma" w:hAnsi="Tahoma" w:cs="Tahoma"/>
      <w:sz w:val="16"/>
      <w:szCs w:val="16"/>
    </w:rPr>
  </w:style>
  <w:style w:type="paragraph" w:styleId="ListParagraph">
    <w:name w:val="List Paragraph"/>
    <w:basedOn w:val="Normal"/>
    <w:uiPriority w:val="34"/>
    <w:qFormat/>
    <w:rsid w:val="00C401EC"/>
    <w:pPr>
      <w:ind w:left="720"/>
    </w:pPr>
    <w:rPr>
      <w:rFonts w:ascii="Calibri" w:eastAsiaTheme="minorHAnsi" w:hAnsi="Calibri"/>
      <w:sz w:val="22"/>
      <w:szCs w:val="22"/>
    </w:rPr>
  </w:style>
  <w:style w:type="character" w:styleId="Hyperlink">
    <w:name w:val="Hyperlink"/>
    <w:basedOn w:val="DefaultParagraphFont"/>
    <w:rsid w:val="00C40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81431">
      <w:bodyDiv w:val="1"/>
      <w:marLeft w:val="0"/>
      <w:marRight w:val="0"/>
      <w:marTop w:val="0"/>
      <w:marBottom w:val="0"/>
      <w:divBdr>
        <w:top w:val="none" w:sz="0" w:space="0" w:color="auto"/>
        <w:left w:val="none" w:sz="0" w:space="0" w:color="auto"/>
        <w:bottom w:val="none" w:sz="0" w:space="0" w:color="auto"/>
        <w:right w:val="none" w:sz="0" w:space="0" w:color="auto"/>
      </w:divBdr>
    </w:div>
    <w:div w:id="14427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2014-08-21T14:27:00Z</cp:lastPrinted>
  <dcterms:created xsi:type="dcterms:W3CDTF">2015-08-25T23:05:00Z</dcterms:created>
  <dcterms:modified xsi:type="dcterms:W3CDTF">2018-06-15T13:33:00Z</dcterms:modified>
</cp:coreProperties>
</file>