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63B" w:rsidP="00C5163B" w:rsidRDefault="00C5163B" w14:paraId="7B6A823B" w14:textId="2AD674AF">
      <w:pPr>
        <w:pStyle w:val="BpSTitle"/>
      </w:pPr>
      <w:bookmarkStart w:name="_GoBack" w:id="0"/>
      <w:bookmarkEnd w:id="0"/>
      <w:r>
        <w:t>11520</w:t>
      </w:r>
    </w:p>
    <w:p w:rsidR="00C5163B" w:rsidP="00C5163B" w:rsidRDefault="00C5163B" w14:paraId="40130AF8" w14:textId="77777777">
      <w:pPr>
        <w:pStyle w:val="BpSTitle"/>
      </w:pPr>
      <w:r>
        <w:t>California Montane Riparian Systems</w:t>
      </w:r>
    </w:p>
    <w:p w:rsidR="0018662C" w:rsidP="00C5163B" w:rsidRDefault="00C5163B" w14:paraId="53FBFC02" w14:textId="77777777">
      <w:r>
        <w:t xmlns:w="http://schemas.openxmlformats.org/wordprocessingml/2006/main">BpS Model/Description Version: Aug. 2020</w:t>
      </w:r>
      <w:r>
        <w:tab/>
      </w:r>
      <w:r>
        <w:tab/>
      </w:r>
      <w:r>
        <w:tab/>
      </w:r>
      <w:r>
        <w:tab/>
      </w:r>
      <w:r>
        <w:tab/>
      </w:r>
      <w:r>
        <w:tab/>
      </w:r>
      <w:r>
        <w:tab/>
      </w:r>
      <w:r w:rsidR="0018662C">
        <w:t xml:space="preserve">, </w:t>
      </w:r>
    </w:p>
    <w:p w:rsidR="00C5163B" w:rsidP="006E03B0" w:rsidRDefault="0018662C" w14:paraId="35989766" w14:textId="39A559AB">
      <w:pPr>
        <w:ind w:left="6480" w:firstLine="720"/>
      </w:pPr>
      <w:r>
        <w:t xml:space="preserve">Revised </w:t>
      </w:r>
      <w:r w:rsidR="00791BB1">
        <w:t xml:space="preserve">Date: </w:t>
      </w:r>
      <w:r>
        <w:t>9/17</w:t>
      </w:r>
    </w:p>
    <w:p w:rsidR="00C5163B" w:rsidP="00C5163B" w:rsidRDefault="00C5163B" w14:paraId="39F4EC96"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96"/>
        <w:gridCol w:w="2760"/>
        <w:gridCol w:w="2964"/>
        <w:gridCol w:w="2556"/>
      </w:tblGrid>
      <w:tr w:rsidRPr="00C5163B" w:rsidR="00C5163B" w:rsidTr="00C5163B" w14:paraId="51FECE9F" w14:textId="77777777">
        <w:tc>
          <w:tcPr>
            <w:tcW w:w="1296" w:type="dxa"/>
            <w:tcBorders>
              <w:top w:val="single" w:color="auto" w:sz="2" w:space="0"/>
              <w:left w:val="single" w:color="auto" w:sz="12" w:space="0"/>
              <w:bottom w:val="single" w:color="000000" w:sz="12" w:space="0"/>
            </w:tcBorders>
            <w:shd w:val="clear" w:color="auto" w:fill="auto"/>
          </w:tcPr>
          <w:p w:rsidRPr="00C5163B" w:rsidR="00C5163B" w:rsidP="006B6B0E" w:rsidRDefault="00C5163B" w14:paraId="042509BE" w14:textId="77777777">
            <w:pPr>
              <w:rPr>
                <w:b/>
                <w:bCs/>
              </w:rPr>
            </w:pPr>
            <w:r w:rsidRPr="00C5163B">
              <w:rPr>
                <w:b/>
                <w:bCs/>
              </w:rPr>
              <w:t>Modelers</w:t>
            </w:r>
          </w:p>
        </w:tc>
        <w:tc>
          <w:tcPr>
            <w:tcW w:w="2760" w:type="dxa"/>
            <w:tcBorders>
              <w:top w:val="single" w:color="auto" w:sz="2" w:space="0"/>
              <w:bottom w:val="single" w:color="000000" w:sz="12" w:space="0"/>
              <w:right w:val="single" w:color="000000" w:sz="12" w:space="0"/>
            </w:tcBorders>
            <w:shd w:val="clear" w:color="auto" w:fill="auto"/>
          </w:tcPr>
          <w:p w:rsidRPr="00C5163B" w:rsidR="00C5163B" w:rsidP="006B6B0E" w:rsidRDefault="00C5163B" w14:paraId="1BF369EF" w14:textId="77777777">
            <w:pPr>
              <w:rPr>
                <w:b/>
                <w:bCs/>
              </w:rPr>
            </w:pPr>
          </w:p>
        </w:tc>
        <w:tc>
          <w:tcPr>
            <w:tcW w:w="2964" w:type="dxa"/>
            <w:tcBorders>
              <w:top w:val="single" w:color="auto" w:sz="2" w:space="0"/>
              <w:left w:val="single" w:color="000000" w:sz="12" w:space="0"/>
              <w:bottom w:val="single" w:color="000000" w:sz="12" w:space="0"/>
            </w:tcBorders>
            <w:shd w:val="clear" w:color="auto" w:fill="auto"/>
          </w:tcPr>
          <w:p w:rsidRPr="00C5163B" w:rsidR="00C5163B" w:rsidP="006B6B0E" w:rsidRDefault="00C5163B" w14:paraId="6433BA3B" w14:textId="77777777">
            <w:pPr>
              <w:rPr>
                <w:b/>
                <w:bCs/>
              </w:rPr>
            </w:pPr>
            <w:r w:rsidRPr="00C5163B">
              <w:rPr>
                <w:b/>
                <w:bCs/>
              </w:rPr>
              <w:t>Reviewers</w:t>
            </w:r>
          </w:p>
        </w:tc>
        <w:tc>
          <w:tcPr>
            <w:tcW w:w="2556" w:type="dxa"/>
            <w:tcBorders>
              <w:top w:val="single" w:color="auto" w:sz="2" w:space="0"/>
              <w:bottom w:val="single" w:color="000000" w:sz="12" w:space="0"/>
            </w:tcBorders>
            <w:shd w:val="clear" w:color="auto" w:fill="auto"/>
          </w:tcPr>
          <w:p w:rsidRPr="00C5163B" w:rsidR="00C5163B" w:rsidP="006B6B0E" w:rsidRDefault="00C5163B" w14:paraId="2F7C636B" w14:textId="77777777">
            <w:pPr>
              <w:rPr>
                <w:b/>
                <w:bCs/>
              </w:rPr>
            </w:pPr>
          </w:p>
        </w:tc>
      </w:tr>
      <w:tr w:rsidRPr="00C5163B" w:rsidR="00C5163B" w:rsidTr="00C5163B" w14:paraId="42C27C58" w14:textId="77777777">
        <w:tc>
          <w:tcPr>
            <w:tcW w:w="1296" w:type="dxa"/>
            <w:tcBorders>
              <w:top w:val="single" w:color="000000" w:sz="12" w:space="0"/>
              <w:left w:val="single" w:color="auto" w:sz="12" w:space="0"/>
            </w:tcBorders>
            <w:shd w:val="clear" w:color="auto" w:fill="auto"/>
          </w:tcPr>
          <w:p w:rsidRPr="00C5163B" w:rsidR="00C5163B" w:rsidP="006B6B0E" w:rsidRDefault="00C5163B" w14:paraId="37497FEE" w14:textId="77777777">
            <w:pPr>
              <w:rPr>
                <w:bCs/>
              </w:rPr>
            </w:pPr>
            <w:r w:rsidRPr="00C5163B">
              <w:rPr>
                <w:bCs/>
              </w:rPr>
              <w:t>John Bair</w:t>
            </w:r>
          </w:p>
        </w:tc>
        <w:tc>
          <w:tcPr>
            <w:tcW w:w="2760" w:type="dxa"/>
            <w:tcBorders>
              <w:top w:val="single" w:color="000000" w:sz="12" w:space="0"/>
              <w:right w:val="single" w:color="000000" w:sz="12" w:space="0"/>
            </w:tcBorders>
            <w:shd w:val="clear" w:color="auto" w:fill="auto"/>
          </w:tcPr>
          <w:p w:rsidRPr="00C5163B" w:rsidR="00C5163B" w:rsidP="006B6B0E" w:rsidRDefault="00C5163B" w14:paraId="19BDA2F5" w14:textId="13089F74">
            <w:r w:rsidRPr="00C5163B">
              <w:t>John@mcbaintrush.com</w:t>
            </w:r>
          </w:p>
        </w:tc>
        <w:tc>
          <w:tcPr>
            <w:tcW w:w="2964" w:type="dxa"/>
            <w:tcBorders>
              <w:top w:val="single" w:color="000000" w:sz="12" w:space="0"/>
              <w:left w:val="single" w:color="000000" w:sz="12" w:space="0"/>
            </w:tcBorders>
            <w:shd w:val="clear" w:color="auto" w:fill="auto"/>
          </w:tcPr>
          <w:p w:rsidRPr="00C5163B" w:rsidR="00C5163B" w:rsidP="006B6B0E" w:rsidRDefault="00C5163B" w14:paraId="1B214E26" w14:textId="77777777">
            <w:r w:rsidRPr="00C5163B">
              <w:t>Hugh Safford/Dave Schmidt</w:t>
            </w:r>
          </w:p>
        </w:tc>
        <w:tc>
          <w:tcPr>
            <w:tcW w:w="2556" w:type="dxa"/>
            <w:tcBorders>
              <w:top w:val="single" w:color="000000" w:sz="12" w:space="0"/>
            </w:tcBorders>
            <w:shd w:val="clear" w:color="auto" w:fill="auto"/>
          </w:tcPr>
          <w:p w:rsidRPr="00C5163B" w:rsidR="00C5163B" w:rsidP="006B6B0E" w:rsidRDefault="00C5163B" w14:paraId="67BFC3AC" w14:textId="77777777">
            <w:r w:rsidRPr="00C5163B">
              <w:t>hughsafford@fs.fed.us</w:t>
            </w:r>
          </w:p>
        </w:tc>
      </w:tr>
      <w:tr w:rsidRPr="00C5163B" w:rsidR="00C5163B" w:rsidTr="00C5163B" w14:paraId="1B32E394" w14:textId="77777777">
        <w:tc>
          <w:tcPr>
            <w:tcW w:w="1296" w:type="dxa"/>
            <w:tcBorders>
              <w:left w:val="single" w:color="auto" w:sz="12" w:space="0"/>
            </w:tcBorders>
            <w:shd w:val="clear" w:color="auto" w:fill="auto"/>
          </w:tcPr>
          <w:p w:rsidRPr="00C5163B" w:rsidR="00C5163B" w:rsidP="006B6B0E" w:rsidRDefault="00C5163B" w14:paraId="3A291429" w14:textId="77777777">
            <w:pPr>
              <w:rPr>
                <w:bCs/>
              </w:rPr>
            </w:pPr>
            <w:r w:rsidRPr="00C5163B">
              <w:rPr>
                <w:bCs/>
              </w:rPr>
              <w:t>None</w:t>
            </w:r>
          </w:p>
        </w:tc>
        <w:tc>
          <w:tcPr>
            <w:tcW w:w="2760" w:type="dxa"/>
            <w:tcBorders>
              <w:right w:val="single" w:color="000000" w:sz="12" w:space="0"/>
            </w:tcBorders>
            <w:shd w:val="clear" w:color="auto" w:fill="auto"/>
          </w:tcPr>
          <w:p w:rsidRPr="00C5163B" w:rsidR="00C5163B" w:rsidP="006B6B0E" w:rsidRDefault="00C5163B" w14:paraId="54F73AB7" w14:textId="77777777">
            <w:r w:rsidRPr="00C5163B">
              <w:t>None</w:t>
            </w:r>
          </w:p>
        </w:tc>
        <w:tc>
          <w:tcPr>
            <w:tcW w:w="2964" w:type="dxa"/>
            <w:tcBorders>
              <w:left w:val="single" w:color="000000" w:sz="12" w:space="0"/>
            </w:tcBorders>
            <w:shd w:val="clear" w:color="auto" w:fill="auto"/>
          </w:tcPr>
          <w:p w:rsidRPr="00C5163B" w:rsidR="00C5163B" w:rsidP="006B6B0E" w:rsidRDefault="00C5163B" w14:paraId="2B9465CF" w14:textId="77777777">
            <w:r w:rsidRPr="00C5163B">
              <w:t>None</w:t>
            </w:r>
          </w:p>
        </w:tc>
        <w:tc>
          <w:tcPr>
            <w:tcW w:w="2556" w:type="dxa"/>
            <w:shd w:val="clear" w:color="auto" w:fill="auto"/>
          </w:tcPr>
          <w:p w:rsidRPr="00C5163B" w:rsidR="00C5163B" w:rsidP="006B6B0E" w:rsidRDefault="00C5163B" w14:paraId="77127C2E" w14:textId="77777777">
            <w:r w:rsidRPr="00C5163B">
              <w:t>None</w:t>
            </w:r>
          </w:p>
        </w:tc>
      </w:tr>
      <w:tr w:rsidRPr="00C5163B" w:rsidR="00C5163B" w:rsidTr="00C5163B" w14:paraId="4D060788" w14:textId="77777777">
        <w:tc>
          <w:tcPr>
            <w:tcW w:w="1296" w:type="dxa"/>
            <w:tcBorders>
              <w:left w:val="single" w:color="auto" w:sz="12" w:space="0"/>
              <w:bottom w:val="single" w:color="auto" w:sz="2" w:space="0"/>
            </w:tcBorders>
            <w:shd w:val="clear" w:color="auto" w:fill="auto"/>
          </w:tcPr>
          <w:p w:rsidRPr="00C5163B" w:rsidR="00C5163B" w:rsidP="006B6B0E" w:rsidRDefault="00C5163B" w14:paraId="0A5169C7" w14:textId="77777777">
            <w:pPr>
              <w:rPr>
                <w:bCs/>
              </w:rPr>
            </w:pPr>
            <w:r w:rsidRPr="00C5163B">
              <w:rPr>
                <w:bCs/>
              </w:rPr>
              <w:t>None</w:t>
            </w:r>
          </w:p>
        </w:tc>
        <w:tc>
          <w:tcPr>
            <w:tcW w:w="2760" w:type="dxa"/>
            <w:tcBorders>
              <w:right w:val="single" w:color="000000" w:sz="12" w:space="0"/>
            </w:tcBorders>
            <w:shd w:val="clear" w:color="auto" w:fill="auto"/>
          </w:tcPr>
          <w:p w:rsidRPr="00C5163B" w:rsidR="00C5163B" w:rsidP="006B6B0E" w:rsidRDefault="00C5163B" w14:paraId="7053B5EE" w14:textId="77777777">
            <w:r w:rsidRPr="00C5163B">
              <w:t>None</w:t>
            </w:r>
          </w:p>
        </w:tc>
        <w:tc>
          <w:tcPr>
            <w:tcW w:w="2964" w:type="dxa"/>
            <w:tcBorders>
              <w:left w:val="single" w:color="000000" w:sz="12" w:space="0"/>
              <w:bottom w:val="single" w:color="auto" w:sz="2" w:space="0"/>
            </w:tcBorders>
            <w:shd w:val="clear" w:color="auto" w:fill="auto"/>
          </w:tcPr>
          <w:p w:rsidRPr="00C5163B" w:rsidR="00C5163B" w:rsidP="006B6B0E" w:rsidRDefault="00C5163B" w14:paraId="567765F8" w14:textId="77777777">
            <w:r w:rsidRPr="00C5163B">
              <w:t>None</w:t>
            </w:r>
          </w:p>
        </w:tc>
        <w:tc>
          <w:tcPr>
            <w:tcW w:w="2556" w:type="dxa"/>
            <w:shd w:val="clear" w:color="auto" w:fill="auto"/>
          </w:tcPr>
          <w:p w:rsidRPr="00C5163B" w:rsidR="00C5163B" w:rsidP="006B6B0E" w:rsidRDefault="00C5163B" w14:paraId="3D8FB455" w14:textId="77777777">
            <w:r w:rsidRPr="00C5163B">
              <w:t>None</w:t>
            </w:r>
          </w:p>
        </w:tc>
      </w:tr>
    </w:tbl>
    <w:p w:rsidR="00C5163B" w:rsidP="00C5163B" w:rsidRDefault="00C5163B" w14:paraId="7B5BC066" w14:textId="77777777"/>
    <w:p w:rsidR="00AF1C45" w:rsidP="006E03B0" w:rsidRDefault="00AF1C45" w14:paraId="4DA4719B" w14:textId="2C678CC4">
      <w:pPr>
        <w:pStyle w:val="InfoPara"/>
        <w:spacing w:after="0"/>
        <w:rPr>
          <w:b w:val="0"/>
        </w:rPr>
      </w:pPr>
      <w:r>
        <w:t xml:space="preserve">Reviewer: </w:t>
      </w:r>
      <w:r w:rsidRPr="00AF1C45">
        <w:rPr>
          <w:b w:val="0"/>
        </w:rPr>
        <w:t>Janet Fryer</w:t>
      </w:r>
    </w:p>
    <w:p w:rsidRPr="00221CE9" w:rsidR="00221CE9" w:rsidP="006E03B0" w:rsidRDefault="00221CE9" w14:paraId="6A716912" w14:textId="77777777"/>
    <w:p w:rsidR="00C5163B" w:rsidP="006E03B0" w:rsidRDefault="00C5163B" w14:paraId="09F0FAA6" w14:textId="6EDDCA3D">
      <w:pPr>
        <w:pStyle w:val="InfoPara"/>
        <w:spacing w:before="0"/>
      </w:pPr>
      <w:r>
        <w:t>Vegetation Type</w:t>
      </w:r>
    </w:p>
    <w:p w:rsidR="00C5163B" w:rsidP="00C5163B" w:rsidRDefault="00336F28" w14:paraId="7CCC73DD" w14:textId="4C5F297A">
      <w:r w:rsidRPr="00336F28">
        <w:t>Mixed Upland and Wetland</w:t>
      </w:r>
    </w:p>
    <w:p w:rsidRPr="00221CE9" w:rsidR="00221CE9" w:rsidP="00221CE9" w:rsidRDefault="00221CE9" w14:paraId="43652662" w14:textId="77777777"/>
    <w:p w:rsidR="00C5163B" w:rsidP="006E03B0" w:rsidRDefault="00C5163B" w14:paraId="4A85E304" w14:textId="77777777">
      <w:pPr>
        <w:pStyle w:val="InfoPara"/>
        <w:spacing w:before="0" w:after="0"/>
      </w:pPr>
      <w:r>
        <w:t>Map Zones</w:t>
      </w:r>
    </w:p>
    <w:p w:rsidR="00C5163B" w:rsidP="00221CE9" w:rsidRDefault="00F01C50" w14:paraId="0D62E25A" w14:textId="07C7052B">
      <w:r>
        <w:t xml:space="preserve">4, </w:t>
      </w:r>
      <w:r w:rsidR="00C5163B">
        <w:t>5</w:t>
      </w:r>
    </w:p>
    <w:p w:rsidR="00221CE9" w:rsidP="00221CE9" w:rsidRDefault="00221CE9" w14:paraId="259BC5FE" w14:textId="77777777"/>
    <w:p w:rsidR="00C5163B" w:rsidP="006E03B0" w:rsidRDefault="00C5163B" w14:paraId="25925EA1" w14:textId="77777777">
      <w:pPr>
        <w:pStyle w:val="InfoPara"/>
        <w:spacing w:before="0" w:after="0"/>
      </w:pPr>
      <w:r>
        <w:t>Geographic Range</w:t>
      </w:r>
    </w:p>
    <w:p w:rsidR="00C5163B" w:rsidP="00221CE9" w:rsidRDefault="00C5163B" w14:paraId="7B450859" w14:textId="77777777">
      <w:r>
        <w:t>This ecological system is found mostly in the central and inner northern Coast Ranges</w:t>
      </w:r>
    </w:p>
    <w:p w:rsidR="00C5163B" w:rsidP="00221CE9" w:rsidRDefault="00C5163B" w14:paraId="225E3193" w14:textId="5F3CE298">
      <w:r>
        <w:t>of California and Sierra Nevada foothills.</w:t>
      </w:r>
    </w:p>
    <w:p w:rsidR="00221CE9" w:rsidP="00221CE9" w:rsidRDefault="00221CE9" w14:paraId="3DCDC46D" w14:textId="42F5C43D"/>
    <w:p w:rsidR="00C5163B" w:rsidP="006E03B0" w:rsidRDefault="00C5163B" w14:paraId="12A095D1" w14:textId="77777777">
      <w:pPr>
        <w:pStyle w:val="InfoPara"/>
        <w:spacing w:before="0" w:after="0"/>
      </w:pPr>
      <w:r>
        <w:t>Biophysical Site Description</w:t>
      </w:r>
    </w:p>
    <w:p w:rsidR="00C5163B" w:rsidP="00E62564" w:rsidRDefault="00C5163B" w14:paraId="35A03C5B" w14:textId="5D941589">
      <w:r>
        <w:t xml:space="preserve">It includes springs, seeps, and perennial and intermittent streams in serpentine substrates and non-serpentine substrates. </w:t>
      </w:r>
    </w:p>
    <w:p w:rsidR="00E62564" w:rsidP="00E62564" w:rsidRDefault="00E62564" w14:paraId="308814A4" w14:textId="77777777"/>
    <w:p w:rsidR="00C5163B" w:rsidP="006E03B0" w:rsidRDefault="00C5163B" w14:paraId="5F384932" w14:textId="77777777">
      <w:pPr>
        <w:pStyle w:val="InfoPara"/>
      </w:pPr>
      <w:r>
        <w:t>Vegetation Description</w:t>
      </w:r>
    </w:p>
    <w:p w:rsidR="00E62564" w:rsidP="006E03B0" w:rsidRDefault="00C5163B" w14:paraId="2A7DDFDE" w14:textId="39D96661">
      <w:r>
        <w:t>This system often occurs as a mosaic of multiple alliances that may be tree or shrub dominated. The variety of plant associations connected to this system reflects elevation, stream gradient, valley confinement, floodplain development, and flood frequency, magnitude</w:t>
      </w:r>
      <w:r w:rsidR="00221CE9">
        <w:t>,</w:t>
      </w:r>
      <w:r>
        <w:t xml:space="preserve"> and timing. Dominant trees may include </w:t>
      </w:r>
      <w:proofErr w:type="spellStart"/>
      <w:r w:rsidRPr="006E03B0">
        <w:rPr>
          <w:i/>
        </w:rPr>
        <w:t>Alnus</w:t>
      </w:r>
      <w:proofErr w:type="spellEnd"/>
      <w:r w:rsidRPr="006E03B0">
        <w:rPr>
          <w:i/>
        </w:rPr>
        <w:t xml:space="preserve"> </w:t>
      </w:r>
      <w:proofErr w:type="spellStart"/>
      <w:r w:rsidRPr="006E03B0">
        <w:rPr>
          <w:i/>
        </w:rPr>
        <w:t>rhombifolia</w:t>
      </w:r>
      <w:proofErr w:type="spellEnd"/>
      <w:r>
        <w:t xml:space="preserve">, </w:t>
      </w:r>
      <w:r w:rsidRPr="006E03B0">
        <w:rPr>
          <w:i/>
        </w:rPr>
        <w:t xml:space="preserve">Acer </w:t>
      </w:r>
      <w:proofErr w:type="spellStart"/>
      <w:r w:rsidRPr="006E03B0">
        <w:rPr>
          <w:i/>
        </w:rPr>
        <w:t>negundo</w:t>
      </w:r>
      <w:proofErr w:type="spellEnd"/>
      <w:r>
        <w:t xml:space="preserve">, </w:t>
      </w:r>
      <w:proofErr w:type="spellStart"/>
      <w:r w:rsidRPr="006E03B0">
        <w:rPr>
          <w:i/>
        </w:rPr>
        <w:t>Alnus</w:t>
      </w:r>
      <w:proofErr w:type="spellEnd"/>
      <w:r w:rsidRPr="006E03B0">
        <w:rPr>
          <w:i/>
        </w:rPr>
        <w:t xml:space="preserve"> </w:t>
      </w:r>
      <w:proofErr w:type="spellStart"/>
      <w:r w:rsidRPr="006E03B0">
        <w:rPr>
          <w:i/>
        </w:rPr>
        <w:t>rubra</w:t>
      </w:r>
      <w:proofErr w:type="spellEnd"/>
      <w:r>
        <w:t xml:space="preserve"> (in Coast Ranges), </w:t>
      </w:r>
      <w:proofErr w:type="spellStart"/>
      <w:r w:rsidRPr="006E03B0">
        <w:rPr>
          <w:i/>
        </w:rPr>
        <w:t>Populus</w:t>
      </w:r>
      <w:proofErr w:type="spellEnd"/>
      <w:r w:rsidRPr="006E03B0">
        <w:rPr>
          <w:i/>
        </w:rPr>
        <w:t xml:space="preserve"> </w:t>
      </w:r>
      <w:proofErr w:type="spellStart"/>
      <w:r w:rsidRPr="006E03B0">
        <w:rPr>
          <w:i/>
        </w:rPr>
        <w:t>fremontii</w:t>
      </w:r>
      <w:proofErr w:type="spellEnd"/>
      <w:r w:rsidRPr="006E03B0">
        <w:rPr>
          <w:i/>
        </w:rPr>
        <w:t xml:space="preserve">, </w:t>
      </w:r>
      <w:proofErr w:type="spellStart"/>
      <w:r w:rsidRPr="006E03B0">
        <w:rPr>
          <w:i/>
        </w:rPr>
        <w:t>Populus</w:t>
      </w:r>
      <w:proofErr w:type="spellEnd"/>
      <w:r w:rsidRPr="006E03B0">
        <w:rPr>
          <w:i/>
        </w:rPr>
        <w:t xml:space="preserve"> balsamifera </w:t>
      </w:r>
      <w:r w:rsidRPr="00221CE9">
        <w:t>ssp.</w:t>
      </w:r>
      <w:r w:rsidRPr="006E03B0">
        <w:rPr>
          <w:i/>
        </w:rPr>
        <w:t xml:space="preserve"> </w:t>
      </w:r>
      <w:proofErr w:type="spellStart"/>
      <w:r w:rsidRPr="006E03B0">
        <w:rPr>
          <w:i/>
        </w:rPr>
        <w:t>trichocarpa</w:t>
      </w:r>
      <w:proofErr w:type="spellEnd"/>
      <w:r w:rsidRPr="006E03B0">
        <w:rPr>
          <w:i/>
        </w:rPr>
        <w:t xml:space="preserve">, Salix laevigata, Salix </w:t>
      </w:r>
      <w:proofErr w:type="spellStart"/>
      <w:r w:rsidRPr="006E03B0">
        <w:rPr>
          <w:i/>
        </w:rPr>
        <w:t>lucida</w:t>
      </w:r>
      <w:proofErr w:type="spellEnd"/>
      <w:r w:rsidRPr="006E03B0">
        <w:rPr>
          <w:i/>
        </w:rPr>
        <w:t xml:space="preserve"> </w:t>
      </w:r>
      <w:r w:rsidRPr="00221CE9">
        <w:t>ssp</w:t>
      </w:r>
      <w:r w:rsidRPr="00221CE9" w:rsidR="000947F8">
        <w:t>.</w:t>
      </w:r>
      <w:r w:rsidRPr="006E03B0">
        <w:rPr>
          <w:i/>
        </w:rPr>
        <w:t xml:space="preserve"> lasiandra, Salix </w:t>
      </w:r>
      <w:proofErr w:type="spellStart"/>
      <w:r w:rsidRPr="006E03B0">
        <w:rPr>
          <w:i/>
        </w:rPr>
        <w:t>gooddingii</w:t>
      </w:r>
      <w:proofErr w:type="spellEnd"/>
      <w:r w:rsidRPr="006E03B0">
        <w:rPr>
          <w:i/>
        </w:rPr>
        <w:t xml:space="preserve">, </w:t>
      </w:r>
      <w:proofErr w:type="spellStart"/>
      <w:r w:rsidRPr="006E03B0">
        <w:rPr>
          <w:i/>
        </w:rPr>
        <w:t>Pseudotsuga</w:t>
      </w:r>
      <w:proofErr w:type="spellEnd"/>
      <w:r w:rsidRPr="006E03B0">
        <w:rPr>
          <w:i/>
        </w:rPr>
        <w:t xml:space="preserve"> </w:t>
      </w:r>
      <w:proofErr w:type="spellStart"/>
      <w:r w:rsidRPr="006E03B0">
        <w:rPr>
          <w:i/>
        </w:rPr>
        <w:t>menziesii</w:t>
      </w:r>
      <w:proofErr w:type="spellEnd"/>
      <w:r w:rsidRPr="006E03B0">
        <w:rPr>
          <w:i/>
        </w:rPr>
        <w:t xml:space="preserve">, </w:t>
      </w:r>
      <w:proofErr w:type="spellStart"/>
      <w:r w:rsidRPr="006E03B0">
        <w:rPr>
          <w:i/>
        </w:rPr>
        <w:t>Platanus</w:t>
      </w:r>
      <w:proofErr w:type="spellEnd"/>
      <w:r w:rsidRPr="006E03B0">
        <w:rPr>
          <w:i/>
        </w:rPr>
        <w:t xml:space="preserve"> </w:t>
      </w:r>
      <w:proofErr w:type="spellStart"/>
      <w:r w:rsidRPr="006E03B0">
        <w:rPr>
          <w:i/>
        </w:rPr>
        <w:t>racemosa</w:t>
      </w:r>
      <w:proofErr w:type="spellEnd"/>
      <w:r w:rsidRPr="006E03B0">
        <w:rPr>
          <w:i/>
        </w:rPr>
        <w:t xml:space="preserve">, Quercus </w:t>
      </w:r>
      <w:proofErr w:type="spellStart"/>
      <w:r w:rsidRPr="006E03B0">
        <w:rPr>
          <w:i/>
        </w:rPr>
        <w:t>agrifolia</w:t>
      </w:r>
      <w:proofErr w:type="spellEnd"/>
      <w:r>
        <w:t xml:space="preserve">, and </w:t>
      </w:r>
      <w:r w:rsidRPr="006E03B0">
        <w:rPr>
          <w:i/>
        </w:rPr>
        <w:t xml:space="preserve">Acer </w:t>
      </w:r>
      <w:proofErr w:type="spellStart"/>
      <w:r w:rsidRPr="006E03B0">
        <w:rPr>
          <w:i/>
        </w:rPr>
        <w:t>macrophyllum</w:t>
      </w:r>
      <w:proofErr w:type="spellEnd"/>
      <w:r>
        <w:t xml:space="preserve"> (in central and south coast). Dominant shrubs include </w:t>
      </w:r>
      <w:r w:rsidRPr="006E03B0">
        <w:rPr>
          <w:i/>
        </w:rPr>
        <w:t xml:space="preserve">Salix </w:t>
      </w:r>
      <w:proofErr w:type="spellStart"/>
      <w:r w:rsidRPr="006E03B0">
        <w:rPr>
          <w:i/>
        </w:rPr>
        <w:t>exigua</w:t>
      </w:r>
      <w:proofErr w:type="spellEnd"/>
      <w:r w:rsidRPr="006E03B0">
        <w:rPr>
          <w:i/>
        </w:rPr>
        <w:t xml:space="preserve"> </w:t>
      </w:r>
      <w:r>
        <w:t xml:space="preserve">and </w:t>
      </w:r>
      <w:r w:rsidRPr="006E03B0">
        <w:rPr>
          <w:i/>
        </w:rPr>
        <w:t xml:space="preserve">Salix </w:t>
      </w:r>
      <w:proofErr w:type="spellStart"/>
      <w:r w:rsidRPr="006E03B0">
        <w:rPr>
          <w:i/>
        </w:rPr>
        <w:t>lasiolepis</w:t>
      </w:r>
      <w:proofErr w:type="spellEnd"/>
      <w:r>
        <w:t>. These riparian areas may contain madrone, tanoak, C</w:t>
      </w:r>
      <w:r w:rsidR="00221CE9">
        <w:t>alifornia</w:t>
      </w:r>
      <w:r>
        <w:t xml:space="preserve"> laurel, dogwood, maple</w:t>
      </w:r>
      <w:r w:rsidR="00221CE9">
        <w:t>,</w:t>
      </w:r>
      <w:r>
        <w:t xml:space="preserve"> and ash. Willow species are common</w:t>
      </w:r>
      <w:r w:rsidR="007F56A2">
        <w:t>, with species changing as</w:t>
      </w:r>
      <w:r w:rsidR="00970D0D">
        <w:t xml:space="preserve"> elevation</w:t>
      </w:r>
      <w:r w:rsidR="007F56A2">
        <w:t xml:space="preserve"> increases</w:t>
      </w:r>
      <w:r w:rsidR="00AF1C45">
        <w:t>.</w:t>
      </w:r>
    </w:p>
    <w:p w:rsidR="00E62564" w:rsidP="006E03B0" w:rsidRDefault="00E62564" w14:paraId="2203B525" w14:textId="3C1CEC2B"/>
    <w:p w:rsidR="00E62564" w:rsidP="006E03B0" w:rsidRDefault="00E62564" w14:paraId="3C9D06A3" w14:textId="77777777"/>
    <w:p w:rsidRPr="00E62564" w:rsidR="00C5163B" w:rsidP="006E03B0" w:rsidRDefault="00C5163B" w14:paraId="418B3F06" w14:textId="3CDDBF61">
      <w:r w:rsidRPr="00E62564">
        <w:rPr>
          <w:b/>
        </w:rP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SABR2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breweri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Brewer's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HESA17 </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Hesperocyparis sargentii </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Sargent's cypress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FRCA12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Frangula californica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buckthorn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UMCA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Umbellularia californica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laurel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CIFO2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Cirsium fontinale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Fountain thistle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STAL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Stachys albens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Whitestem hedgenettle</w:t>
            </w:r>
          </w:p>
        </w:tc>
      </w:tr>
    </w:tbl>
    <w:p>
      <w:r>
        <w:rPr>
          <w:sz w:val="16"/>
        </w:rPr>
        <w:t>Species names are from the NRCS PLANTS database. Check species codes at http://plants.usda.gov.</w:t>
      </w:r>
    </w:p>
    <w:p w:rsidR="00E62564" w:rsidP="006E03B0" w:rsidRDefault="00E62564" w14:paraId="348F610D" w14:textId="77777777">
      <w:pPr>
        <w:pStyle w:val="InfoPara"/>
        <w:spacing w:before="0" w:after="0"/>
      </w:pPr>
    </w:p>
    <w:p w:rsidR="00C5163B" w:rsidP="006E03B0" w:rsidRDefault="00C5163B" w14:paraId="4618EC79" w14:textId="31EB8D10">
      <w:pPr>
        <w:pStyle w:val="InfoPara"/>
        <w:spacing w:before="0" w:after="0"/>
      </w:pPr>
      <w:r>
        <w:t>Disturbance Description</w:t>
      </w:r>
    </w:p>
    <w:p w:rsidR="00C5163B" w:rsidP="00C5163B" w:rsidRDefault="00C5163B" w14:paraId="4534C103" w14:textId="7C373CAC">
      <w:r>
        <w:t>Riparian portions of this system are disturbance</w:t>
      </w:r>
      <w:r w:rsidR="006E0F41">
        <w:t>-</w:t>
      </w:r>
      <w:r>
        <w:t>driven and require flood</w:t>
      </w:r>
      <w:r w:rsidR="00221CE9">
        <w:t>-</w:t>
      </w:r>
      <w:r>
        <w:t xml:space="preserve">induced scour and deposition for </w:t>
      </w:r>
      <w:r w:rsidR="00762A4D">
        <w:t xml:space="preserve">seed </w:t>
      </w:r>
      <w:r>
        <w:t>germination and stand maintenance</w:t>
      </w:r>
      <w:r w:rsidR="00762A4D">
        <w:t xml:space="preserve"> of seral vegetation</w:t>
      </w:r>
      <w:r>
        <w:t>. Stands initiate on depositional features (point-bar and floodplains), colonizing the active channels of larger streams and rivers. Flooding events are highly variable and may include local erosion and deposition in most years during winter or spring. Smaller floods (i.e., those smaller than a 10yr flood event) are responsible for maintaining the summer low water channel free of annually regenerating riparian hardwood seedlings. Major flooding events (i.e., those greater than a 10</w:t>
      </w:r>
      <w:r w:rsidR="006E0F41">
        <w:t>yr</w:t>
      </w:r>
      <w:r>
        <w:t xml:space="preserve"> flood event) may scour away</w:t>
      </w:r>
      <w:r w:rsidR="000947F8">
        <w:t>,</w:t>
      </w:r>
      <w:r>
        <w:t xml:space="preserve"> </w:t>
      </w:r>
      <w:r w:rsidR="000947F8">
        <w:t xml:space="preserve">setting back succession in </w:t>
      </w:r>
      <w:r>
        <w:t>riparian vegetation growing along the active channel and low floodplain surfaces, while flooding and depositing fine</w:t>
      </w:r>
      <w:r w:rsidR="006E0F41">
        <w:t xml:space="preserve">, </w:t>
      </w:r>
      <w:r>
        <w:t xml:space="preserve">silty sediments in established riparian stands farther from active channels. </w:t>
      </w:r>
    </w:p>
    <w:p w:rsidR="000947F8" w:rsidP="00C5163B" w:rsidRDefault="000947F8" w14:paraId="0D008B03" w14:textId="5AB291CE"/>
    <w:p w:rsidR="000947F8" w:rsidP="000947F8" w:rsidRDefault="00762A4D" w14:paraId="325A6BB4" w14:textId="660394AD">
      <w:r w:rsidRPr="00AE1B56">
        <w:t xml:space="preserve">There are few fire history studies of this </w:t>
      </w:r>
      <w:r w:rsidR="0080104E">
        <w:t>Biophysical Setting (</w:t>
      </w:r>
      <w:r w:rsidRPr="00AE1B56">
        <w:t>BpS</w:t>
      </w:r>
      <w:r w:rsidR="0080104E">
        <w:t>)</w:t>
      </w:r>
      <w:r w:rsidRPr="00AE1B56">
        <w:t xml:space="preserve">. </w:t>
      </w:r>
      <w:r>
        <w:t xml:space="preserve">Montane riparian zones of California experience surface fires, mixed fires, and crown fires (Bendix </w:t>
      </w:r>
      <w:r w:rsidR="00342D23">
        <w:t>and</w:t>
      </w:r>
      <w:r>
        <w:t xml:space="preserve"> Cowell 2010</w:t>
      </w:r>
      <w:r w:rsidR="0080104E">
        <w:t xml:space="preserve">; </w:t>
      </w:r>
      <w:proofErr w:type="spellStart"/>
      <w:r>
        <w:t>Kobziar</w:t>
      </w:r>
      <w:proofErr w:type="spellEnd"/>
      <w:r>
        <w:t xml:space="preserve"> </w:t>
      </w:r>
      <w:r w:rsidR="00342D23">
        <w:t>and</w:t>
      </w:r>
      <w:r>
        <w:t xml:space="preserve"> McBride 2006</w:t>
      </w:r>
      <w:r w:rsidR="0080104E">
        <w:t>;</w:t>
      </w:r>
      <w:r>
        <w:t xml:space="preserve"> Murphy et al. 2007).</w:t>
      </w:r>
      <w:r w:rsidR="00342D23">
        <w:t xml:space="preserve"> </w:t>
      </w:r>
      <w:r w:rsidR="000947F8">
        <w:t xml:space="preserve">Skinner (1997) reported that fire frequency is less (about double the mean return interval) in perennial riparian zones than in the adjacent uplands, but that the range of intervals is comparable. Shrub communities that are wet throughout the year, such as willow scrub, usually burn less frequently than adjacent upland communities (Luce et al. 2012). However, Skinner suggested there is more variability in fire frequency and severity in forested riparian areas than in uplands (Skinner 2002, 2003). Because riparian areas are moister than upland areas, some fires may leave no scars on riparian trees. Consequently, fire histories using fire scars may underestimate fire frequency in riparian zones (Skinner 2002). Taylor and Skinner (1998) reported that fires in steep upper reaches of intermittent streams have frequent, severe fires. </w:t>
      </w:r>
    </w:p>
    <w:p w:rsidR="000947F8" w:rsidP="000947F8" w:rsidRDefault="000947F8" w14:paraId="0E666E02" w14:textId="77777777"/>
    <w:p w:rsidR="00342D23" w:rsidP="000947F8" w:rsidRDefault="000947F8" w14:paraId="728F022B" w14:textId="326B8EF5">
      <w:r>
        <w:t>Perennial riparian zones appear to stop the spread of some fires (Luce et al. 2012</w:t>
      </w:r>
      <w:r w:rsidR="0080104E">
        <w:t>;</w:t>
      </w:r>
      <w:r>
        <w:t xml:space="preserve"> Pettit </w:t>
      </w:r>
      <w:r w:rsidR="00342D23">
        <w:t>and</w:t>
      </w:r>
      <w:r>
        <w:t xml:space="preserve"> </w:t>
      </w:r>
      <w:proofErr w:type="spellStart"/>
      <w:r>
        <w:t>Maiman</w:t>
      </w:r>
      <w:proofErr w:type="spellEnd"/>
      <w:r>
        <w:t xml:space="preserve"> 2007) and thus contribute to spatial and temporal diversity of landscapes beyond what their relative area would suggest. Most commonly, riparian areas act as fuel</w:t>
      </w:r>
      <w:r w:rsidR="00783DDE">
        <w:t xml:space="preserve"> </w:t>
      </w:r>
      <w:r>
        <w:t>breaks where large perennial streams or river valleys create large breaks in fuel composition and continuity. However, not all riparian areas act as fuel</w:t>
      </w:r>
      <w:r w:rsidR="00783DDE">
        <w:t xml:space="preserve"> </w:t>
      </w:r>
      <w:r>
        <w:t>breaks. Riparian areas burn less severely and/or less frequently than adjacent uplands where the riparian area is wetter than adjacent vegetation. Fire severity is similar in riparian and adjacent upland areas when riparian vegetation and terrain are simil</w:t>
      </w:r>
      <w:r w:rsidR="00342D23">
        <w:t>ar to those in the upland area.</w:t>
      </w:r>
    </w:p>
    <w:p w:rsidR="00342D23" w:rsidP="000947F8" w:rsidRDefault="00342D23" w14:paraId="57831DE2" w14:textId="77777777"/>
    <w:p w:rsidRPr="006E03B0" w:rsidR="00E62564" w:rsidP="00C5163B" w:rsidRDefault="000947F8" w14:paraId="77B48827" w14:textId="6B0C5E75">
      <w:pPr>
        <w:pStyle w:val="InfoPara"/>
        <w:rPr>
          <w:b w:val="0"/>
        </w:rPr>
      </w:pPr>
      <w:r w:rsidRPr="006E03B0">
        <w:rPr>
          <w:b w:val="0"/>
        </w:rPr>
        <w:t xml:space="preserve">Finally, riparian areas </w:t>
      </w:r>
      <w:r w:rsidRPr="006E03B0" w:rsidR="00342D23">
        <w:rPr>
          <w:b w:val="0"/>
        </w:rPr>
        <w:t xml:space="preserve">may </w:t>
      </w:r>
      <w:r w:rsidRPr="006E03B0">
        <w:rPr>
          <w:b w:val="0"/>
        </w:rPr>
        <w:t>burn more severely and/or more frequently than adjacent uplands. Fire managers have observed this in steep terrain and narrow stream valleys (Luce et al. 2012).</w:t>
      </w:r>
      <w:r w:rsidRPr="006E03B0" w:rsidR="00342D23">
        <w:rPr>
          <w:b w:val="0"/>
        </w:rPr>
        <w:t xml:space="preserve"> </w:t>
      </w:r>
      <w:r w:rsidRPr="006E03B0">
        <w:rPr>
          <w:b w:val="0"/>
        </w:rPr>
        <w:t>High fuel loads in riparian areas can increase fire spread and severity by acting as "wicks</w:t>
      </w:r>
      <w:r w:rsidRPr="006E03B0" w:rsidR="00AC264B">
        <w:rPr>
          <w:b w:val="0"/>
        </w:rPr>
        <w:t>.</w:t>
      </w:r>
      <w:r w:rsidRPr="006E03B0">
        <w:rPr>
          <w:b w:val="0"/>
        </w:rPr>
        <w:t>"</w:t>
      </w:r>
      <w:r w:rsidRPr="006E03B0" w:rsidR="00AC264B">
        <w:rPr>
          <w:b w:val="0"/>
        </w:rPr>
        <w:t xml:space="preserve"> </w:t>
      </w:r>
      <w:r w:rsidRPr="006E03B0">
        <w:rPr>
          <w:b w:val="0"/>
        </w:rPr>
        <w:t>Fuel loads higher than those of surrounding vegetation may be due to natural succession, fire exclusion, tree harvesting, or fuel treatments in uplands (Luce et al. 2012). During the 2007 Angora Fire on the Tahoe National Forest, for example, heavy</w:t>
      </w:r>
      <w:r w:rsidRPr="006E03B0" w:rsidR="0080104E">
        <w:rPr>
          <w:b w:val="0"/>
        </w:rPr>
        <w:t>,</w:t>
      </w:r>
      <w:r w:rsidRPr="006E03B0">
        <w:rPr>
          <w:b w:val="0"/>
        </w:rPr>
        <w:t xml:space="preserve"> dead woody debris in the Angora Creek stream-riparian corridor helped fuel a mixed surface and active crown fire that raced down the corridor and up Angora Ridge (Murphy et al. 2007).</w:t>
      </w:r>
    </w:p>
    <w:p w:rsidR="006E03B0" w:rsidP="00C5163B" w:rsidRDefault="006E03B0" w14:paraId="4C7A13B6" w14:textId="77777777">
      <w:pPr>
        <w:pStyle w:val="InfoPara"/>
      </w:pPr>
    </w:p>
    <w:p w:rsidR="00C5163B" w:rsidP="00C5163B" w:rsidRDefault="00C5163B" w14:paraId="30F35899" w14:textId="73192B0C">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100</w:t>
            </w:r>
          </w:p>
        </w:tc>
        <w:tc>
          <w:p>
            <w:pPr>
              <w:jc w:val="center"/>
            </w:pPr>
            <w:r>
              <w:t>43</w:t>
            </w:r>
          </w:p>
        </w:tc>
        <w:tc>
          <w:p>
            <w:pPr>
              <w:jc w:val="center"/>
            </w:pPr>
            <w:r>
              <w:t/>
            </w:r>
          </w:p>
        </w:tc>
        <w:tc>
          <w:p>
            <w:pPr>
              <w:jc w:val="center"/>
            </w:pPr>
            <w:r>
              <w:t/>
            </w:r>
          </w:p>
        </w:tc>
      </w:tr>
      <w:tr>
        <w:tc>
          <w:p>
            <w:pPr>
              <w:jc w:val="center"/>
            </w:pPr>
            <w:r>
              <w:t>Moderate (Mixed)</w:t>
            </w:r>
          </w:p>
        </w:tc>
        <w:tc>
          <w:p>
            <w:pPr>
              <w:jc w:val="center"/>
            </w:pPr>
            <w:r>
              <w:t>76</w:t>
            </w:r>
          </w:p>
        </w:tc>
        <w:tc>
          <w:p>
            <w:pPr>
              <w:jc w:val="center"/>
            </w:pPr>
            <w:r>
              <w:t>57</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43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5163B" w:rsidP="00C5163B" w:rsidRDefault="00C5163B" w14:paraId="672489DA" w14:textId="77777777">
      <w:pPr>
        <w:pStyle w:val="InfoPara"/>
      </w:pPr>
      <w:r>
        <w:t>Scale Description</w:t>
      </w:r>
    </w:p>
    <w:p w:rsidR="00C5163B" w:rsidP="00C5163B" w:rsidRDefault="00C5163B" w14:paraId="7FC94FE0" w14:textId="012C7367">
      <w:r>
        <w:t>This system can exist as small to large linear features in the landscape (e.g., Klamath, Eel, Mattole Rivers) and is characteristically patchy and non-contiguous. At lower</w:t>
      </w:r>
      <w:r w:rsidRPr="4225A618" w:rsidR="00A247CE">
        <w:t xml:space="preserve"> </w:t>
      </w:r>
      <w:r>
        <w:t>elevation and higher</w:t>
      </w:r>
      <w:r w:rsidRPr="4225A618" w:rsidR="00A247CE">
        <w:t xml:space="preserve"> </w:t>
      </w:r>
      <w:r>
        <w:t>stream</w:t>
      </w:r>
      <w:r w:rsidRPr="4225A618" w:rsidR="00A247CE">
        <w:t xml:space="preserve"> </w:t>
      </w:r>
      <w:r>
        <w:t xml:space="preserve">order riverine systems, this vegetation may exist as mid to large contiguous patches. Fire disturbance patch size varies from </w:t>
      </w:r>
      <w:r w:rsidR="00A247CE">
        <w:t>1</w:t>
      </w:r>
      <w:r w:rsidRPr="4225A618" w:rsidR="00A247CE">
        <w:t>-</w:t>
      </w:r>
      <w:r>
        <w:t>100ac</w:t>
      </w:r>
      <w:r w:rsidR="00AF1C45">
        <w:t xml:space="preserve">, but </w:t>
      </w:r>
      <w:r>
        <w:t>uncertainty exists about fire size and behavior in these riparian systems.</w:t>
      </w:r>
    </w:p>
    <w:p w:rsidR="00C5163B" w:rsidP="00C5163B" w:rsidRDefault="00C5163B" w14:paraId="1314FDD5" w14:textId="77777777">
      <w:pPr>
        <w:pStyle w:val="InfoPara"/>
      </w:pPr>
      <w:r>
        <w:t>Adjacency or Identification Concerns</w:t>
      </w:r>
    </w:p>
    <w:p w:rsidR="00F17AE1" w:rsidP="00F17AE1" w:rsidRDefault="00F17AE1" w14:paraId="55F0095F" w14:textId="53256DF0">
      <w:r>
        <w:t>Fire exclusion may have had some impact on the levels of fuels and amount of shading in riparian areas (Skinner 1997). Fire exclusion has altered stand structure and plant species composition</w:t>
      </w:r>
      <w:r w:rsidR="00A524EE">
        <w:t>,</w:t>
      </w:r>
      <w:r>
        <w:t xml:space="preserve"> and increased fuel loads in many montane riparian corridors (Luce et al. 2012</w:t>
      </w:r>
      <w:r w:rsidR="00A247CE">
        <w:t>;</w:t>
      </w:r>
      <w:r>
        <w:t xml:space="preserve"> Safford et al. 2009). Heavy fuel accumulation is particularly common in early post</w:t>
      </w:r>
      <w:r w:rsidR="00A524EE">
        <w:t>-</w:t>
      </w:r>
      <w:r>
        <w:t xml:space="preserve">fire and late-seral riparian forests (Spies </w:t>
      </w:r>
      <w:r w:rsidR="00342D23">
        <w:t>and</w:t>
      </w:r>
      <w:r>
        <w:t xml:space="preserve"> Cline 1988).</w:t>
      </w:r>
    </w:p>
    <w:p w:rsidR="00F17AE1" w:rsidP="00F17AE1" w:rsidRDefault="00F17AE1" w14:paraId="74A45E45" w14:textId="77777777"/>
    <w:p w:rsidR="00F17AE1" w:rsidP="00F17AE1" w:rsidRDefault="00F17AE1" w14:paraId="60C17852" w14:textId="46E1AFE3">
      <w:r>
        <w:t>Fire exclusion also affects debris accumulation in aquatic ecosystems. Parenti (Parenti 2002) suggested that with fire exclusion in the Sierra Nevada, the frequency of large woody debris deposition into streams, pool frequency, and pool volume are all reduced compared to historical levels. When fire does occur in suppression areas, post</w:t>
      </w:r>
      <w:r w:rsidR="00A524EE">
        <w:t>-</w:t>
      </w:r>
      <w:r>
        <w:t xml:space="preserve">fire deposition of large woody debris and sediment is often greater than historical levels. Parenti hypothesized that </w:t>
      </w:r>
      <w:r w:rsidR="00A247CE">
        <w:t>fir</w:t>
      </w:r>
      <w:r>
        <w:t>st-order streams have sufficient stream power to transport increased fuel and sediment loads; however, mid</w:t>
      </w:r>
      <w:r w:rsidR="00342D23">
        <w:t>-</w:t>
      </w:r>
      <w:r>
        <w:t>elevation (around 5,000</w:t>
      </w:r>
      <w:r w:rsidR="0018662C">
        <w:t>ft</w:t>
      </w:r>
      <w:r w:rsidR="00A524EE">
        <w:t xml:space="preserve"> </w:t>
      </w:r>
      <w:r w:rsidR="00A247CE">
        <w:t>[</w:t>
      </w:r>
      <w:r>
        <w:t>1,500m</w:t>
      </w:r>
      <w:r w:rsidR="00A247CE">
        <w:t>]</w:t>
      </w:r>
      <w:r>
        <w:t xml:space="preserve">) alluvial stream channels cannot transport these loads efficiently because their stream power is too low. As a result, pool volumes are decreased from historical levels as sediment from </w:t>
      </w:r>
      <w:r w:rsidR="00A247CE">
        <w:t>fir</w:t>
      </w:r>
      <w:r>
        <w:t>st-order streams is transported and deposited into alluvial streams (Parenti 2002).</w:t>
      </w:r>
    </w:p>
    <w:p w:rsidR="00F17AE1" w:rsidP="00F17AE1" w:rsidRDefault="00F17AE1" w14:paraId="7931DA58" w14:textId="77777777"/>
    <w:p w:rsidR="00F17AE1" w:rsidP="00F17AE1" w:rsidRDefault="00F17AE1" w14:paraId="08926C24" w14:textId="23092563">
      <w:r>
        <w:t>Many of California's riparian plant communities have undergone dramatic changes in species composition due to non</w:t>
      </w:r>
      <w:r w:rsidR="00A524EE">
        <w:t>-</w:t>
      </w:r>
      <w:r>
        <w:t>native plant inva</w:t>
      </w:r>
      <w:r w:rsidR="00342D23">
        <w:t>sions (</w:t>
      </w:r>
      <w:proofErr w:type="spellStart"/>
      <w:r w:rsidR="00342D23">
        <w:t>Bossard</w:t>
      </w:r>
      <w:proofErr w:type="spellEnd"/>
      <w:r w:rsidR="00342D23">
        <w:t xml:space="preserve"> and</w:t>
      </w:r>
      <w:r>
        <w:t xml:space="preserve"> Randall 2007</w:t>
      </w:r>
      <w:r w:rsidR="00A247CE">
        <w:t xml:space="preserve">; </w:t>
      </w:r>
      <w:r>
        <w:t>Dudley 1998), and highly flammable nonnative species may increase fuel biomass, continuity, and fire severity (</w:t>
      </w:r>
      <w:proofErr w:type="spellStart"/>
      <w:r>
        <w:t>Verkaik</w:t>
      </w:r>
      <w:proofErr w:type="spellEnd"/>
      <w:r>
        <w:t xml:space="preserve"> et al. 2013). Exotic trees such as </w:t>
      </w:r>
      <w:r w:rsidRPr="00A524EE">
        <w:rPr>
          <w:i/>
        </w:rPr>
        <w:t xml:space="preserve">Ailanthus </w:t>
      </w:r>
      <w:proofErr w:type="spellStart"/>
      <w:r w:rsidRPr="00A524EE">
        <w:rPr>
          <w:i/>
        </w:rPr>
        <w:t>altissima</w:t>
      </w:r>
      <w:proofErr w:type="spellEnd"/>
      <w:r>
        <w:t xml:space="preserve"> and </w:t>
      </w:r>
      <w:r w:rsidRPr="00A524EE">
        <w:rPr>
          <w:i/>
        </w:rPr>
        <w:t>Eucalyptus</w:t>
      </w:r>
      <w:r>
        <w:t xml:space="preserve"> spp. and exotic herbs such as </w:t>
      </w:r>
      <w:proofErr w:type="spellStart"/>
      <w:r w:rsidRPr="00A524EE">
        <w:rPr>
          <w:i/>
        </w:rPr>
        <w:t>Arundo</w:t>
      </w:r>
      <w:proofErr w:type="spellEnd"/>
      <w:r w:rsidRPr="00A524EE">
        <w:rPr>
          <w:i/>
        </w:rPr>
        <w:t xml:space="preserve"> </w:t>
      </w:r>
      <w:proofErr w:type="spellStart"/>
      <w:r w:rsidRPr="00A524EE">
        <w:rPr>
          <w:i/>
        </w:rPr>
        <w:t>donax</w:t>
      </w:r>
      <w:proofErr w:type="spellEnd"/>
      <w:r w:rsidRPr="00A524EE">
        <w:rPr>
          <w:i/>
        </w:rPr>
        <w:t xml:space="preserve"> </w:t>
      </w:r>
      <w:r>
        <w:t xml:space="preserve">occur. In Yosemite National Park, </w:t>
      </w:r>
      <w:proofErr w:type="spellStart"/>
      <w:r>
        <w:t>invasives</w:t>
      </w:r>
      <w:proofErr w:type="spellEnd"/>
      <w:r>
        <w:t xml:space="preserve"> were significantly more abundant in burned riparian areas compared to burned upland areas (Kaczynski 2007).</w:t>
      </w:r>
    </w:p>
    <w:p w:rsidR="00F17AE1" w:rsidP="00C5163B" w:rsidRDefault="00F17AE1" w14:paraId="2E3C2F51" w14:textId="77777777"/>
    <w:p w:rsidR="00C5163B" w:rsidP="00C5163B" w:rsidRDefault="00C5163B" w14:paraId="55A21F2C" w14:textId="77777777">
      <w:pPr>
        <w:pStyle w:val="InfoPara"/>
      </w:pPr>
      <w:r>
        <w:t>Issues or Problems</w:t>
      </w:r>
    </w:p>
    <w:p w:rsidR="00C5163B" w:rsidP="00C5163B" w:rsidRDefault="00C5163B" w14:paraId="4792B725" w14:textId="0E8D9665">
      <w:r>
        <w:t>Many of the montane riparian systems are affected by the lack of large floods</w:t>
      </w:r>
      <w:r w:rsidR="00F17AE1">
        <w:t xml:space="preserve"> that set back succession</w:t>
      </w:r>
      <w:r>
        <w:t>, which has fragmented a large percentage of this vegetation. The lack of reset also has affected the age and canopy structure within these stands</w:t>
      </w:r>
      <w:r w:rsidR="00F17AE1">
        <w:t>,</w:t>
      </w:r>
      <w:r>
        <w:t xml:space="preserve"> making them prone to exotic species invasion and fire.</w:t>
      </w:r>
    </w:p>
    <w:p w:rsidR="00F17AE1" w:rsidP="00C5163B" w:rsidRDefault="00F17AE1" w14:paraId="7191F4E9" w14:textId="77777777"/>
    <w:p w:rsidR="00F17AE1" w:rsidP="00F17AE1" w:rsidRDefault="00F17AE1" w14:paraId="0C6AC212" w14:textId="30C3C78A">
      <w:pPr>
        <w:pStyle w:val="CommentText"/>
        <w:rPr>
          <w:sz w:val="24"/>
          <w:szCs w:val="24"/>
        </w:rPr>
      </w:pPr>
      <w:r w:rsidRPr="00F17AE1">
        <w:rPr>
          <w:sz w:val="24"/>
          <w:szCs w:val="24"/>
        </w:rPr>
        <w:t>Shaffer and others (Shaffer et al. 2006) suggested that although the fire</w:t>
      </w:r>
      <w:r w:rsidR="00442AE9">
        <w:rPr>
          <w:sz w:val="24"/>
          <w:szCs w:val="24"/>
        </w:rPr>
        <w:t xml:space="preserve"> </w:t>
      </w:r>
      <w:r w:rsidRPr="00F17AE1">
        <w:rPr>
          <w:sz w:val="24"/>
          <w:szCs w:val="24"/>
        </w:rPr>
        <w:t>return interval may not have changed due to altered stream flows, fires probably move through valley bottoms and low-gradient riparian zones differently than they did historically. Human alterations in hydrology and to the terrain vegetation have likely increased the probability of severe fires and reduced the capacity of riparian areas to serve as fuel</w:t>
      </w:r>
      <w:r w:rsidR="00442AE9">
        <w:rPr>
          <w:sz w:val="24"/>
          <w:szCs w:val="24"/>
        </w:rPr>
        <w:t xml:space="preserve"> </w:t>
      </w:r>
      <w:r w:rsidRPr="00F17AE1">
        <w:rPr>
          <w:sz w:val="24"/>
          <w:szCs w:val="24"/>
        </w:rPr>
        <w:t>breaks (</w:t>
      </w:r>
      <w:proofErr w:type="spellStart"/>
      <w:r w:rsidRPr="00F17AE1">
        <w:rPr>
          <w:sz w:val="24"/>
          <w:szCs w:val="24"/>
        </w:rPr>
        <w:t>Dwier</w:t>
      </w:r>
      <w:proofErr w:type="spellEnd"/>
      <w:r w:rsidRPr="00F17AE1">
        <w:rPr>
          <w:sz w:val="24"/>
          <w:szCs w:val="24"/>
        </w:rPr>
        <w:t xml:space="preserve"> </w:t>
      </w:r>
      <w:r w:rsidR="00342D23">
        <w:rPr>
          <w:sz w:val="24"/>
          <w:szCs w:val="24"/>
        </w:rPr>
        <w:t>and</w:t>
      </w:r>
      <w:r w:rsidRPr="00F17AE1">
        <w:rPr>
          <w:sz w:val="24"/>
          <w:szCs w:val="24"/>
        </w:rPr>
        <w:t xml:space="preserve"> Kauffman 2003). Some speculate that lack of flooding on regulated watercourses has contributed to higher fuel accumulations and more severe fires than occurred prior to regulation (Ellis 2001</w:t>
      </w:r>
      <w:r w:rsidR="00442AE9">
        <w:rPr>
          <w:sz w:val="24"/>
          <w:szCs w:val="24"/>
        </w:rPr>
        <w:t>;</w:t>
      </w:r>
      <w:r w:rsidRPr="00F17AE1">
        <w:rPr>
          <w:sz w:val="24"/>
          <w:szCs w:val="24"/>
        </w:rPr>
        <w:t xml:space="preserve"> Klinger et al. 2008).</w:t>
      </w:r>
    </w:p>
    <w:p w:rsidR="00F17AE1" w:rsidP="00C5163B" w:rsidRDefault="00F17AE1" w14:paraId="076D6FE8" w14:textId="77777777"/>
    <w:p w:rsidR="00C5163B" w:rsidP="00C5163B" w:rsidRDefault="00C5163B" w14:paraId="6288F050" w14:textId="77777777">
      <w:pPr>
        <w:pStyle w:val="InfoPara"/>
      </w:pPr>
      <w:r>
        <w:t>Native Uncharacteristic Conditions</w:t>
      </w:r>
    </w:p>
    <w:p w:rsidR="00C5163B" w:rsidP="00C5163B" w:rsidRDefault="00C5163B" w14:paraId="3A782027" w14:textId="7017D8EC">
      <w:r>
        <w:t xml:space="preserve">Many rivers in this system are out of sync due to dams changing what was winter and spring delivery of sediment and flooding to a more even delivery of summer water without high flooding events. Nonnative invasion of trees such as </w:t>
      </w:r>
      <w:r w:rsidRPr="00A524EE">
        <w:rPr>
          <w:i/>
        </w:rPr>
        <w:t>Ailanthus</w:t>
      </w:r>
      <w:r w:rsidRPr="00A524EE" w:rsidR="00AA6DC7">
        <w:rPr>
          <w:i/>
        </w:rPr>
        <w:t xml:space="preserve"> </w:t>
      </w:r>
      <w:proofErr w:type="spellStart"/>
      <w:r w:rsidRPr="00A524EE" w:rsidR="00AA6DC7">
        <w:rPr>
          <w:i/>
        </w:rPr>
        <w:t>althissima</w:t>
      </w:r>
      <w:proofErr w:type="spellEnd"/>
      <w:r w:rsidRPr="00A524EE">
        <w:rPr>
          <w:i/>
        </w:rPr>
        <w:t xml:space="preserve">, </w:t>
      </w:r>
      <w:proofErr w:type="spellStart"/>
      <w:r w:rsidRPr="00A524EE">
        <w:rPr>
          <w:i/>
        </w:rPr>
        <w:t>Robinia</w:t>
      </w:r>
      <w:proofErr w:type="spellEnd"/>
      <w:r w:rsidRPr="00A524EE" w:rsidR="00AA6DC7">
        <w:rPr>
          <w:i/>
        </w:rPr>
        <w:t xml:space="preserve"> </w:t>
      </w:r>
      <w:proofErr w:type="spellStart"/>
      <w:r w:rsidRPr="00A524EE" w:rsidR="00AA6DC7">
        <w:rPr>
          <w:i/>
        </w:rPr>
        <w:t>pseudoacacia</w:t>
      </w:r>
      <w:proofErr w:type="spellEnd"/>
      <w:r w:rsidRPr="00A524EE">
        <w:rPr>
          <w:i/>
        </w:rPr>
        <w:t>,</w:t>
      </w:r>
      <w:r>
        <w:t xml:space="preserve"> and </w:t>
      </w:r>
      <w:proofErr w:type="spellStart"/>
      <w:r w:rsidRPr="00A524EE">
        <w:rPr>
          <w:i/>
        </w:rPr>
        <w:t>Arundo</w:t>
      </w:r>
      <w:proofErr w:type="spellEnd"/>
      <w:r w:rsidRPr="00A524EE" w:rsidR="00AA6DC7">
        <w:rPr>
          <w:i/>
        </w:rPr>
        <w:t xml:space="preserve"> </w:t>
      </w:r>
      <w:proofErr w:type="spellStart"/>
      <w:r w:rsidRPr="00A524EE" w:rsidR="00AA6DC7">
        <w:rPr>
          <w:i/>
        </w:rPr>
        <w:t>donax</w:t>
      </w:r>
      <w:proofErr w:type="spellEnd"/>
      <w:r w:rsidR="00AA6DC7">
        <w:t xml:space="preserve"> </w:t>
      </w:r>
      <w:r>
        <w:t xml:space="preserve">have also changed species dynamics, particularly </w:t>
      </w:r>
      <w:r w:rsidRPr="00A524EE">
        <w:rPr>
          <w:i/>
        </w:rPr>
        <w:t>Ailanthus</w:t>
      </w:r>
      <w:r>
        <w:t xml:space="preserve"> invading the dr</w:t>
      </w:r>
      <w:r w:rsidR="00AA6DC7">
        <w:t>i</w:t>
      </w:r>
      <w:r>
        <w:t xml:space="preserve">er sites that were once riparian and </w:t>
      </w:r>
      <w:proofErr w:type="spellStart"/>
      <w:r w:rsidRPr="00A524EE">
        <w:rPr>
          <w:i/>
        </w:rPr>
        <w:t>Robinia</w:t>
      </w:r>
      <w:proofErr w:type="spellEnd"/>
      <w:r>
        <w:t xml:space="preserve"> invading older </w:t>
      </w:r>
      <w:r w:rsidR="00AA6DC7">
        <w:t xml:space="preserve">riparian </w:t>
      </w:r>
      <w:r>
        <w:t>stands.</w:t>
      </w:r>
    </w:p>
    <w:p w:rsidR="00C5163B" w:rsidP="00C5163B" w:rsidRDefault="00C5163B" w14:paraId="2D765202" w14:textId="77777777">
      <w:pPr>
        <w:pStyle w:val="InfoPara"/>
      </w:pPr>
      <w:r>
        <w:t>Comments</w:t>
      </w:r>
    </w:p>
    <w:p w:rsidR="00342D23" w:rsidP="00342D23" w:rsidRDefault="004D7B20" w14:paraId="55F23DA4" w14:textId="589BB804">
      <w:r>
        <w:t xml:space="preserve">During the 2016 BpS </w:t>
      </w:r>
      <w:r w:rsidR="00442AE9">
        <w:t>r</w:t>
      </w:r>
      <w:r>
        <w:t>evie</w:t>
      </w:r>
      <w:r w:rsidR="009F0B00">
        <w:t>w</w:t>
      </w:r>
      <w:r w:rsidR="00442AE9">
        <w:t>,</w:t>
      </w:r>
      <w:r w:rsidR="009F0B00">
        <w:t xml:space="preserve"> Janet Fryer reviewed this Bp</w:t>
      </w:r>
      <w:r w:rsidR="00342D23">
        <w:t>S and</w:t>
      </w:r>
      <w:r w:rsidRPr="00F626F4" w:rsidR="009F0B00">
        <w:t xml:space="preserve"> </w:t>
      </w:r>
      <w:r w:rsidRPr="00F626F4">
        <w:t>made descriptive edits</w:t>
      </w:r>
      <w:r w:rsidR="00342D23">
        <w:t xml:space="preserve">. </w:t>
      </w:r>
      <w:r w:rsidRPr="00E109AB" w:rsidR="00342D23">
        <w:t>As a result of review</w:t>
      </w:r>
      <w:r w:rsidR="00442AE9">
        <w:t xml:space="preserve">, </w:t>
      </w:r>
      <w:r w:rsidRPr="00E109AB" w:rsidR="00342D23">
        <w:t>beaver clear</w:t>
      </w:r>
      <w:r w:rsidR="00442AE9">
        <w:t>-</w:t>
      </w:r>
      <w:r w:rsidRPr="00E109AB" w:rsidR="00342D23">
        <w:t xml:space="preserve">cutting was removed as a disturbance in the Early class because </w:t>
      </w:r>
      <w:r w:rsidR="00342D23">
        <w:t>the</w:t>
      </w:r>
      <w:r w:rsidRPr="00E109AB" w:rsidR="00342D23">
        <w:t xml:space="preserve"> reviewer noted that the trees were too small for beaver at that stage</w:t>
      </w:r>
      <w:r w:rsidR="00342D23">
        <w:t xml:space="preserve"> and </w:t>
      </w:r>
      <w:r w:rsidR="00442AE9">
        <w:t xml:space="preserve">that </w:t>
      </w:r>
      <w:r w:rsidRPr="00F626F4" w:rsidR="00342D23">
        <w:t>the modeled replacement fire frequency</w:t>
      </w:r>
      <w:r w:rsidR="00342D23">
        <w:t xml:space="preserve"> was increased in all classes</w:t>
      </w:r>
      <w:r w:rsidRPr="00E109AB" w:rsidR="00342D23">
        <w:t>.</w:t>
      </w:r>
    </w:p>
    <w:p w:rsidR="00C5163B" w:rsidP="00C5163B" w:rsidRDefault="00C5163B" w14:paraId="1BC46A72" w14:textId="77777777">
      <w:pPr>
        <w:pStyle w:val="ReportSection"/>
      </w:pPr>
      <w:r>
        <w:t>Succession Classes</w:t>
      </w:r>
    </w:p>
    <w:p w:rsidR="00C5163B" w:rsidP="00C5163B" w:rsidRDefault="00C5163B" w14:paraId="593465A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5163B" w:rsidP="00C5163B" w:rsidRDefault="00C5163B" w14:paraId="4A2C1055" w14:textId="008E8FFD">
      <w:pPr>
        <w:pStyle w:val="InfoPara"/>
        <w:pBdr>
          <w:top w:val="single" w:color="auto" w:sz="4" w:space="1"/>
        </w:pBdr>
      </w:pPr>
      <w:r xmlns:w="http://schemas.openxmlformats.org/wordprocessingml/2006/main">
        <w:t>Class A</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5163B" w:rsidP="00C5163B" w:rsidRDefault="00C5163B" w14:paraId="7135B386" w14:textId="77777777"/>
    <w:p w:rsidR="00C5163B" w:rsidP="00C5163B" w:rsidRDefault="00C5163B" w14:paraId="34351D88" w14:textId="77777777">
      <w:pPr>
        <w:pStyle w:val="SClassInfoPara"/>
      </w:pPr>
      <w:r>
        <w:t>Indicator Species</w:t>
      </w:r>
    </w:p>
    <w:tbl>
      <w:tblPr>
        <w:tblW w:w="936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3264"/>
        <w:gridCol w:w="2916"/>
        <w:gridCol w:w="1956"/>
      </w:tblGrid>
      <w:tr w:rsidRPr="00C5163B" w:rsidR="00C5163B" w:rsidTr="00C5163B" w14:paraId="4807548B" w14:textId="77777777">
        <w:tc>
          <w:tcPr>
            <w:tcW w:w="1224" w:type="dxa"/>
            <w:tcBorders>
              <w:top w:val="single" w:color="auto" w:sz="2" w:space="0"/>
              <w:bottom w:val="single" w:color="000000" w:sz="12" w:space="0"/>
            </w:tcBorders>
            <w:shd w:val="clear" w:color="auto" w:fill="auto"/>
          </w:tcPr>
          <w:p w:rsidRPr="00C5163B" w:rsidR="00C5163B" w:rsidP="0017133F" w:rsidRDefault="00C5163B" w14:paraId="74BABC00" w14:textId="77777777">
            <w:pPr>
              <w:rPr>
                <w:b/>
                <w:bCs/>
              </w:rPr>
            </w:pPr>
            <w:r w:rsidRPr="00C5163B">
              <w:rPr>
                <w:b/>
                <w:bCs/>
              </w:rPr>
              <w:t>Symbol</w:t>
            </w:r>
          </w:p>
        </w:tc>
        <w:tc>
          <w:tcPr>
            <w:tcW w:w="3264" w:type="dxa"/>
            <w:tcBorders>
              <w:top w:val="single" w:color="auto" w:sz="2" w:space="0"/>
              <w:bottom w:val="single" w:color="000000" w:sz="12" w:space="0"/>
            </w:tcBorders>
            <w:shd w:val="clear" w:color="auto" w:fill="auto"/>
          </w:tcPr>
          <w:p w:rsidRPr="00C5163B" w:rsidR="00C5163B" w:rsidP="0017133F" w:rsidRDefault="00C5163B" w14:paraId="3ACB44C9" w14:textId="77777777">
            <w:pPr>
              <w:rPr>
                <w:b/>
                <w:bCs/>
              </w:rPr>
            </w:pPr>
            <w:r w:rsidRPr="00C5163B">
              <w:rPr>
                <w:b/>
                <w:bCs/>
              </w:rPr>
              <w:t>Scientific Name</w:t>
            </w:r>
          </w:p>
        </w:tc>
        <w:tc>
          <w:tcPr>
            <w:tcW w:w="2916" w:type="dxa"/>
            <w:tcBorders>
              <w:top w:val="single" w:color="auto" w:sz="2" w:space="0"/>
              <w:bottom w:val="single" w:color="000000" w:sz="12" w:space="0"/>
            </w:tcBorders>
            <w:shd w:val="clear" w:color="auto" w:fill="auto"/>
          </w:tcPr>
          <w:p w:rsidRPr="00C5163B" w:rsidR="00C5163B" w:rsidP="0017133F" w:rsidRDefault="00C5163B" w14:paraId="231AA55E" w14:textId="77777777">
            <w:pPr>
              <w:rPr>
                <w:b/>
                <w:bCs/>
              </w:rPr>
            </w:pPr>
            <w:r w:rsidRPr="00C5163B">
              <w:rPr>
                <w:b/>
                <w:bCs/>
              </w:rPr>
              <w:t>Common Name</w:t>
            </w:r>
          </w:p>
        </w:tc>
        <w:tc>
          <w:tcPr>
            <w:tcW w:w="1956" w:type="dxa"/>
            <w:tcBorders>
              <w:top w:val="single" w:color="auto" w:sz="2" w:space="0"/>
              <w:bottom w:val="single" w:color="000000" w:sz="12" w:space="0"/>
            </w:tcBorders>
            <w:shd w:val="clear" w:color="auto" w:fill="auto"/>
          </w:tcPr>
          <w:p w:rsidRPr="00C5163B" w:rsidR="00C5163B" w:rsidP="0017133F" w:rsidRDefault="00C5163B" w14:paraId="5046D287" w14:textId="77777777">
            <w:pPr>
              <w:rPr>
                <w:b/>
                <w:bCs/>
              </w:rPr>
            </w:pPr>
            <w:r w:rsidRPr="00C5163B">
              <w:rPr>
                <w:b/>
                <w:bCs/>
              </w:rPr>
              <w:t>Canopy Position</w:t>
            </w:r>
          </w:p>
        </w:tc>
      </w:tr>
      <w:tr w:rsidRPr="00C5163B" w:rsidR="00C5163B" w:rsidTr="00C5163B" w14:paraId="4E58B324" w14:textId="77777777">
        <w:tc>
          <w:tcPr>
            <w:tcW w:w="1224" w:type="dxa"/>
            <w:tcBorders>
              <w:top w:val="single" w:color="000000" w:sz="12" w:space="0"/>
            </w:tcBorders>
            <w:shd w:val="clear" w:color="auto" w:fill="auto"/>
          </w:tcPr>
          <w:p w:rsidRPr="00C5163B" w:rsidR="00C5163B" w:rsidP="0017133F" w:rsidRDefault="00C5163B" w14:paraId="5C43279E" w14:textId="77777777">
            <w:pPr>
              <w:rPr>
                <w:bCs/>
              </w:rPr>
            </w:pPr>
            <w:r w:rsidRPr="00C5163B">
              <w:rPr>
                <w:bCs/>
              </w:rPr>
              <w:t>SAEX</w:t>
            </w:r>
          </w:p>
        </w:tc>
        <w:tc>
          <w:tcPr>
            <w:tcW w:w="3264" w:type="dxa"/>
            <w:tcBorders>
              <w:top w:val="single" w:color="000000" w:sz="12" w:space="0"/>
            </w:tcBorders>
            <w:shd w:val="clear" w:color="auto" w:fill="auto"/>
          </w:tcPr>
          <w:p w:rsidRPr="00C5163B" w:rsidR="00C5163B" w:rsidP="0017133F" w:rsidRDefault="00C5163B" w14:paraId="1753D169" w14:textId="77777777">
            <w:r w:rsidRPr="00C5163B">
              <w:t xml:space="preserve">Salix </w:t>
            </w:r>
            <w:proofErr w:type="spellStart"/>
            <w:r w:rsidRPr="00C5163B">
              <w:t>exigua</w:t>
            </w:r>
            <w:proofErr w:type="spellEnd"/>
          </w:p>
        </w:tc>
        <w:tc>
          <w:tcPr>
            <w:tcW w:w="2916" w:type="dxa"/>
            <w:tcBorders>
              <w:top w:val="single" w:color="000000" w:sz="12" w:space="0"/>
            </w:tcBorders>
            <w:shd w:val="clear" w:color="auto" w:fill="auto"/>
          </w:tcPr>
          <w:p w:rsidRPr="00C5163B" w:rsidR="00C5163B" w:rsidP="0017133F" w:rsidRDefault="00C5163B" w14:paraId="05956A09" w14:textId="77777777">
            <w:r w:rsidRPr="00C5163B">
              <w:t>Narrowleaf willow</w:t>
            </w:r>
          </w:p>
        </w:tc>
        <w:tc>
          <w:tcPr>
            <w:tcW w:w="1956" w:type="dxa"/>
            <w:tcBorders>
              <w:top w:val="single" w:color="000000" w:sz="12" w:space="0"/>
            </w:tcBorders>
            <w:shd w:val="clear" w:color="auto" w:fill="auto"/>
          </w:tcPr>
          <w:p w:rsidRPr="00C5163B" w:rsidR="00C5163B" w:rsidP="0017133F" w:rsidRDefault="00C5163B" w14:paraId="50119A49" w14:textId="77777777">
            <w:r w:rsidRPr="00C5163B">
              <w:t>Upper</w:t>
            </w:r>
          </w:p>
        </w:tc>
      </w:tr>
      <w:tr w:rsidRPr="00C5163B" w:rsidR="00C5163B" w:rsidTr="00C5163B" w14:paraId="293BC0B0" w14:textId="77777777">
        <w:tc>
          <w:tcPr>
            <w:tcW w:w="1224" w:type="dxa"/>
            <w:shd w:val="clear" w:color="auto" w:fill="auto"/>
          </w:tcPr>
          <w:p w:rsidRPr="00C5163B" w:rsidR="00C5163B" w:rsidP="0017133F" w:rsidRDefault="004D7B20" w14:paraId="3BDD5700" w14:textId="5AE3B59D">
            <w:pPr>
              <w:rPr>
                <w:bCs/>
              </w:rPr>
            </w:pPr>
            <w:r>
              <w:rPr>
                <w:bCs/>
              </w:rPr>
              <w:t>SALA3</w:t>
            </w:r>
          </w:p>
        </w:tc>
        <w:tc>
          <w:tcPr>
            <w:tcW w:w="3264" w:type="dxa"/>
            <w:shd w:val="clear" w:color="auto" w:fill="auto"/>
          </w:tcPr>
          <w:p w:rsidRPr="00C5163B" w:rsidR="00C5163B" w:rsidP="0017133F" w:rsidRDefault="004D7B20" w14:paraId="355F7C8F" w14:textId="3E0646C8">
            <w:r>
              <w:t>Salix laevigata</w:t>
            </w:r>
          </w:p>
        </w:tc>
        <w:tc>
          <w:tcPr>
            <w:tcW w:w="2916" w:type="dxa"/>
            <w:shd w:val="clear" w:color="auto" w:fill="auto"/>
          </w:tcPr>
          <w:p w:rsidRPr="00C5163B" w:rsidR="00C5163B" w:rsidP="0017133F" w:rsidRDefault="004D7B20" w14:paraId="2B3A4075" w14:textId="52C079C9">
            <w:r>
              <w:t>Red willow</w:t>
            </w:r>
          </w:p>
        </w:tc>
        <w:tc>
          <w:tcPr>
            <w:tcW w:w="1956" w:type="dxa"/>
            <w:shd w:val="clear" w:color="auto" w:fill="auto"/>
          </w:tcPr>
          <w:p w:rsidRPr="00C5163B" w:rsidR="00C5163B" w:rsidP="0017133F" w:rsidRDefault="00C5163B" w14:paraId="74C79F6B" w14:textId="77777777">
            <w:r w:rsidRPr="00C5163B">
              <w:t>Upper</w:t>
            </w:r>
          </w:p>
        </w:tc>
      </w:tr>
      <w:tr w:rsidRPr="00C5163B" w:rsidR="00C5163B" w:rsidTr="00C5163B" w14:paraId="05690B1E" w14:textId="77777777">
        <w:tc>
          <w:tcPr>
            <w:tcW w:w="1224" w:type="dxa"/>
            <w:shd w:val="clear" w:color="auto" w:fill="auto"/>
          </w:tcPr>
          <w:p w:rsidRPr="00C5163B" w:rsidR="00C5163B" w:rsidP="0017133F" w:rsidRDefault="00C5163B" w14:paraId="745BDA4E" w14:textId="77777777">
            <w:pPr>
              <w:rPr>
                <w:bCs/>
              </w:rPr>
            </w:pPr>
            <w:r w:rsidRPr="00C5163B">
              <w:rPr>
                <w:bCs/>
              </w:rPr>
              <w:t>SALAL2</w:t>
            </w:r>
          </w:p>
        </w:tc>
        <w:tc>
          <w:tcPr>
            <w:tcW w:w="3264" w:type="dxa"/>
            <w:shd w:val="clear" w:color="auto" w:fill="auto"/>
          </w:tcPr>
          <w:p w:rsidRPr="00C5163B" w:rsidR="00C5163B" w:rsidP="0017133F" w:rsidRDefault="00C5163B" w14:paraId="02D2CF49" w14:textId="77777777">
            <w:r w:rsidRPr="00C5163B">
              <w:t xml:space="preserve">Salix </w:t>
            </w:r>
            <w:proofErr w:type="spellStart"/>
            <w:r w:rsidRPr="00C5163B">
              <w:t>lasiolepis</w:t>
            </w:r>
            <w:proofErr w:type="spellEnd"/>
            <w:r w:rsidRPr="00C5163B">
              <w:t xml:space="preserve"> var. </w:t>
            </w:r>
            <w:proofErr w:type="spellStart"/>
            <w:r w:rsidRPr="00C5163B">
              <w:t>lasiolepis</w:t>
            </w:r>
            <w:proofErr w:type="spellEnd"/>
          </w:p>
        </w:tc>
        <w:tc>
          <w:tcPr>
            <w:tcW w:w="2916" w:type="dxa"/>
            <w:shd w:val="clear" w:color="auto" w:fill="auto"/>
          </w:tcPr>
          <w:p w:rsidRPr="00C5163B" w:rsidR="00C5163B" w:rsidP="0017133F" w:rsidRDefault="00C5163B" w14:paraId="6C66DB0A" w14:textId="77777777">
            <w:r w:rsidRPr="00C5163B">
              <w:t>Arroyo willow</w:t>
            </w:r>
          </w:p>
        </w:tc>
        <w:tc>
          <w:tcPr>
            <w:tcW w:w="1956" w:type="dxa"/>
            <w:shd w:val="clear" w:color="auto" w:fill="auto"/>
          </w:tcPr>
          <w:p w:rsidRPr="00C5163B" w:rsidR="00C5163B" w:rsidP="0017133F" w:rsidRDefault="00C5163B" w14:paraId="40EDFF54" w14:textId="77777777">
            <w:r w:rsidRPr="00C5163B">
              <w:t>None</w:t>
            </w:r>
          </w:p>
        </w:tc>
      </w:tr>
      <w:tr w:rsidRPr="00C5163B" w:rsidR="00C5163B" w:rsidTr="00C5163B" w14:paraId="30C2F48B" w14:textId="77777777">
        <w:tc>
          <w:tcPr>
            <w:tcW w:w="1224" w:type="dxa"/>
            <w:shd w:val="clear" w:color="auto" w:fill="auto"/>
          </w:tcPr>
          <w:p w:rsidRPr="00C5163B" w:rsidR="00C5163B" w:rsidP="0017133F" w:rsidRDefault="00C5163B" w14:paraId="29DC29F5" w14:textId="77777777">
            <w:pPr>
              <w:rPr>
                <w:bCs/>
              </w:rPr>
            </w:pPr>
            <w:r w:rsidRPr="00C5163B">
              <w:rPr>
                <w:bCs/>
              </w:rPr>
              <w:t>ALNUS</w:t>
            </w:r>
          </w:p>
        </w:tc>
        <w:tc>
          <w:tcPr>
            <w:tcW w:w="3264" w:type="dxa"/>
            <w:shd w:val="clear" w:color="auto" w:fill="auto"/>
          </w:tcPr>
          <w:p w:rsidRPr="00C5163B" w:rsidR="00C5163B" w:rsidP="0017133F" w:rsidRDefault="00C5163B" w14:paraId="7E426E59" w14:textId="77777777">
            <w:proofErr w:type="spellStart"/>
            <w:r w:rsidRPr="00C5163B">
              <w:t>Alnus</w:t>
            </w:r>
            <w:proofErr w:type="spellEnd"/>
          </w:p>
        </w:tc>
        <w:tc>
          <w:tcPr>
            <w:tcW w:w="2916" w:type="dxa"/>
            <w:shd w:val="clear" w:color="auto" w:fill="auto"/>
          </w:tcPr>
          <w:p w:rsidRPr="00C5163B" w:rsidR="00C5163B" w:rsidP="0017133F" w:rsidRDefault="00C5163B" w14:paraId="55903E12" w14:textId="77777777">
            <w:r w:rsidRPr="00C5163B">
              <w:t>Alder</w:t>
            </w:r>
          </w:p>
        </w:tc>
        <w:tc>
          <w:tcPr>
            <w:tcW w:w="1956" w:type="dxa"/>
            <w:shd w:val="clear" w:color="auto" w:fill="auto"/>
          </w:tcPr>
          <w:p w:rsidRPr="00C5163B" w:rsidR="00C5163B" w:rsidP="0017133F" w:rsidRDefault="00C5163B" w14:paraId="19AA2E67" w14:textId="77777777">
            <w:r w:rsidRPr="00C5163B">
              <w:t>None</w:t>
            </w:r>
          </w:p>
        </w:tc>
      </w:tr>
    </w:tbl>
    <w:p w:rsidR="00C5163B" w:rsidP="00C5163B" w:rsidRDefault="00C5163B" w14:paraId="422C4B24" w14:textId="77777777"/>
    <w:p w:rsidR="00C5163B" w:rsidP="00C5163B" w:rsidRDefault="00C5163B" w14:paraId="384B8B55" w14:textId="77777777">
      <w:pPr>
        <w:pStyle w:val="SClassInfoPara"/>
      </w:pPr>
      <w:r>
        <w:t>Description</w:t>
      </w:r>
    </w:p>
    <w:p w:rsidR="00C5163B" w:rsidP="00C5163B" w:rsidRDefault="00C5163B" w14:paraId="452CFAE5" w14:textId="3941EBA5">
      <w:r>
        <w:t xml:space="preserve">Highly </w:t>
      </w:r>
      <w:r w:rsidR="00F01C50">
        <w:t>dependent</w:t>
      </w:r>
      <w:r>
        <w:t xml:space="preserve"> on flow patterns in the first </w:t>
      </w:r>
      <w:r w:rsidR="00E62564">
        <w:t>5yrs</w:t>
      </w:r>
      <w:r>
        <w:t xml:space="preserve"> after nursery site formed. </w:t>
      </w:r>
      <w:r w:rsidR="005F6537">
        <w:t xml:space="preserve">Composition highly variable. </w:t>
      </w:r>
      <w:r>
        <w:t>Typically tree</w:t>
      </w:r>
      <w:r w:rsidR="00442AE9">
        <w:t>-</w:t>
      </w:r>
      <w:r>
        <w:t xml:space="preserve">dominated, but shrubs may co-dominate. </w:t>
      </w:r>
      <w:r w:rsidRPr="004100D5" w:rsidR="005F6537">
        <w:rPr>
          <w:i/>
        </w:rPr>
        <w:t>Salix</w:t>
      </w:r>
      <w:r w:rsidR="005F6537">
        <w:t xml:space="preserve"> and</w:t>
      </w:r>
      <w:r w:rsidRPr="004100D5" w:rsidR="005F6537">
        <w:rPr>
          <w:i/>
        </w:rPr>
        <w:t xml:space="preserve"> </w:t>
      </w:r>
      <w:proofErr w:type="spellStart"/>
      <w:r w:rsidRPr="004100D5" w:rsidR="005F6537">
        <w:rPr>
          <w:i/>
        </w:rPr>
        <w:t>Alnus</w:t>
      </w:r>
      <w:proofErr w:type="spellEnd"/>
      <w:r w:rsidRPr="004100D5" w:rsidR="005F6537">
        <w:rPr>
          <w:i/>
        </w:rPr>
        <w:t xml:space="preserve"> </w:t>
      </w:r>
      <w:r w:rsidR="005F6537">
        <w:t>are</w:t>
      </w:r>
      <w:r w:rsidR="00442AE9">
        <w:t xml:space="preserve"> </w:t>
      </w:r>
      <w:r w:rsidR="005F6537">
        <w:t>shrubs at this seral stage.</w:t>
      </w:r>
    </w:p>
    <w:p w:rsidR="00C5163B" w:rsidP="00C5163B" w:rsidRDefault="00C5163B" w14:paraId="52F63F9A" w14:textId="77777777"/>
    <w:p>
      <w:r>
        <w:rPr>
          <w:i/>
          <w:u w:val="single"/>
        </w:rPr>
        <w:t>Maximum Tree Size Class</w:t>
      </w:r>
      <w:br/>
      <w:r>
        <w:t>None</w:t>
      </w:r>
    </w:p>
    <w:p w:rsidR="00C5163B" w:rsidP="00C5163B" w:rsidRDefault="00C5163B" w14:paraId="4BF2E3D1" w14:textId="0487071A">
      <w:pPr>
        <w:pStyle w:val="InfoPara"/>
        <w:pBdr>
          <w:top w:val="single" w:color="auto" w:sz="4" w:space="1"/>
        </w:pBdr>
      </w:pPr>
      <w:r xmlns:w="http://schemas.openxmlformats.org/wordprocessingml/2006/main">
        <w:t>Class B</w:t>
      </w:r>
      <w:r xmlns:w="http://schemas.openxmlformats.org/wordprocessingml/2006/main">
        <w:tab/>
        <w:t>54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C5163B" w:rsidP="00C5163B" w:rsidRDefault="00C5163B" w14:paraId="2330631C" w14:textId="77777777"/>
    <w:p w:rsidR="00C5163B" w:rsidP="00C5163B" w:rsidRDefault="00C5163B" w14:paraId="1256E75E" w14:textId="77777777">
      <w:pPr>
        <w:pStyle w:val="SClassInfoPara"/>
      </w:pPr>
      <w:r>
        <w:t>Indicator Species</w:t>
      </w:r>
    </w:p>
    <w:tbl>
      <w:tblPr>
        <w:tblW w:w="936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3264"/>
        <w:gridCol w:w="2916"/>
        <w:gridCol w:w="1956"/>
      </w:tblGrid>
      <w:tr w:rsidRPr="00C5163B" w:rsidR="00C5163B" w:rsidTr="00C5163B" w14:paraId="31C3824E" w14:textId="77777777">
        <w:tc>
          <w:tcPr>
            <w:tcW w:w="1224" w:type="dxa"/>
            <w:tcBorders>
              <w:top w:val="single" w:color="auto" w:sz="2" w:space="0"/>
              <w:bottom w:val="single" w:color="000000" w:sz="12" w:space="0"/>
            </w:tcBorders>
            <w:shd w:val="clear" w:color="auto" w:fill="auto"/>
          </w:tcPr>
          <w:p w:rsidRPr="00C5163B" w:rsidR="00C5163B" w:rsidP="005331F3" w:rsidRDefault="00C5163B" w14:paraId="2AF6AB7C" w14:textId="77777777">
            <w:pPr>
              <w:rPr>
                <w:b/>
                <w:bCs/>
              </w:rPr>
            </w:pPr>
            <w:r w:rsidRPr="00C5163B">
              <w:rPr>
                <w:b/>
                <w:bCs/>
              </w:rPr>
              <w:t>Symbol</w:t>
            </w:r>
          </w:p>
        </w:tc>
        <w:tc>
          <w:tcPr>
            <w:tcW w:w="3264" w:type="dxa"/>
            <w:tcBorders>
              <w:top w:val="single" w:color="auto" w:sz="2" w:space="0"/>
              <w:bottom w:val="single" w:color="000000" w:sz="12" w:space="0"/>
            </w:tcBorders>
            <w:shd w:val="clear" w:color="auto" w:fill="auto"/>
          </w:tcPr>
          <w:p w:rsidRPr="00C5163B" w:rsidR="00C5163B" w:rsidP="005331F3" w:rsidRDefault="00C5163B" w14:paraId="541D7F93" w14:textId="77777777">
            <w:pPr>
              <w:rPr>
                <w:b/>
                <w:bCs/>
              </w:rPr>
            </w:pPr>
            <w:r w:rsidRPr="00C5163B">
              <w:rPr>
                <w:b/>
                <w:bCs/>
              </w:rPr>
              <w:t>Scientific Name</w:t>
            </w:r>
          </w:p>
        </w:tc>
        <w:tc>
          <w:tcPr>
            <w:tcW w:w="2916" w:type="dxa"/>
            <w:tcBorders>
              <w:top w:val="single" w:color="auto" w:sz="2" w:space="0"/>
              <w:bottom w:val="single" w:color="000000" w:sz="12" w:space="0"/>
            </w:tcBorders>
            <w:shd w:val="clear" w:color="auto" w:fill="auto"/>
          </w:tcPr>
          <w:p w:rsidRPr="00C5163B" w:rsidR="00C5163B" w:rsidP="005331F3" w:rsidRDefault="00C5163B" w14:paraId="0AB407D7" w14:textId="77777777">
            <w:pPr>
              <w:rPr>
                <w:b/>
                <w:bCs/>
              </w:rPr>
            </w:pPr>
            <w:r w:rsidRPr="00C5163B">
              <w:rPr>
                <w:b/>
                <w:bCs/>
              </w:rPr>
              <w:t>Common Name</w:t>
            </w:r>
          </w:p>
        </w:tc>
        <w:tc>
          <w:tcPr>
            <w:tcW w:w="1956" w:type="dxa"/>
            <w:tcBorders>
              <w:top w:val="single" w:color="auto" w:sz="2" w:space="0"/>
              <w:bottom w:val="single" w:color="000000" w:sz="12" w:space="0"/>
            </w:tcBorders>
            <w:shd w:val="clear" w:color="auto" w:fill="auto"/>
          </w:tcPr>
          <w:p w:rsidRPr="00C5163B" w:rsidR="00C5163B" w:rsidP="005331F3" w:rsidRDefault="00C5163B" w14:paraId="379D89FD" w14:textId="77777777">
            <w:pPr>
              <w:rPr>
                <w:b/>
                <w:bCs/>
              </w:rPr>
            </w:pPr>
            <w:r w:rsidRPr="00C5163B">
              <w:rPr>
                <w:b/>
                <w:bCs/>
              </w:rPr>
              <w:t>Canopy Position</w:t>
            </w:r>
          </w:p>
        </w:tc>
      </w:tr>
      <w:tr w:rsidRPr="00C5163B" w:rsidR="00C5163B" w:rsidTr="00C5163B" w14:paraId="67F414CC" w14:textId="77777777">
        <w:tc>
          <w:tcPr>
            <w:tcW w:w="1224" w:type="dxa"/>
            <w:tcBorders>
              <w:top w:val="single" w:color="000000" w:sz="12" w:space="0"/>
            </w:tcBorders>
            <w:shd w:val="clear" w:color="auto" w:fill="auto"/>
          </w:tcPr>
          <w:p w:rsidRPr="00C5163B" w:rsidR="00C5163B" w:rsidP="005331F3" w:rsidRDefault="00C5163B" w14:paraId="346ACA8B" w14:textId="77777777">
            <w:pPr>
              <w:rPr>
                <w:bCs/>
              </w:rPr>
            </w:pPr>
            <w:r w:rsidRPr="00C5163B">
              <w:rPr>
                <w:bCs/>
              </w:rPr>
              <w:t>SAEX</w:t>
            </w:r>
          </w:p>
        </w:tc>
        <w:tc>
          <w:tcPr>
            <w:tcW w:w="3264" w:type="dxa"/>
            <w:tcBorders>
              <w:top w:val="single" w:color="000000" w:sz="12" w:space="0"/>
            </w:tcBorders>
            <w:shd w:val="clear" w:color="auto" w:fill="auto"/>
          </w:tcPr>
          <w:p w:rsidRPr="00C5163B" w:rsidR="00C5163B" w:rsidP="005331F3" w:rsidRDefault="00C5163B" w14:paraId="7FE91906" w14:textId="77777777">
            <w:r w:rsidRPr="00C5163B">
              <w:t xml:space="preserve">Salix </w:t>
            </w:r>
            <w:proofErr w:type="spellStart"/>
            <w:r w:rsidRPr="00C5163B">
              <w:t>exigua</w:t>
            </w:r>
            <w:proofErr w:type="spellEnd"/>
          </w:p>
        </w:tc>
        <w:tc>
          <w:tcPr>
            <w:tcW w:w="2916" w:type="dxa"/>
            <w:tcBorders>
              <w:top w:val="single" w:color="000000" w:sz="12" w:space="0"/>
            </w:tcBorders>
            <w:shd w:val="clear" w:color="auto" w:fill="auto"/>
          </w:tcPr>
          <w:p w:rsidRPr="00C5163B" w:rsidR="00C5163B" w:rsidP="005331F3" w:rsidRDefault="00C5163B" w14:paraId="2C71F5EA" w14:textId="77777777">
            <w:r w:rsidRPr="00C5163B">
              <w:t>Narrowleaf willow</w:t>
            </w:r>
          </w:p>
        </w:tc>
        <w:tc>
          <w:tcPr>
            <w:tcW w:w="1956" w:type="dxa"/>
            <w:tcBorders>
              <w:top w:val="single" w:color="000000" w:sz="12" w:space="0"/>
            </w:tcBorders>
            <w:shd w:val="clear" w:color="auto" w:fill="auto"/>
          </w:tcPr>
          <w:p w:rsidRPr="00C5163B" w:rsidR="00C5163B" w:rsidP="005331F3" w:rsidRDefault="00C5163B" w14:paraId="2AF3D9B7" w14:textId="77777777">
            <w:r w:rsidRPr="00C5163B">
              <w:t>Middle</w:t>
            </w:r>
          </w:p>
        </w:tc>
      </w:tr>
      <w:tr w:rsidRPr="00C5163B" w:rsidR="004D7B20" w:rsidTr="00C5163B" w14:paraId="2764BB0F" w14:textId="77777777">
        <w:tc>
          <w:tcPr>
            <w:tcW w:w="1224" w:type="dxa"/>
            <w:shd w:val="clear" w:color="auto" w:fill="auto"/>
          </w:tcPr>
          <w:p w:rsidRPr="00C5163B" w:rsidR="004D7B20" w:rsidP="004D7B20" w:rsidRDefault="004D7B20" w14:paraId="19CED5B7" w14:textId="271943BA">
            <w:pPr>
              <w:rPr>
                <w:bCs/>
              </w:rPr>
            </w:pPr>
            <w:r>
              <w:rPr>
                <w:bCs/>
              </w:rPr>
              <w:t>SALA3</w:t>
            </w:r>
          </w:p>
        </w:tc>
        <w:tc>
          <w:tcPr>
            <w:tcW w:w="3264" w:type="dxa"/>
            <w:shd w:val="clear" w:color="auto" w:fill="auto"/>
          </w:tcPr>
          <w:p w:rsidRPr="00C5163B" w:rsidR="004D7B20" w:rsidP="004D7B20" w:rsidRDefault="004D7B20" w14:paraId="2EE98DC5" w14:textId="30368F81">
            <w:r>
              <w:t xml:space="preserve">Salix </w:t>
            </w:r>
            <w:r w:rsidR="00442AE9">
              <w:t>laevigate</w:t>
            </w:r>
          </w:p>
        </w:tc>
        <w:tc>
          <w:tcPr>
            <w:tcW w:w="2916" w:type="dxa"/>
            <w:shd w:val="clear" w:color="auto" w:fill="auto"/>
          </w:tcPr>
          <w:p w:rsidRPr="00C5163B" w:rsidR="004D7B20" w:rsidP="004D7B20" w:rsidRDefault="004D7B20" w14:paraId="50F0928F" w14:textId="715AEF82">
            <w:r>
              <w:t>Red willow</w:t>
            </w:r>
          </w:p>
        </w:tc>
        <w:tc>
          <w:tcPr>
            <w:tcW w:w="1956" w:type="dxa"/>
            <w:shd w:val="clear" w:color="auto" w:fill="auto"/>
          </w:tcPr>
          <w:p w:rsidRPr="00C5163B" w:rsidR="004D7B20" w:rsidP="004D7B20" w:rsidRDefault="004D7B20" w14:paraId="3833698B" w14:textId="77777777">
            <w:r w:rsidRPr="00C5163B">
              <w:t>Upper</w:t>
            </w:r>
          </w:p>
        </w:tc>
      </w:tr>
      <w:tr w:rsidRPr="00C5163B" w:rsidR="00C5163B" w:rsidTr="00C5163B" w14:paraId="39EE1603" w14:textId="77777777">
        <w:tc>
          <w:tcPr>
            <w:tcW w:w="1224" w:type="dxa"/>
            <w:shd w:val="clear" w:color="auto" w:fill="auto"/>
          </w:tcPr>
          <w:p w:rsidRPr="00C5163B" w:rsidR="00C5163B" w:rsidP="005331F3" w:rsidRDefault="00C5163B" w14:paraId="5E6905D0" w14:textId="77777777">
            <w:pPr>
              <w:rPr>
                <w:bCs/>
              </w:rPr>
            </w:pPr>
            <w:r w:rsidRPr="00C5163B">
              <w:rPr>
                <w:bCs/>
              </w:rPr>
              <w:t>SALUC</w:t>
            </w:r>
          </w:p>
        </w:tc>
        <w:tc>
          <w:tcPr>
            <w:tcW w:w="3264" w:type="dxa"/>
            <w:shd w:val="clear" w:color="auto" w:fill="auto"/>
          </w:tcPr>
          <w:p w:rsidRPr="00C5163B" w:rsidR="00C5163B" w:rsidP="005331F3" w:rsidRDefault="00C5163B" w14:paraId="7E10F4D2" w14:textId="77777777">
            <w:r w:rsidRPr="00C5163B">
              <w:t xml:space="preserve">Salix </w:t>
            </w:r>
            <w:proofErr w:type="spellStart"/>
            <w:r w:rsidRPr="00C5163B">
              <w:t>lucida</w:t>
            </w:r>
            <w:proofErr w:type="spellEnd"/>
            <w:r w:rsidRPr="00C5163B">
              <w:t xml:space="preserve"> ssp. </w:t>
            </w:r>
            <w:proofErr w:type="spellStart"/>
            <w:r w:rsidRPr="00C5163B">
              <w:t>caudata</w:t>
            </w:r>
            <w:proofErr w:type="spellEnd"/>
          </w:p>
        </w:tc>
        <w:tc>
          <w:tcPr>
            <w:tcW w:w="2916" w:type="dxa"/>
            <w:shd w:val="clear" w:color="auto" w:fill="auto"/>
          </w:tcPr>
          <w:p w:rsidRPr="00C5163B" w:rsidR="00C5163B" w:rsidP="005331F3" w:rsidRDefault="00C5163B" w14:paraId="6B8D0A95" w14:textId="77777777">
            <w:r w:rsidRPr="00C5163B">
              <w:t>Greenleaf willow</w:t>
            </w:r>
          </w:p>
        </w:tc>
        <w:tc>
          <w:tcPr>
            <w:tcW w:w="1956" w:type="dxa"/>
            <w:shd w:val="clear" w:color="auto" w:fill="auto"/>
          </w:tcPr>
          <w:p w:rsidRPr="00C5163B" w:rsidR="00C5163B" w:rsidP="005331F3" w:rsidRDefault="00C5163B" w14:paraId="1CDBDE5B" w14:textId="77777777">
            <w:r w:rsidRPr="00C5163B">
              <w:t>Upper</w:t>
            </w:r>
          </w:p>
        </w:tc>
      </w:tr>
      <w:tr w:rsidRPr="00C5163B" w:rsidR="00C5163B" w:rsidTr="00C5163B" w14:paraId="4858A1EB" w14:textId="77777777">
        <w:tc>
          <w:tcPr>
            <w:tcW w:w="1224" w:type="dxa"/>
            <w:shd w:val="clear" w:color="auto" w:fill="auto"/>
          </w:tcPr>
          <w:p w:rsidRPr="00C5163B" w:rsidR="00C5163B" w:rsidP="005331F3" w:rsidRDefault="00C5163B" w14:paraId="7DCF3978" w14:textId="77777777">
            <w:pPr>
              <w:rPr>
                <w:bCs/>
              </w:rPr>
            </w:pPr>
            <w:r w:rsidRPr="00C5163B">
              <w:rPr>
                <w:bCs/>
              </w:rPr>
              <w:t>SALAL2</w:t>
            </w:r>
          </w:p>
        </w:tc>
        <w:tc>
          <w:tcPr>
            <w:tcW w:w="3264" w:type="dxa"/>
            <w:shd w:val="clear" w:color="auto" w:fill="auto"/>
          </w:tcPr>
          <w:p w:rsidRPr="00C5163B" w:rsidR="00C5163B" w:rsidP="005331F3" w:rsidRDefault="00C5163B" w14:paraId="11DC9C45" w14:textId="77777777">
            <w:r w:rsidRPr="00C5163B">
              <w:t xml:space="preserve">Salix </w:t>
            </w:r>
            <w:proofErr w:type="spellStart"/>
            <w:r w:rsidRPr="00C5163B">
              <w:t>lasiolepis</w:t>
            </w:r>
            <w:proofErr w:type="spellEnd"/>
            <w:r w:rsidRPr="00C5163B">
              <w:t xml:space="preserve"> var. </w:t>
            </w:r>
            <w:proofErr w:type="spellStart"/>
            <w:r w:rsidRPr="00C5163B">
              <w:t>lasiolepis</w:t>
            </w:r>
            <w:proofErr w:type="spellEnd"/>
          </w:p>
        </w:tc>
        <w:tc>
          <w:tcPr>
            <w:tcW w:w="2916" w:type="dxa"/>
            <w:shd w:val="clear" w:color="auto" w:fill="auto"/>
          </w:tcPr>
          <w:p w:rsidRPr="00C5163B" w:rsidR="00C5163B" w:rsidP="005331F3" w:rsidRDefault="00C5163B" w14:paraId="5763B74A" w14:textId="77777777">
            <w:r w:rsidRPr="00C5163B">
              <w:t>Arroyo willow</w:t>
            </w:r>
          </w:p>
        </w:tc>
        <w:tc>
          <w:tcPr>
            <w:tcW w:w="1956" w:type="dxa"/>
            <w:shd w:val="clear" w:color="auto" w:fill="auto"/>
          </w:tcPr>
          <w:p w:rsidRPr="00C5163B" w:rsidR="00C5163B" w:rsidP="005331F3" w:rsidRDefault="00C5163B" w14:paraId="277B82E0" w14:textId="77777777">
            <w:r w:rsidRPr="00C5163B">
              <w:t>None</w:t>
            </w:r>
          </w:p>
        </w:tc>
      </w:tr>
    </w:tbl>
    <w:p w:rsidR="00C5163B" w:rsidP="00C5163B" w:rsidRDefault="00C5163B" w14:paraId="0B488659" w14:textId="77777777"/>
    <w:p w:rsidR="00C5163B" w:rsidP="00C5163B" w:rsidRDefault="00C5163B" w14:paraId="7856ACDD" w14:textId="77777777">
      <w:pPr>
        <w:pStyle w:val="SClassInfoPara"/>
      </w:pPr>
      <w:r>
        <w:t>Description</w:t>
      </w:r>
    </w:p>
    <w:p w:rsidR="00C5163B" w:rsidP="00C5163B" w:rsidRDefault="005F6537" w14:paraId="3032A4C1" w14:textId="67B8C173">
      <w:r>
        <w:t xml:space="preserve">Vegetation composition is highly dependent on the hydrologic regime and includes tall trees and shrubs. </w:t>
      </w:r>
      <w:proofErr w:type="spellStart"/>
      <w:r w:rsidRPr="004100D5" w:rsidR="00C5163B">
        <w:rPr>
          <w:i/>
        </w:rPr>
        <w:t>A</w:t>
      </w:r>
      <w:r w:rsidRPr="004100D5" w:rsidR="00342D23">
        <w:rPr>
          <w:i/>
        </w:rPr>
        <w:t>lnus</w:t>
      </w:r>
      <w:proofErr w:type="spellEnd"/>
      <w:r w:rsidRPr="004100D5" w:rsidR="00C5163B">
        <w:rPr>
          <w:i/>
        </w:rPr>
        <w:t xml:space="preserve"> </w:t>
      </w:r>
      <w:r w:rsidR="00C5163B">
        <w:t xml:space="preserve">and </w:t>
      </w:r>
      <w:proofErr w:type="spellStart"/>
      <w:r w:rsidRPr="004100D5" w:rsidR="00BB69FB">
        <w:rPr>
          <w:rStyle w:val="search"/>
          <w:i/>
          <w:iCs/>
        </w:rPr>
        <w:t>Populus</w:t>
      </w:r>
      <w:proofErr w:type="spellEnd"/>
      <w:r w:rsidRPr="004100D5" w:rsidR="00BB69FB">
        <w:rPr>
          <w:rStyle w:val="search"/>
          <w:i/>
        </w:rPr>
        <w:t xml:space="preserve"> </w:t>
      </w:r>
      <w:r w:rsidRPr="004100D5" w:rsidR="00BB69FB">
        <w:rPr>
          <w:rStyle w:val="search"/>
          <w:i/>
          <w:iCs/>
        </w:rPr>
        <w:t>balsamifera</w:t>
      </w:r>
      <w:r w:rsidRPr="00BB69FB" w:rsidR="00BB69FB">
        <w:rPr>
          <w:rStyle w:val="search"/>
        </w:rPr>
        <w:t xml:space="preserve"> </w:t>
      </w:r>
      <w:r w:rsidR="00BB69FB">
        <w:rPr>
          <w:rStyle w:val="search"/>
        </w:rPr>
        <w:t xml:space="preserve">ssp. </w:t>
      </w:r>
      <w:proofErr w:type="spellStart"/>
      <w:r w:rsidRPr="004100D5" w:rsidR="00BB69FB">
        <w:rPr>
          <w:rStyle w:val="search"/>
          <w:i/>
          <w:iCs/>
        </w:rPr>
        <w:t>trichocarpa</w:t>
      </w:r>
      <w:proofErr w:type="spellEnd"/>
      <w:r w:rsidR="00BB69FB">
        <w:rPr>
          <w:rStyle w:val="search"/>
          <w:i/>
          <w:iCs/>
        </w:rPr>
        <w:t xml:space="preserve"> </w:t>
      </w:r>
      <w:r w:rsidR="00C5163B">
        <w:t>are additional indicator species for this class.</w:t>
      </w:r>
    </w:p>
    <w:p w:rsidR="00C5163B" w:rsidP="00C5163B" w:rsidRDefault="00C5163B" w14:paraId="44B9D3D2" w14:textId="77777777"/>
    <w:p>
      <w:r>
        <w:rPr>
          <w:i/>
          <w:u w:val="single"/>
        </w:rPr>
        <w:t>Maximum Tree Size Class</w:t>
      </w:r>
      <w:br/>
      <w:r>
        <w:t>Pole 5-9" DBH</w:t>
      </w:r>
    </w:p>
    <w:p w:rsidR="00C5163B" w:rsidP="00C5163B" w:rsidRDefault="00CD5B3C" w14:paraId="27FFFB4E" w14:textId="4044FCEA">
      <w:pPr>
        <w:pStyle w:val="InfoPara"/>
        <w:pBdr>
          <w:top w:val="single" w:color="auto" w:sz="4" w:space="1"/>
        </w:pBdr>
      </w:pPr>
      <w:r xmlns:w="http://schemas.openxmlformats.org/wordprocessingml/2006/main">
        <w:t>Class C</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C5163B" w:rsidP="00C5163B" w:rsidRDefault="00C5163B" w14:paraId="39BBF0F3" w14:textId="77777777"/>
    <w:p w:rsidR="00C5163B" w:rsidP="00C5163B" w:rsidRDefault="00C5163B" w14:paraId="7A1762E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916"/>
        <w:gridCol w:w="2916"/>
        <w:gridCol w:w="1956"/>
      </w:tblGrid>
      <w:tr w:rsidRPr="00C5163B" w:rsidR="00C5163B" w:rsidTr="00C5163B" w14:paraId="0B22CA31" w14:textId="77777777">
        <w:tc>
          <w:tcPr>
            <w:tcW w:w="1128" w:type="dxa"/>
            <w:tcBorders>
              <w:top w:val="single" w:color="auto" w:sz="2" w:space="0"/>
              <w:bottom w:val="single" w:color="000000" w:sz="12" w:space="0"/>
            </w:tcBorders>
            <w:shd w:val="clear" w:color="auto" w:fill="auto"/>
          </w:tcPr>
          <w:p w:rsidRPr="00C5163B" w:rsidR="00C5163B" w:rsidP="003876AC" w:rsidRDefault="00C5163B" w14:paraId="6E395250" w14:textId="77777777">
            <w:pPr>
              <w:rPr>
                <w:b/>
                <w:bCs/>
              </w:rPr>
            </w:pPr>
            <w:r w:rsidRPr="00C5163B">
              <w:rPr>
                <w:b/>
                <w:bCs/>
              </w:rPr>
              <w:t>Symbol</w:t>
            </w:r>
          </w:p>
        </w:tc>
        <w:tc>
          <w:tcPr>
            <w:tcW w:w="2916" w:type="dxa"/>
            <w:tcBorders>
              <w:top w:val="single" w:color="auto" w:sz="2" w:space="0"/>
              <w:bottom w:val="single" w:color="000000" w:sz="12" w:space="0"/>
            </w:tcBorders>
            <w:shd w:val="clear" w:color="auto" w:fill="auto"/>
          </w:tcPr>
          <w:p w:rsidRPr="00C5163B" w:rsidR="00C5163B" w:rsidP="003876AC" w:rsidRDefault="00C5163B" w14:paraId="2817BB94" w14:textId="77777777">
            <w:pPr>
              <w:rPr>
                <w:b/>
                <w:bCs/>
              </w:rPr>
            </w:pPr>
            <w:r w:rsidRPr="00C5163B">
              <w:rPr>
                <w:b/>
                <w:bCs/>
              </w:rPr>
              <w:t>Scientific Name</w:t>
            </w:r>
          </w:p>
        </w:tc>
        <w:tc>
          <w:tcPr>
            <w:tcW w:w="2916" w:type="dxa"/>
            <w:tcBorders>
              <w:top w:val="single" w:color="auto" w:sz="2" w:space="0"/>
              <w:bottom w:val="single" w:color="000000" w:sz="12" w:space="0"/>
            </w:tcBorders>
            <w:shd w:val="clear" w:color="auto" w:fill="auto"/>
          </w:tcPr>
          <w:p w:rsidRPr="00C5163B" w:rsidR="00C5163B" w:rsidP="003876AC" w:rsidRDefault="00C5163B" w14:paraId="3183E1A0" w14:textId="77777777">
            <w:pPr>
              <w:rPr>
                <w:b/>
                <w:bCs/>
              </w:rPr>
            </w:pPr>
            <w:r w:rsidRPr="00C5163B">
              <w:rPr>
                <w:b/>
                <w:bCs/>
              </w:rPr>
              <w:t>Common Name</w:t>
            </w:r>
          </w:p>
        </w:tc>
        <w:tc>
          <w:tcPr>
            <w:tcW w:w="1956" w:type="dxa"/>
            <w:tcBorders>
              <w:top w:val="single" w:color="auto" w:sz="2" w:space="0"/>
              <w:bottom w:val="single" w:color="000000" w:sz="12" w:space="0"/>
            </w:tcBorders>
            <w:shd w:val="clear" w:color="auto" w:fill="auto"/>
          </w:tcPr>
          <w:p w:rsidRPr="00C5163B" w:rsidR="00C5163B" w:rsidP="003876AC" w:rsidRDefault="00C5163B" w14:paraId="2B738E31" w14:textId="77777777">
            <w:pPr>
              <w:rPr>
                <w:b/>
                <w:bCs/>
              </w:rPr>
            </w:pPr>
            <w:r w:rsidRPr="00C5163B">
              <w:rPr>
                <w:b/>
                <w:bCs/>
              </w:rPr>
              <w:t>Canopy Position</w:t>
            </w:r>
          </w:p>
        </w:tc>
      </w:tr>
      <w:tr w:rsidRPr="00C5163B" w:rsidR="00C5163B" w:rsidTr="00C5163B" w14:paraId="2A381AA7" w14:textId="77777777">
        <w:tc>
          <w:tcPr>
            <w:tcW w:w="1128" w:type="dxa"/>
            <w:tcBorders>
              <w:top w:val="single" w:color="000000" w:sz="12" w:space="0"/>
            </w:tcBorders>
            <w:shd w:val="clear" w:color="auto" w:fill="auto"/>
          </w:tcPr>
          <w:p w:rsidRPr="00C5163B" w:rsidR="00C5163B" w:rsidP="003876AC" w:rsidRDefault="00C5163B" w14:paraId="50B36BDA" w14:textId="77777777">
            <w:pPr>
              <w:rPr>
                <w:bCs/>
              </w:rPr>
            </w:pPr>
            <w:r w:rsidRPr="00C5163B">
              <w:rPr>
                <w:bCs/>
              </w:rPr>
              <w:t>POPUL</w:t>
            </w:r>
          </w:p>
        </w:tc>
        <w:tc>
          <w:tcPr>
            <w:tcW w:w="2916" w:type="dxa"/>
            <w:tcBorders>
              <w:top w:val="single" w:color="000000" w:sz="12" w:space="0"/>
            </w:tcBorders>
            <w:shd w:val="clear" w:color="auto" w:fill="auto"/>
          </w:tcPr>
          <w:p w:rsidRPr="00C5163B" w:rsidR="00C5163B" w:rsidP="003876AC" w:rsidRDefault="00C5163B" w14:paraId="0E3D70ED" w14:textId="77777777">
            <w:proofErr w:type="spellStart"/>
            <w:r w:rsidRPr="00C5163B">
              <w:t>Populus</w:t>
            </w:r>
            <w:proofErr w:type="spellEnd"/>
          </w:p>
        </w:tc>
        <w:tc>
          <w:tcPr>
            <w:tcW w:w="2916" w:type="dxa"/>
            <w:tcBorders>
              <w:top w:val="single" w:color="000000" w:sz="12" w:space="0"/>
            </w:tcBorders>
            <w:shd w:val="clear" w:color="auto" w:fill="auto"/>
          </w:tcPr>
          <w:p w:rsidRPr="00C5163B" w:rsidR="00C5163B" w:rsidP="003876AC" w:rsidRDefault="00C5163B" w14:paraId="6621E8B2" w14:textId="77777777">
            <w:r w:rsidRPr="00C5163B">
              <w:t>Cottonwood</w:t>
            </w:r>
          </w:p>
        </w:tc>
        <w:tc>
          <w:tcPr>
            <w:tcW w:w="1956" w:type="dxa"/>
            <w:tcBorders>
              <w:top w:val="single" w:color="000000" w:sz="12" w:space="0"/>
            </w:tcBorders>
            <w:shd w:val="clear" w:color="auto" w:fill="auto"/>
          </w:tcPr>
          <w:p w:rsidRPr="00C5163B" w:rsidR="00C5163B" w:rsidP="003876AC" w:rsidRDefault="00C5163B" w14:paraId="3DE8E222" w14:textId="77777777">
            <w:r w:rsidRPr="00C5163B">
              <w:t>Upper</w:t>
            </w:r>
          </w:p>
        </w:tc>
      </w:tr>
      <w:tr w:rsidRPr="00C5163B" w:rsidR="004D7B20" w:rsidTr="00C5163B" w14:paraId="6B99AB4F" w14:textId="77777777">
        <w:tc>
          <w:tcPr>
            <w:tcW w:w="1128" w:type="dxa"/>
            <w:shd w:val="clear" w:color="auto" w:fill="auto"/>
          </w:tcPr>
          <w:p w:rsidRPr="00C5163B" w:rsidR="004D7B20" w:rsidP="004D7B20" w:rsidRDefault="004D7B20" w14:paraId="45634C83" w14:textId="6C116D02">
            <w:pPr>
              <w:rPr>
                <w:bCs/>
              </w:rPr>
            </w:pPr>
            <w:r>
              <w:rPr>
                <w:bCs/>
              </w:rPr>
              <w:t>SALA3</w:t>
            </w:r>
          </w:p>
        </w:tc>
        <w:tc>
          <w:tcPr>
            <w:tcW w:w="2916" w:type="dxa"/>
            <w:shd w:val="clear" w:color="auto" w:fill="auto"/>
          </w:tcPr>
          <w:p w:rsidRPr="00C5163B" w:rsidR="004D7B20" w:rsidP="004D7B20" w:rsidRDefault="004D7B20" w14:paraId="0D7B213F" w14:textId="618078F8">
            <w:r>
              <w:t xml:space="preserve">Salix </w:t>
            </w:r>
            <w:r w:rsidR="00442AE9">
              <w:t>laevigate</w:t>
            </w:r>
          </w:p>
        </w:tc>
        <w:tc>
          <w:tcPr>
            <w:tcW w:w="2916" w:type="dxa"/>
            <w:shd w:val="clear" w:color="auto" w:fill="auto"/>
          </w:tcPr>
          <w:p w:rsidRPr="00C5163B" w:rsidR="004D7B20" w:rsidP="004D7B20" w:rsidRDefault="004D7B20" w14:paraId="47B737B1" w14:textId="61E3F2D1">
            <w:r>
              <w:t>Red willow</w:t>
            </w:r>
          </w:p>
        </w:tc>
        <w:tc>
          <w:tcPr>
            <w:tcW w:w="1956" w:type="dxa"/>
            <w:shd w:val="clear" w:color="auto" w:fill="auto"/>
          </w:tcPr>
          <w:p w:rsidRPr="00C5163B" w:rsidR="004D7B20" w:rsidP="004D7B20" w:rsidRDefault="004D7B20" w14:paraId="5AE057EB" w14:textId="77777777">
            <w:r w:rsidRPr="00C5163B">
              <w:t>Mid-Upper</w:t>
            </w:r>
          </w:p>
        </w:tc>
      </w:tr>
      <w:tr w:rsidRPr="00C5163B" w:rsidR="00C5163B" w:rsidTr="00C5163B" w14:paraId="34BA244E" w14:textId="77777777">
        <w:tc>
          <w:tcPr>
            <w:tcW w:w="1128" w:type="dxa"/>
            <w:shd w:val="clear" w:color="auto" w:fill="auto"/>
          </w:tcPr>
          <w:p w:rsidRPr="00C5163B" w:rsidR="00C5163B" w:rsidP="003876AC" w:rsidRDefault="00C5163B" w14:paraId="014DE6D8" w14:textId="77777777">
            <w:pPr>
              <w:rPr>
                <w:bCs/>
              </w:rPr>
            </w:pPr>
            <w:r w:rsidRPr="00C5163B">
              <w:rPr>
                <w:bCs/>
              </w:rPr>
              <w:t>SALUC</w:t>
            </w:r>
          </w:p>
        </w:tc>
        <w:tc>
          <w:tcPr>
            <w:tcW w:w="2916" w:type="dxa"/>
            <w:shd w:val="clear" w:color="auto" w:fill="auto"/>
          </w:tcPr>
          <w:p w:rsidRPr="00C5163B" w:rsidR="00C5163B" w:rsidP="003876AC" w:rsidRDefault="00C5163B" w14:paraId="249DAA96" w14:textId="77777777">
            <w:r w:rsidRPr="00C5163B">
              <w:t xml:space="preserve">Salix </w:t>
            </w:r>
            <w:proofErr w:type="spellStart"/>
            <w:r w:rsidRPr="00C5163B">
              <w:t>lucida</w:t>
            </w:r>
            <w:proofErr w:type="spellEnd"/>
            <w:r w:rsidRPr="00C5163B">
              <w:t xml:space="preserve"> ssp. </w:t>
            </w:r>
            <w:proofErr w:type="spellStart"/>
            <w:r w:rsidRPr="00C5163B">
              <w:t>caudata</w:t>
            </w:r>
            <w:proofErr w:type="spellEnd"/>
          </w:p>
        </w:tc>
        <w:tc>
          <w:tcPr>
            <w:tcW w:w="2916" w:type="dxa"/>
            <w:shd w:val="clear" w:color="auto" w:fill="auto"/>
          </w:tcPr>
          <w:p w:rsidRPr="00C5163B" w:rsidR="00C5163B" w:rsidP="003876AC" w:rsidRDefault="00C5163B" w14:paraId="4FA60639" w14:textId="77777777">
            <w:r w:rsidRPr="00C5163B">
              <w:t>Greenleaf willow</w:t>
            </w:r>
          </w:p>
        </w:tc>
        <w:tc>
          <w:tcPr>
            <w:tcW w:w="1956" w:type="dxa"/>
            <w:shd w:val="clear" w:color="auto" w:fill="auto"/>
          </w:tcPr>
          <w:p w:rsidRPr="00C5163B" w:rsidR="00C5163B" w:rsidP="003876AC" w:rsidRDefault="00C5163B" w14:paraId="2F4993DC" w14:textId="77777777">
            <w:r w:rsidRPr="00C5163B">
              <w:t>None</w:t>
            </w:r>
          </w:p>
        </w:tc>
      </w:tr>
      <w:tr w:rsidRPr="00C5163B" w:rsidR="00C5163B" w:rsidTr="00C5163B" w14:paraId="51EE5C13" w14:textId="77777777">
        <w:tc>
          <w:tcPr>
            <w:tcW w:w="1128" w:type="dxa"/>
            <w:shd w:val="clear" w:color="auto" w:fill="auto"/>
          </w:tcPr>
          <w:p w:rsidRPr="00C5163B" w:rsidR="00C5163B" w:rsidP="003876AC" w:rsidRDefault="00C5163B" w14:paraId="640FA5D1" w14:textId="77777777">
            <w:pPr>
              <w:rPr>
                <w:bCs/>
              </w:rPr>
            </w:pPr>
            <w:r w:rsidRPr="00C5163B">
              <w:rPr>
                <w:bCs/>
              </w:rPr>
              <w:t>ALNUS</w:t>
            </w:r>
          </w:p>
        </w:tc>
        <w:tc>
          <w:tcPr>
            <w:tcW w:w="2916" w:type="dxa"/>
            <w:shd w:val="clear" w:color="auto" w:fill="auto"/>
          </w:tcPr>
          <w:p w:rsidRPr="00C5163B" w:rsidR="00C5163B" w:rsidP="003876AC" w:rsidRDefault="00C5163B" w14:paraId="475928D4" w14:textId="77777777">
            <w:proofErr w:type="spellStart"/>
            <w:r w:rsidRPr="00C5163B">
              <w:t>Alnus</w:t>
            </w:r>
            <w:proofErr w:type="spellEnd"/>
          </w:p>
        </w:tc>
        <w:tc>
          <w:tcPr>
            <w:tcW w:w="2916" w:type="dxa"/>
            <w:shd w:val="clear" w:color="auto" w:fill="auto"/>
          </w:tcPr>
          <w:p w:rsidRPr="00C5163B" w:rsidR="00C5163B" w:rsidP="003876AC" w:rsidRDefault="00C5163B" w14:paraId="4280280E" w14:textId="77777777">
            <w:r w:rsidRPr="00C5163B">
              <w:t>Alder</w:t>
            </w:r>
          </w:p>
        </w:tc>
        <w:tc>
          <w:tcPr>
            <w:tcW w:w="1956" w:type="dxa"/>
            <w:shd w:val="clear" w:color="auto" w:fill="auto"/>
          </w:tcPr>
          <w:p w:rsidRPr="00C5163B" w:rsidR="00C5163B" w:rsidP="003876AC" w:rsidRDefault="00C5163B" w14:paraId="498D6F29" w14:textId="77777777">
            <w:r w:rsidRPr="00C5163B">
              <w:t>None</w:t>
            </w:r>
          </w:p>
        </w:tc>
      </w:tr>
    </w:tbl>
    <w:p w:rsidR="00C5163B" w:rsidP="00C5163B" w:rsidRDefault="00C5163B" w14:paraId="404F191F" w14:textId="77777777"/>
    <w:p w:rsidR="00C5163B" w:rsidP="00C5163B" w:rsidRDefault="00C5163B" w14:paraId="35839A65" w14:textId="77777777">
      <w:pPr>
        <w:pStyle w:val="SClassInfoPara"/>
      </w:pPr>
      <w:r>
        <w:t>Description</w:t>
      </w:r>
    </w:p>
    <w:p w:rsidR="00C5163B" w:rsidP="00C5163B" w:rsidRDefault="005F6537" w14:paraId="14C6F042" w14:textId="382C27FF">
      <w:r>
        <w:t>M</w:t>
      </w:r>
      <w:r w:rsidR="00C5163B">
        <w:t>ature, large cottonwood, alder, etc.</w:t>
      </w:r>
      <w:r w:rsidR="00AC264B">
        <w:t>,</w:t>
      </w:r>
      <w:r w:rsidR="00C5163B">
        <w:t xml:space="preserve"> woodlands. Tree height can exceed 75</w:t>
      </w:r>
      <w:r w:rsidR="00E62564">
        <w:t>ft</w:t>
      </w:r>
      <w:r w:rsidR="00C5163B">
        <w:t xml:space="preserve">. </w:t>
      </w:r>
    </w:p>
    <w:p w:rsidR="00C5163B" w:rsidP="00C5163B" w:rsidRDefault="00C5163B" w14:paraId="6E5D58EB"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4</w:t>
            </w:r>
          </w:p>
        </w:tc>
      </w:tr>
      <w:tr>
        <w:tc>
          <w:p>
            <w:pPr>
              <w:jc w:val="center"/>
            </w:pPr>
            <w:r>
              <w:rPr>
                <w:sz w:val="20"/>
              </w:rPr>
              <w:t>Mid1:ALL</w:t>
            </w:r>
          </w:p>
        </w:tc>
        <w:tc>
          <w:p>
            <w:pPr>
              <w:jc w:val="center"/>
            </w:pPr>
            <w:r>
              <w:rPr>
                <w:sz w:val="20"/>
              </w:rPr>
              <w:t>5</w:t>
            </w:r>
          </w:p>
        </w:tc>
        <w:tc>
          <w:p>
            <w:pPr>
              <w:jc w:val="center"/>
            </w:pPr>
            <w:r>
              <w:rPr>
                <w:sz w:val="20"/>
              </w:rPr>
              <w:t>Late1:CLS</w:t>
            </w:r>
          </w:p>
        </w:tc>
        <w:tc>
          <w:p>
            <w:pPr>
              <w:jc w:val="center"/>
            </w:pPr>
            <w:r>
              <w:rPr>
                <w:sz w:val="20"/>
              </w:rPr>
              <w:t>24</w:t>
            </w:r>
          </w:p>
        </w:tc>
      </w:tr>
      <w:tr>
        <w:tc>
          <w:p>
            <w:pPr>
              <w:jc w:val="center"/>
            </w:pPr>
            <w:r>
              <w:rPr>
                <w:sz w:val="20"/>
              </w:rPr>
              <w:t>Late1:CLS</w:t>
            </w:r>
          </w:p>
        </w:tc>
        <w:tc>
          <w:p>
            <w:pPr>
              <w:jc w:val="center"/>
            </w:pPr>
            <w:r>
              <w:rPr>
                <w:sz w:val="20"/>
              </w:rPr>
              <w:t>25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Mid1:ALL</w:t>
            </w:r>
          </w:p>
        </w:tc>
        <w:tc>
          <w:p>
            <w:pPr>
              <w:jc w:val="center"/>
            </w:pPr>
            <w:r>
              <w:rPr>
                <w:sz w:val="20"/>
              </w:rPr>
              <w:t>Mid1:ALL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Mid1:ALL</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Mid1:ALL</w:t>
            </w:r>
          </w:p>
        </w:tc>
        <w:tc>
          <w:p>
            <w:pPr>
              <w:jc w:val="center"/>
            </w:pPr>
            <w:r>
              <w:rPr>
                <w:sz w:val="20"/>
              </w:rPr>
              <w:t>Mid1:ALL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Mid1:ALL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w:pStyle w:val="InfoPara"/>
      </w:pPr>
      <w:r>
        <w:t>Optional Disturbances</w:t>
      </w:r>
    </w:p>
    <w:p>
      <w:r>
        <w:t>Optional 1: American beaver</w:t>
      </w:r>
    </w:p>
    <w:p>
      <w:r>
        <w:t/>
      </w:r>
    </w:p>
    <w:p>
      <w:pPr xmlns:w="http://schemas.openxmlformats.org/wordprocessingml/2006/main">
        <w:pStyle w:val="ReportSection"/>
      </w:pPr>
      <w:r xmlns:w="http://schemas.openxmlformats.org/wordprocessingml/2006/main">
        <w:t>References</w:t>
      </w:r>
    </w:p>
    <w:p>
      <w:r>
        <w:t/>
      </w:r>
    </w:p>
    <w:p w:rsidR="00C5163B" w:rsidP="00C5163B" w:rsidRDefault="00C5163B" w14:paraId="5A52ABC2" w14:textId="159EC1EC">
      <w:r>
        <w:t>Barbour, M.G.,</w:t>
      </w:r>
      <w:r w:rsidR="00F01C50">
        <w:t xml:space="preserve"> </w:t>
      </w:r>
      <w:r>
        <w:t xml:space="preserve">and W. D. Billings, </w:t>
      </w:r>
      <w:r w:rsidR="00BB0665">
        <w:t>eds</w:t>
      </w:r>
      <w:r>
        <w:t>. 1988. North American terrestrial vegetation. NY: Cambridge University Press. 434 pp.</w:t>
      </w:r>
    </w:p>
    <w:p w:rsidR="00C5163B" w:rsidP="00C5163B" w:rsidRDefault="00C5163B" w14:paraId="30941715" w14:textId="77777777"/>
    <w:p w:rsidR="00C5163B" w:rsidP="00C5163B" w:rsidRDefault="00C5163B" w14:paraId="3C463FCB" w14:textId="77777777">
      <w:r>
        <w:t>Barbour, M.G. and J. Major, eds. 1977. Terrestrial vegetation of California. NY: John Wiley and Sons. 1002 pp.</w:t>
      </w:r>
    </w:p>
    <w:p w:rsidR="00C5163B" w:rsidP="00C5163B" w:rsidRDefault="00C5163B" w14:paraId="6E0A2D4E" w14:textId="77777777"/>
    <w:p w:rsidR="00B513DE" w:rsidP="00B513DE" w:rsidRDefault="00B513DE" w14:paraId="30EBE2F5" w14:textId="77777777">
      <w:r>
        <w:t>Bendix, Jacob; Cowell, C. Mark. 2010. Impacts of wildfire on the composition and structure of riparian forests in southern California. Ecosystems. 13(1): 99-107.</w:t>
      </w:r>
    </w:p>
    <w:p w:rsidR="00B513DE" w:rsidP="00B513DE" w:rsidRDefault="00B513DE" w14:paraId="646EA333" w14:textId="77777777"/>
    <w:p w:rsidR="003C2EC5" w:rsidP="003C2EC5" w:rsidRDefault="003C2EC5" w14:paraId="431169E7" w14:textId="77777777">
      <w:r>
        <w:t xml:space="preserve">Bendix, Jacob; Cowell, C. Mark. 2013. Disturbance and riparian tree establishment in the </w:t>
      </w:r>
      <w:proofErr w:type="spellStart"/>
      <w:r>
        <w:t>Sespe</w:t>
      </w:r>
      <w:proofErr w:type="spellEnd"/>
      <w:r>
        <w:t xml:space="preserve"> Wilderness, California, USA. Physical Geography. 34(2): 149-158. </w:t>
      </w:r>
    </w:p>
    <w:p w:rsidR="003C2EC5" w:rsidP="00B513DE" w:rsidRDefault="003C2EC5" w14:paraId="0E189EB5" w14:textId="77777777"/>
    <w:p w:rsidR="00B513DE" w:rsidP="00B513DE" w:rsidRDefault="00B513DE" w14:paraId="0377BF56" w14:textId="77777777">
      <w:proofErr w:type="spellStart"/>
      <w:r>
        <w:t>Bossard</w:t>
      </w:r>
      <w:proofErr w:type="spellEnd"/>
      <w:r>
        <w:t>, Carla C.; Randall, John M. 2007. Nonnative plants of California. In: Barbour, Michael G.; Keeler-Wolf, Todd; Schoenherr, Allan A., eds. Terrestrial vegetation of California. Berkeley, CA: University of California Press: 107-123.</w:t>
      </w:r>
    </w:p>
    <w:p w:rsidR="00B513DE" w:rsidP="00B513DE" w:rsidRDefault="00B513DE" w14:paraId="23F3F79F" w14:textId="77777777"/>
    <w:p w:rsidR="00B513DE" w:rsidP="00B513DE" w:rsidRDefault="00B513DE" w14:paraId="616F5D23" w14:textId="77777777">
      <w:r>
        <w:t xml:space="preserve">Dudley, Tom. 1998. Exotic plant invasions in California riparian areas and wetlands. </w:t>
      </w:r>
      <w:proofErr w:type="spellStart"/>
      <w:r>
        <w:t>Fremontia</w:t>
      </w:r>
      <w:proofErr w:type="spellEnd"/>
      <w:r>
        <w:t xml:space="preserve">. 26(4): 24-29. </w:t>
      </w:r>
    </w:p>
    <w:p w:rsidR="00F17AE1" w:rsidP="00C5163B" w:rsidRDefault="00F17AE1" w14:paraId="777D913E" w14:textId="77777777"/>
    <w:p w:rsidR="003C2EC5" w:rsidP="003C2EC5" w:rsidRDefault="003C2EC5" w14:paraId="04C79C5B" w14:textId="05BA9171">
      <w:r>
        <w:t>Fryer, Janet L. 2015</w:t>
      </w:r>
      <w:r w:rsidR="00825B88">
        <w:t>a</w:t>
      </w:r>
      <w:r>
        <w:t xml:space="preserve">. Fire regimes of montane riparian communities in California and southwestern Oregon. In: Fire Effects Information System, [Online]. U.S. Department of Agriculture, Forest Service, Rocky Mountain Research Station, Missoula Fire Sciences Laboratory (Producer). Available: http://www.fs.fed.us/database/feis/fire_regimes/CA_montane_riparian/all.html </w:t>
      </w:r>
    </w:p>
    <w:p w:rsidR="003C2EC5" w:rsidP="00C5163B" w:rsidRDefault="003C2EC5" w14:paraId="78C600A8" w14:textId="77777777"/>
    <w:p w:rsidR="00F17AE1" w:rsidP="00C5163B" w:rsidRDefault="00F17AE1" w14:paraId="2739FCD3" w14:textId="7CB7BD63">
      <w:r>
        <w:t>Fryer, Janet L. 2015b. Fire regimes of woody riparian communities of the Central Valley, California. In: Fire Effects Information System, [Online]. U.S. Department of Agriculture, Forest Service, Rocky Mountain Research Station, Missoula Fire Sciences Laboratory (Producer). Available: http://www.fs.fed.us/database/feis/fire_regimes/CA_valley_riparian/all.html</w:t>
      </w:r>
    </w:p>
    <w:p w:rsidR="00037FE7" w:rsidP="00C5163B" w:rsidRDefault="00037FE7" w14:paraId="66345914" w14:textId="77777777"/>
    <w:p w:rsidR="00C5163B" w:rsidP="00C5163B" w:rsidRDefault="00C5163B" w14:paraId="1778EC05" w14:textId="235B5C07">
      <w:r>
        <w:t>Hall, E.R. 1946. Mammals of Nevada. Reno, NV: University of Nevada Press.</w:t>
      </w:r>
    </w:p>
    <w:p w:rsidR="00C5163B" w:rsidP="00C5163B" w:rsidRDefault="00C5163B" w14:paraId="150337D6" w14:textId="77777777"/>
    <w:p w:rsidR="00C5163B" w:rsidP="00C5163B" w:rsidRDefault="00C5163B" w14:paraId="3781D32D" w14:textId="56B7E466">
      <w:r>
        <w:t>Johnson, C.G. and S.A. Simon. 1985. Plant associations of the Wallowa Valley Ranger District, Part II: Steppe. USDA Forest Service, Pacific Northwest Region, Wallowa-Whitman National Forest. 258 pp.</w:t>
      </w:r>
    </w:p>
    <w:p w:rsidR="00C5163B" w:rsidP="00C5163B" w:rsidRDefault="00C5163B" w14:paraId="0A8F354D" w14:textId="77777777"/>
    <w:p w:rsidR="00037FE7" w:rsidP="00037FE7" w:rsidRDefault="00037FE7" w14:paraId="29EB4320" w14:textId="77777777">
      <w:r>
        <w:t>Kaczynski, Kristen Mannix. 2007. Invasive species in wilderness as a function of burn severity: a case study in Yosemite National Park, California. Boulder, CO: University of Colorado. 84 p. Thesis.</w:t>
      </w:r>
    </w:p>
    <w:p w:rsidR="00037FE7" w:rsidP="00037FE7" w:rsidRDefault="00037FE7" w14:paraId="417AFCEA" w14:textId="77777777"/>
    <w:p w:rsidR="00037FE7" w:rsidP="00037FE7" w:rsidRDefault="00037FE7" w14:paraId="26457221" w14:textId="77777777">
      <w:r>
        <w:t xml:space="preserve">Klinger, Rob; Wills, Robin; Brooks, Matthew L. 2008. Fire and nonnative invasive plants in the Southwest Coastal bioregion. In: </w:t>
      </w:r>
      <w:proofErr w:type="spellStart"/>
      <w:r>
        <w:t>Zouhar</w:t>
      </w:r>
      <w:proofErr w:type="spellEnd"/>
      <w:r>
        <w:t xml:space="preserve">, Kristin; Smith, Jane </w:t>
      </w:r>
      <w:proofErr w:type="spellStart"/>
      <w:r>
        <w:t>Kapler</w:t>
      </w:r>
      <w:proofErr w:type="spellEnd"/>
      <w:r>
        <w:t xml:space="preserve">; Sutherland, Steve; Brooks, Matthew L., eds. Wildland fire in ecosystems: fire and nonnative invasive plants. Gen. Tech. Rep. RMRS-GTR-42-vol. 6. Ogden, UT: U.S. Department of Agriculture, Forest Service, Rocky Mountain Research Station: 175-196. </w:t>
      </w:r>
    </w:p>
    <w:p w:rsidR="00037FE7" w:rsidP="00037FE7" w:rsidRDefault="00037FE7" w14:paraId="51381CA7" w14:textId="77777777"/>
    <w:p w:rsidR="00037FE7" w:rsidP="00037FE7" w:rsidRDefault="00037FE7" w14:paraId="70B00323" w14:textId="77777777">
      <w:proofErr w:type="spellStart"/>
      <w:r>
        <w:t>Kobziar</w:t>
      </w:r>
      <w:proofErr w:type="spellEnd"/>
      <w:r>
        <w:t xml:space="preserve">, Leda N.; McBride, Joe R. 2006. Wildfire burn patterns and riparian vegetation response along two northern Sierra Nevada streams. Forest Ecology and Management. 222(1-3): 254-265. </w:t>
      </w:r>
    </w:p>
    <w:p w:rsidR="00037FE7" w:rsidP="00037FE7" w:rsidRDefault="00037FE7" w14:paraId="2B755911" w14:textId="77777777"/>
    <w:p w:rsidR="00037FE7" w:rsidP="00037FE7" w:rsidRDefault="00037FE7" w14:paraId="4FE6A4AF" w14:textId="77777777">
      <w:r>
        <w:t xml:space="preserve">Luce, Charles; Morgan, Penny; </w:t>
      </w:r>
      <w:proofErr w:type="spellStart"/>
      <w:r>
        <w:t>Dwire</w:t>
      </w:r>
      <w:proofErr w:type="spellEnd"/>
      <w:r>
        <w:t xml:space="preserve">, Kathleen; Isaak, Daniel; Holden, Zachary; </w:t>
      </w:r>
      <w:proofErr w:type="spellStart"/>
      <w:r>
        <w:t>Rieman</w:t>
      </w:r>
      <w:proofErr w:type="spellEnd"/>
      <w:r>
        <w:t xml:space="preserve">, Bruce. 2012. Part II: Biological systems. In: Luce, Charles; Morgan, Penny; </w:t>
      </w:r>
      <w:proofErr w:type="spellStart"/>
      <w:r>
        <w:t>Dwire</w:t>
      </w:r>
      <w:proofErr w:type="spellEnd"/>
      <w:r>
        <w:t xml:space="preserve">, Kathleen; Isaak, Daniel; Holden, Zachary; </w:t>
      </w:r>
      <w:proofErr w:type="spellStart"/>
      <w:r>
        <w:t>Rieman</w:t>
      </w:r>
      <w:proofErr w:type="spellEnd"/>
      <w:r>
        <w:t>, Bruce, eds. Climate change, forests, fire, water, and fish: building resilient landscapes, streams, and managers. General Technical Report RMRS-GTR-290. Fort Collins, CO: U.S. Department of Agriculture, Forest Service, Rocky Mountain Research Station: 39-86.</w:t>
      </w:r>
    </w:p>
    <w:p w:rsidR="00037FE7" w:rsidP="00037FE7" w:rsidRDefault="00037FE7" w14:paraId="5E48C0AA" w14:textId="77777777"/>
    <w:p w:rsidR="00037FE7" w:rsidP="00037FE7" w:rsidRDefault="00037FE7" w14:paraId="46E1CCC5" w14:textId="77777777">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 306 pp.</w:t>
      </w:r>
    </w:p>
    <w:p w:rsidR="00037FE7" w:rsidP="00037FE7" w:rsidRDefault="00037FE7" w14:paraId="6632780F" w14:textId="77777777"/>
    <w:p w:rsidR="00037FE7" w:rsidP="00037FE7" w:rsidRDefault="00037FE7" w14:paraId="28141399" w14:textId="77777777">
      <w:r>
        <w:t>Murphy, Kathy; Rich, Tim; Sexton, Tim. 2007. An assessment of fuel treatment effects on fire behavior, suppression effectiveness, and structure ignition on the Angora Fire. Tech. Pap. R5-TP-025. Vallejo, CA: U.S. Department of Agriculture, Forest Service, Pacific Southwest Region, Lake Tahoe Basin Management Unit. 32 p.</w:t>
      </w:r>
    </w:p>
    <w:p w:rsidR="00C5163B" w:rsidP="00C5163B" w:rsidRDefault="00C5163B" w14:paraId="1A74FFFF" w14:textId="77777777"/>
    <w:p w:rsidR="00C5163B" w:rsidP="00C5163B" w:rsidRDefault="00C5163B" w14:paraId="158D9CC6" w14:textId="77777777">
      <w:r>
        <w:t>NatureServe. 2007. International Ecological Classification Standard: Terrestrial Ecological Classifications. NatureServe Central Databases. Arlington, VA. Data current as of 10 February 2007.</w:t>
      </w:r>
    </w:p>
    <w:p w:rsidR="00037FE7" w:rsidP="00037FE7" w:rsidRDefault="00037FE7" w14:paraId="0514A31F" w14:textId="77777777"/>
    <w:p w:rsidR="00037FE7" w:rsidP="00037FE7" w:rsidRDefault="00037FE7" w14:paraId="03C28B78" w14:textId="77777777">
      <w:r>
        <w:t xml:space="preserve">Pettit, Neil E.; </w:t>
      </w:r>
      <w:proofErr w:type="spellStart"/>
      <w:r>
        <w:t>Naiman</w:t>
      </w:r>
      <w:proofErr w:type="spellEnd"/>
      <w:r>
        <w:t>, Robert J. 2007. Fire in the riparian zone: characteristics and ecological consequences. Ecosystems. 10(5): 673-687.</w:t>
      </w:r>
    </w:p>
    <w:p w:rsidR="00037FE7" w:rsidP="00037FE7" w:rsidRDefault="00037FE7" w14:paraId="596D3EB4" w14:textId="77777777"/>
    <w:p w:rsidR="00037FE7" w:rsidP="00037FE7" w:rsidRDefault="00037FE7" w14:paraId="4F0B5D80" w14:textId="77777777">
      <w:r>
        <w:t xml:space="preserve">Safford, Hugh D.; Schmidt, David A.; Carlson, Chris H. 2009. Effects of fuel treatments on fire severity in an area of wildland-urban interface, Angora fire, Lake Tahoe Basin, California. Forest Ecology and Management. 258(5): 773-787. </w:t>
      </w:r>
    </w:p>
    <w:p w:rsidR="00037FE7" w:rsidP="00037FE7" w:rsidRDefault="00037FE7" w14:paraId="020ED6BD" w14:textId="77777777"/>
    <w:p w:rsidR="00C5163B" w:rsidP="00C5163B" w:rsidRDefault="00C5163B" w14:paraId="244634CB" w14:textId="77777777">
      <w:r>
        <w:t>Sawyer, J.O. and T. Keeler-Wolf. 1995. A manual of California vegetation. Sacramento, CA: California Native Plant Society. 471 pp.</w:t>
      </w:r>
    </w:p>
    <w:p w:rsidR="00C5163B" w:rsidP="00C5163B" w:rsidRDefault="00C5163B" w14:paraId="34641F8C" w14:textId="77777777"/>
    <w:p w:rsidR="00C5163B" w:rsidP="00C5163B" w:rsidRDefault="00C5163B" w14:paraId="001B027F" w14:textId="1955B7E1">
      <w:r>
        <w:t>Schoenherr, Allan A. 1992. A Natural History of California. Berkeley, CA: University of California Press.</w:t>
      </w:r>
    </w:p>
    <w:p w:rsidR="00C5163B" w:rsidP="00C5163B" w:rsidRDefault="00C5163B" w14:paraId="273B844D" w14:textId="77777777"/>
    <w:p w:rsidR="00037FE7" w:rsidP="00037FE7" w:rsidRDefault="00037FE7" w14:paraId="4ABAED50" w14:textId="77777777">
      <w:r>
        <w:t xml:space="preserve">Shaffer, Kevin E.; </w:t>
      </w:r>
      <w:proofErr w:type="spellStart"/>
      <w:r>
        <w:t>Laudenslayer</w:t>
      </w:r>
      <w:proofErr w:type="spellEnd"/>
      <w:r>
        <w:t xml:space="preserve">, William F., Jr. 2006. Fire and animal interactions. In: Sugihara, Neil G.; van </w:t>
      </w:r>
      <w:proofErr w:type="spellStart"/>
      <w:r>
        <w:t>Wagtendonk</w:t>
      </w:r>
      <w:proofErr w:type="spellEnd"/>
      <w:r>
        <w:t xml:space="preserve">, Jan W.; Shaffer, Kevin E.; </w:t>
      </w:r>
      <w:proofErr w:type="spellStart"/>
      <w:r>
        <w:t>Fites</w:t>
      </w:r>
      <w:proofErr w:type="spellEnd"/>
      <w:r>
        <w:t xml:space="preserve">-Kaufman, Joann; </w:t>
      </w:r>
      <w:proofErr w:type="spellStart"/>
      <w:r>
        <w:t>Thode</w:t>
      </w:r>
      <w:proofErr w:type="spellEnd"/>
      <w:r>
        <w:t>, Andrea E., eds. Fire in California's ecosystems. Berkeley, CA: University of California Press: 118-144.</w:t>
      </w:r>
    </w:p>
    <w:p w:rsidR="00037FE7" w:rsidP="00C5163B" w:rsidRDefault="00037FE7" w14:paraId="002EEFE8" w14:textId="77777777"/>
    <w:p w:rsidR="00C5163B" w:rsidP="00C5163B" w:rsidRDefault="00C5163B" w14:paraId="314F405D" w14:textId="15EACA42">
      <w:r>
        <w:t>Skinner, Carl N. 1997. Fire history in riparian reserves of the Klamath Mountains. In: Cooper, Sandra and Neil Sugihara, eds. Proceedings - Fire in California Ecosystems: Integrating Ecology, Prevention, and Management. 17-20 November 1997, San Diego, CA. California Association for Fire Ecology (CAFE).</w:t>
      </w:r>
    </w:p>
    <w:p w:rsidR="00C5163B" w:rsidP="00C5163B" w:rsidRDefault="00C5163B" w14:paraId="4864EF19" w14:textId="77777777"/>
    <w:p w:rsidR="00037FE7" w:rsidP="00037FE7" w:rsidRDefault="00037FE7" w14:paraId="2365E912" w14:textId="77777777">
      <w:r>
        <w:t>Skinner, Carl N. 2002. Fire history in riparian reserves of the Klamath Mountains. In: Sugihara, Neil G.; Morales, Maria; Morales, Tony, eds. Fire in California ecosystems: integrating ecology, prevention and management: Proceedings of the symposium; 1997 November 17-20; San Diego, CA. Misc. Pub. No. 1. [Berkeley, CA]: Association for Fire Ecology: 164-169.</w:t>
      </w:r>
    </w:p>
    <w:p w:rsidR="00037FE7" w:rsidP="00037FE7" w:rsidRDefault="00037FE7" w14:paraId="17AB2624" w14:textId="77777777"/>
    <w:p w:rsidR="00037FE7" w:rsidP="00037FE7" w:rsidRDefault="00037FE7" w14:paraId="1BE2FB50" w14:textId="77777777">
      <w:r>
        <w:t>Skinner, Carl N. 2003. A tree-ring based fire history of riparian reserves in the Klamath Mountains. In: Faber, Phyllis M., ed. California riparian systems: processes and floodplains management, ecology and restoration. Riparian habitat and floodplains conference proceedings; 2001 March 12-15; Sacramento, CA. Sacramento, CA: Riparian Habitat Joint Venture: 116-119.</w:t>
      </w:r>
    </w:p>
    <w:p w:rsidR="00037FE7" w:rsidP="00037FE7" w:rsidRDefault="00037FE7" w14:paraId="6DCFE36F" w14:textId="77777777"/>
    <w:p w:rsidR="00037FE7" w:rsidP="00037FE7" w:rsidRDefault="00037FE7" w14:paraId="5B54FC14" w14:textId="77777777">
      <w:r>
        <w:t xml:space="preserve">Spies, Thomas A.; Cline, Steven P. 1988. Coarse woody debris in forests and plantations of coastal Oregon. In: Maser, Chris; Tarrant, Robert F.; Trappe, James M.; Franklin, Jerry F., tech. eds. From the forest to the sea: a story of fallen trees. Gen. Tech. Rep. PNW-GTR-229. Portland, OR: U.S. Department of Agriculture, Forest Service, Pacific Northwest Research Station: 5-24. </w:t>
      </w:r>
    </w:p>
    <w:p w:rsidR="00037FE7" w:rsidP="00037FE7" w:rsidRDefault="00037FE7" w14:paraId="4572E755" w14:textId="77777777"/>
    <w:p w:rsidRPr="00A43E41" w:rsidR="004D5F12" w:rsidP="00C5163B" w:rsidRDefault="00037FE7" w14:paraId="1645CE35" w14:textId="2312079B">
      <w:r>
        <w:t>Taylor, A.H. and C.N. Skinner. 1998. Fire history and landscape dynamics in a late-successional reserve, Klamath Mountains, California, USA. Forest Ecology and Management 111: 285-301.</w:t>
      </w:r>
    </w:p>
    <w:sectPr w:rsidRPr="00A43E41" w:rsidR="004D5F12" w:rsidSect="00575C2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BF44E" w14:textId="77777777" w:rsidR="00CB791E" w:rsidRDefault="00CB791E">
      <w:r>
        <w:separator/>
      </w:r>
    </w:p>
  </w:endnote>
  <w:endnote w:type="continuationSeparator" w:id="0">
    <w:p w14:paraId="34580DFB" w14:textId="77777777" w:rsidR="00CB791E" w:rsidRDefault="00CB791E">
      <w:r>
        <w:continuationSeparator/>
      </w:r>
    </w:p>
  </w:endnote>
  <w:endnote w:type="continuationNotice" w:id="1">
    <w:p w14:paraId="48D37BD3" w14:textId="77777777" w:rsidR="00CB791E" w:rsidRDefault="00CB79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14232" w14:textId="77777777" w:rsidR="00C5163B" w:rsidRDefault="00C5163B" w:rsidP="00C5163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C245D" w14:textId="77777777" w:rsidR="00CB791E" w:rsidRDefault="00CB791E">
      <w:r>
        <w:separator/>
      </w:r>
    </w:p>
  </w:footnote>
  <w:footnote w:type="continuationSeparator" w:id="0">
    <w:p w14:paraId="7844FF11" w14:textId="77777777" w:rsidR="00CB791E" w:rsidRDefault="00CB791E">
      <w:r>
        <w:continuationSeparator/>
      </w:r>
    </w:p>
  </w:footnote>
  <w:footnote w:type="continuationNotice" w:id="1">
    <w:p w14:paraId="5DA231DD" w14:textId="77777777" w:rsidR="00CB791E" w:rsidRDefault="00CB79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6B9B3" w14:textId="77777777" w:rsidR="00A43E41" w:rsidRDefault="00A43E41" w:rsidP="00C5163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63B"/>
    <w:rsid w:val="00006AF9"/>
    <w:rsid w:val="0002152F"/>
    <w:rsid w:val="00023101"/>
    <w:rsid w:val="00031661"/>
    <w:rsid w:val="00035AB6"/>
    <w:rsid w:val="00036067"/>
    <w:rsid w:val="00037FE7"/>
    <w:rsid w:val="0004144D"/>
    <w:rsid w:val="00060925"/>
    <w:rsid w:val="00062E6C"/>
    <w:rsid w:val="00065C05"/>
    <w:rsid w:val="000947F8"/>
    <w:rsid w:val="000D2569"/>
    <w:rsid w:val="000F0FE2"/>
    <w:rsid w:val="001027AC"/>
    <w:rsid w:val="00113A24"/>
    <w:rsid w:val="001368CB"/>
    <w:rsid w:val="00140332"/>
    <w:rsid w:val="001469DB"/>
    <w:rsid w:val="00181FCF"/>
    <w:rsid w:val="0018662C"/>
    <w:rsid w:val="00190A7C"/>
    <w:rsid w:val="00191991"/>
    <w:rsid w:val="001A0625"/>
    <w:rsid w:val="001A09C3"/>
    <w:rsid w:val="001C2B3F"/>
    <w:rsid w:val="001C6795"/>
    <w:rsid w:val="002035A1"/>
    <w:rsid w:val="002103D4"/>
    <w:rsid w:val="00210B26"/>
    <w:rsid w:val="00221CE9"/>
    <w:rsid w:val="00240CE1"/>
    <w:rsid w:val="0025768B"/>
    <w:rsid w:val="00266C1F"/>
    <w:rsid w:val="00285F40"/>
    <w:rsid w:val="002928D5"/>
    <w:rsid w:val="002A2340"/>
    <w:rsid w:val="002A563D"/>
    <w:rsid w:val="002B45B7"/>
    <w:rsid w:val="002C37E6"/>
    <w:rsid w:val="002E0A94"/>
    <w:rsid w:val="00300328"/>
    <w:rsid w:val="00301476"/>
    <w:rsid w:val="00313322"/>
    <w:rsid w:val="003301EC"/>
    <w:rsid w:val="00336F28"/>
    <w:rsid w:val="00342D23"/>
    <w:rsid w:val="00367591"/>
    <w:rsid w:val="003706C4"/>
    <w:rsid w:val="0037120A"/>
    <w:rsid w:val="003A3976"/>
    <w:rsid w:val="003C0093"/>
    <w:rsid w:val="003C2EC5"/>
    <w:rsid w:val="003C4AA1"/>
    <w:rsid w:val="003C6CFB"/>
    <w:rsid w:val="003D4155"/>
    <w:rsid w:val="003F322E"/>
    <w:rsid w:val="00400D76"/>
    <w:rsid w:val="004016D3"/>
    <w:rsid w:val="004100D5"/>
    <w:rsid w:val="00413292"/>
    <w:rsid w:val="00437DCA"/>
    <w:rsid w:val="00442AE9"/>
    <w:rsid w:val="004B3810"/>
    <w:rsid w:val="004B661D"/>
    <w:rsid w:val="004B779E"/>
    <w:rsid w:val="004D5F12"/>
    <w:rsid w:val="004D7B20"/>
    <w:rsid w:val="00503E44"/>
    <w:rsid w:val="00511556"/>
    <w:rsid w:val="00531069"/>
    <w:rsid w:val="0054515D"/>
    <w:rsid w:val="00546B88"/>
    <w:rsid w:val="005559BD"/>
    <w:rsid w:val="00572597"/>
    <w:rsid w:val="00573E56"/>
    <w:rsid w:val="00575C21"/>
    <w:rsid w:val="00587A2E"/>
    <w:rsid w:val="005A033C"/>
    <w:rsid w:val="005B1DDE"/>
    <w:rsid w:val="005C1B0B"/>
    <w:rsid w:val="005C2928"/>
    <w:rsid w:val="005C475F"/>
    <w:rsid w:val="005F333A"/>
    <w:rsid w:val="005F6537"/>
    <w:rsid w:val="0061440A"/>
    <w:rsid w:val="00621C0C"/>
    <w:rsid w:val="00626A79"/>
    <w:rsid w:val="00683368"/>
    <w:rsid w:val="00691641"/>
    <w:rsid w:val="00691C3A"/>
    <w:rsid w:val="006A51EC"/>
    <w:rsid w:val="006C0ECB"/>
    <w:rsid w:val="006C18ED"/>
    <w:rsid w:val="006D2137"/>
    <w:rsid w:val="006E03B0"/>
    <w:rsid w:val="006E0F41"/>
    <w:rsid w:val="006E59C5"/>
    <w:rsid w:val="00700C23"/>
    <w:rsid w:val="0070333C"/>
    <w:rsid w:val="00703CDD"/>
    <w:rsid w:val="00751DBE"/>
    <w:rsid w:val="00760203"/>
    <w:rsid w:val="00762A4D"/>
    <w:rsid w:val="007742B4"/>
    <w:rsid w:val="00783DDE"/>
    <w:rsid w:val="00791BB1"/>
    <w:rsid w:val="007B2B17"/>
    <w:rsid w:val="007C7AF3"/>
    <w:rsid w:val="007E4B31"/>
    <w:rsid w:val="007F33B2"/>
    <w:rsid w:val="007F51F3"/>
    <w:rsid w:val="007F56A2"/>
    <w:rsid w:val="0080104E"/>
    <w:rsid w:val="00820973"/>
    <w:rsid w:val="00825B88"/>
    <w:rsid w:val="008317C0"/>
    <w:rsid w:val="008327C1"/>
    <w:rsid w:val="0083523E"/>
    <w:rsid w:val="0085326E"/>
    <w:rsid w:val="00857297"/>
    <w:rsid w:val="008610DF"/>
    <w:rsid w:val="00863049"/>
    <w:rsid w:val="008658E9"/>
    <w:rsid w:val="00867BEE"/>
    <w:rsid w:val="00894093"/>
    <w:rsid w:val="008B679A"/>
    <w:rsid w:val="008D6868"/>
    <w:rsid w:val="008E0BF0"/>
    <w:rsid w:val="008E273F"/>
    <w:rsid w:val="008F1823"/>
    <w:rsid w:val="00901410"/>
    <w:rsid w:val="00901CA2"/>
    <w:rsid w:val="009275B8"/>
    <w:rsid w:val="00937196"/>
    <w:rsid w:val="00945DBA"/>
    <w:rsid w:val="00956116"/>
    <w:rsid w:val="00964894"/>
    <w:rsid w:val="00967C07"/>
    <w:rsid w:val="00970D0D"/>
    <w:rsid w:val="009B1FAA"/>
    <w:rsid w:val="009C52D4"/>
    <w:rsid w:val="009C78BA"/>
    <w:rsid w:val="009D6227"/>
    <w:rsid w:val="009E0DB5"/>
    <w:rsid w:val="009F0B00"/>
    <w:rsid w:val="009F25DF"/>
    <w:rsid w:val="00A247CE"/>
    <w:rsid w:val="00A3657F"/>
    <w:rsid w:val="00A43E41"/>
    <w:rsid w:val="00A44540"/>
    <w:rsid w:val="00A44EF7"/>
    <w:rsid w:val="00A524EE"/>
    <w:rsid w:val="00A820DC"/>
    <w:rsid w:val="00A9365B"/>
    <w:rsid w:val="00AA6DC7"/>
    <w:rsid w:val="00AC264B"/>
    <w:rsid w:val="00AD1C60"/>
    <w:rsid w:val="00AF1C45"/>
    <w:rsid w:val="00B032E3"/>
    <w:rsid w:val="00B17612"/>
    <w:rsid w:val="00B513DE"/>
    <w:rsid w:val="00B55CB2"/>
    <w:rsid w:val="00B650FF"/>
    <w:rsid w:val="00B746D4"/>
    <w:rsid w:val="00B92A33"/>
    <w:rsid w:val="00B97A97"/>
    <w:rsid w:val="00BB0665"/>
    <w:rsid w:val="00BB346C"/>
    <w:rsid w:val="00BB69FB"/>
    <w:rsid w:val="00BD45F1"/>
    <w:rsid w:val="00BF3879"/>
    <w:rsid w:val="00C0481C"/>
    <w:rsid w:val="00C21B4A"/>
    <w:rsid w:val="00C2600C"/>
    <w:rsid w:val="00C3230C"/>
    <w:rsid w:val="00C5163B"/>
    <w:rsid w:val="00C51F0C"/>
    <w:rsid w:val="00C52E14"/>
    <w:rsid w:val="00C908F2"/>
    <w:rsid w:val="00CB791E"/>
    <w:rsid w:val="00CD235C"/>
    <w:rsid w:val="00CD5B3C"/>
    <w:rsid w:val="00CF5B29"/>
    <w:rsid w:val="00D04D5D"/>
    <w:rsid w:val="00D111B5"/>
    <w:rsid w:val="00D12502"/>
    <w:rsid w:val="00D346C2"/>
    <w:rsid w:val="00D37B60"/>
    <w:rsid w:val="00D61AC5"/>
    <w:rsid w:val="00D71698"/>
    <w:rsid w:val="00D81349"/>
    <w:rsid w:val="00D90718"/>
    <w:rsid w:val="00D96D94"/>
    <w:rsid w:val="00DA2790"/>
    <w:rsid w:val="00DA6645"/>
    <w:rsid w:val="00DB5E0C"/>
    <w:rsid w:val="00DD58D6"/>
    <w:rsid w:val="00DE3A47"/>
    <w:rsid w:val="00DE5344"/>
    <w:rsid w:val="00DE5B29"/>
    <w:rsid w:val="00DF1337"/>
    <w:rsid w:val="00DF436A"/>
    <w:rsid w:val="00E01EC8"/>
    <w:rsid w:val="00E02CF7"/>
    <w:rsid w:val="00E152C8"/>
    <w:rsid w:val="00E23FCB"/>
    <w:rsid w:val="00E61F9B"/>
    <w:rsid w:val="00E62564"/>
    <w:rsid w:val="00E97299"/>
    <w:rsid w:val="00EC4A14"/>
    <w:rsid w:val="00ED3436"/>
    <w:rsid w:val="00ED69E5"/>
    <w:rsid w:val="00EF1C61"/>
    <w:rsid w:val="00EF6C66"/>
    <w:rsid w:val="00F01C50"/>
    <w:rsid w:val="00F12753"/>
    <w:rsid w:val="00F17AE1"/>
    <w:rsid w:val="00F33E6F"/>
    <w:rsid w:val="00F55FA9"/>
    <w:rsid w:val="00F626F4"/>
    <w:rsid w:val="00F86C13"/>
    <w:rsid w:val="00F873A7"/>
    <w:rsid w:val="00F948F2"/>
    <w:rsid w:val="00F96E2D"/>
    <w:rsid w:val="00FA1B8C"/>
    <w:rsid w:val="00FA28B7"/>
    <w:rsid w:val="00FC5F4D"/>
    <w:rsid w:val="00FC671A"/>
    <w:rsid w:val="00FE3FF8"/>
    <w:rsid w:val="00FE41CA"/>
    <w:rsid w:val="00FE7C21"/>
    <w:rsid w:val="00FF0FAC"/>
    <w:rsid w:val="22982D56"/>
    <w:rsid w:val="4225A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C64C0"/>
  <w15:docId w15:val="{DAF70A38-BFAB-4B3F-8A25-A605197CB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F01C50"/>
    <w:rPr>
      <w:sz w:val="16"/>
      <w:szCs w:val="16"/>
    </w:rPr>
  </w:style>
  <w:style w:type="paragraph" w:styleId="CommentText">
    <w:name w:val="annotation text"/>
    <w:basedOn w:val="Normal"/>
    <w:link w:val="CommentTextChar"/>
    <w:uiPriority w:val="99"/>
    <w:semiHidden/>
    <w:unhideWhenUsed/>
    <w:rsid w:val="00F01C50"/>
    <w:rPr>
      <w:sz w:val="20"/>
      <w:szCs w:val="20"/>
    </w:rPr>
  </w:style>
  <w:style w:type="character" w:customStyle="1" w:styleId="CommentTextChar">
    <w:name w:val="Comment Text Char"/>
    <w:basedOn w:val="DefaultParagraphFont"/>
    <w:link w:val="CommentText"/>
    <w:uiPriority w:val="99"/>
    <w:semiHidden/>
    <w:rsid w:val="00F01C50"/>
  </w:style>
  <w:style w:type="paragraph" w:styleId="CommentSubject">
    <w:name w:val="annotation subject"/>
    <w:basedOn w:val="CommentText"/>
    <w:next w:val="CommentText"/>
    <w:link w:val="CommentSubjectChar"/>
    <w:uiPriority w:val="99"/>
    <w:semiHidden/>
    <w:unhideWhenUsed/>
    <w:rsid w:val="00F01C50"/>
    <w:rPr>
      <w:b/>
      <w:bCs/>
    </w:rPr>
  </w:style>
  <w:style w:type="character" w:customStyle="1" w:styleId="CommentSubjectChar">
    <w:name w:val="Comment Subject Char"/>
    <w:basedOn w:val="CommentTextChar"/>
    <w:link w:val="CommentSubject"/>
    <w:uiPriority w:val="99"/>
    <w:semiHidden/>
    <w:rsid w:val="00F01C50"/>
    <w:rPr>
      <w:b/>
      <w:bCs/>
    </w:rPr>
  </w:style>
  <w:style w:type="paragraph" w:styleId="BalloonText">
    <w:name w:val="Balloon Text"/>
    <w:basedOn w:val="Normal"/>
    <w:link w:val="BalloonTextChar"/>
    <w:uiPriority w:val="99"/>
    <w:semiHidden/>
    <w:unhideWhenUsed/>
    <w:rsid w:val="00F01C50"/>
    <w:rPr>
      <w:rFonts w:ascii="Tahoma" w:hAnsi="Tahoma" w:cs="Tahoma"/>
      <w:sz w:val="16"/>
      <w:szCs w:val="16"/>
    </w:rPr>
  </w:style>
  <w:style w:type="character" w:customStyle="1" w:styleId="BalloonTextChar">
    <w:name w:val="Balloon Text Char"/>
    <w:basedOn w:val="DefaultParagraphFont"/>
    <w:link w:val="BalloonText"/>
    <w:uiPriority w:val="99"/>
    <w:semiHidden/>
    <w:rsid w:val="00F01C50"/>
    <w:rPr>
      <w:rFonts w:ascii="Tahoma" w:hAnsi="Tahoma" w:cs="Tahoma"/>
      <w:sz w:val="16"/>
      <w:szCs w:val="16"/>
    </w:rPr>
  </w:style>
  <w:style w:type="paragraph" w:styleId="ListParagraph">
    <w:name w:val="List Paragraph"/>
    <w:basedOn w:val="Normal"/>
    <w:uiPriority w:val="34"/>
    <w:qFormat/>
    <w:rsid w:val="005559BD"/>
    <w:pPr>
      <w:ind w:left="720"/>
    </w:pPr>
    <w:rPr>
      <w:rFonts w:ascii="Calibri" w:eastAsiaTheme="minorHAnsi" w:hAnsi="Calibri"/>
      <w:sz w:val="22"/>
      <w:szCs w:val="22"/>
    </w:rPr>
  </w:style>
  <w:style w:type="character" w:styleId="Hyperlink">
    <w:name w:val="Hyperlink"/>
    <w:basedOn w:val="DefaultParagraphFont"/>
    <w:rsid w:val="005559BD"/>
    <w:rPr>
      <w:color w:val="0000FF" w:themeColor="hyperlink"/>
      <w:u w:val="single"/>
    </w:rPr>
  </w:style>
  <w:style w:type="character" w:customStyle="1" w:styleId="search">
    <w:name w:val="search"/>
    <w:basedOn w:val="DefaultParagraphFont"/>
    <w:rsid w:val="00094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473679">
      <w:bodyDiv w:val="1"/>
      <w:marLeft w:val="0"/>
      <w:marRight w:val="0"/>
      <w:marTop w:val="0"/>
      <w:marBottom w:val="0"/>
      <w:divBdr>
        <w:top w:val="none" w:sz="0" w:space="0" w:color="auto"/>
        <w:left w:val="none" w:sz="0" w:space="0" w:color="auto"/>
        <w:bottom w:val="none" w:sz="0" w:space="0" w:color="auto"/>
        <w:right w:val="none" w:sz="0" w:space="0" w:color="auto"/>
      </w:divBdr>
    </w:div>
    <w:div w:id="73482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17</TotalTime>
  <Pages>8</Pages>
  <Words>2627</Words>
  <Characters>14976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7</cp:revision>
  <cp:lastPrinted>2014-08-19T01:13:00Z</cp:lastPrinted>
  <dcterms:created xsi:type="dcterms:W3CDTF">2017-07-20T21:21:00Z</dcterms:created>
  <dcterms:modified xsi:type="dcterms:W3CDTF">2019-01-17T23:00:00Z</dcterms:modified>
</cp:coreProperties>
</file>