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FB8" w:rsidP="00891FB8" w:rsidRDefault="00891FB8" w14:paraId="62EE71A1" w14:textId="41308115">
      <w:pPr>
        <w:pStyle w:val="BpSTitle"/>
      </w:pPr>
      <w:r>
        <w:t>1155</w:t>
      </w:r>
      <w:r w:rsidR="00B2381C">
        <w:t>0</w:t>
      </w:r>
    </w:p>
    <w:p w:rsidR="00891FB8" w:rsidP="00891FB8" w:rsidRDefault="00891FB8" w14:paraId="708A1629" w14:textId="77777777">
      <w:pPr>
        <w:pStyle w:val="BpSTitle"/>
      </w:pPr>
      <w:r>
        <w:t>North American Warm Desert Riparian Systems</w:t>
      </w:r>
    </w:p>
    <w:p w:rsidR="00891FB8" w:rsidP="0044607C" w:rsidRDefault="00891FB8" w14:paraId="7C811994" w14:textId="4E730F26">
      <w:pPr>
        <w:tabs>
          <w:tab w:val="left" w:pos="6840"/>
        </w:tabs>
      </w:pPr>
      <w:r>
        <w:t xmlns:w="http://schemas.openxmlformats.org/wordprocessingml/2006/main">BpS Model/Description Version: Aug. 2020</w:t>
      </w:r>
      <w:r w:rsidR="00586614">
        <w:tab/>
      </w:r>
    </w:p>
    <w:p w:rsidR="00891FB8" w:rsidP="0044607C" w:rsidRDefault="00891FB8" w14:paraId="65DB0876"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2"/>
        <w:gridCol w:w="2304"/>
        <w:gridCol w:w="1392"/>
        <w:gridCol w:w="852"/>
      </w:tblGrid>
      <w:tr w:rsidRPr="00891FB8" w:rsidR="00891FB8" w:rsidTr="00891FB8" w14:paraId="0A1D1680" w14:textId="77777777">
        <w:tc>
          <w:tcPr>
            <w:tcW w:w="1812" w:type="dxa"/>
            <w:tcBorders>
              <w:top w:val="single" w:color="auto" w:sz="2" w:space="0"/>
              <w:left w:val="single" w:color="auto" w:sz="12" w:space="0"/>
              <w:bottom w:val="single" w:color="000000" w:sz="12" w:space="0"/>
            </w:tcBorders>
            <w:shd w:val="clear" w:color="auto" w:fill="auto"/>
          </w:tcPr>
          <w:p w:rsidRPr="00891FB8" w:rsidR="00891FB8" w:rsidP="00964835" w:rsidRDefault="00891FB8" w14:paraId="1EE08949" w14:textId="77777777">
            <w:pPr>
              <w:rPr>
                <w:b/>
                <w:bCs/>
              </w:rPr>
            </w:pPr>
            <w:r w:rsidRPr="00891FB8">
              <w:rPr>
                <w:b/>
                <w:bCs/>
              </w:rPr>
              <w:t>Modelers</w:t>
            </w:r>
          </w:p>
        </w:tc>
        <w:tc>
          <w:tcPr>
            <w:tcW w:w="2304" w:type="dxa"/>
            <w:tcBorders>
              <w:top w:val="single" w:color="auto" w:sz="2" w:space="0"/>
              <w:bottom w:val="single" w:color="000000" w:sz="12" w:space="0"/>
              <w:right w:val="single" w:color="000000" w:sz="12" w:space="0"/>
            </w:tcBorders>
            <w:shd w:val="clear" w:color="auto" w:fill="auto"/>
          </w:tcPr>
          <w:p w:rsidRPr="00891FB8" w:rsidR="00891FB8" w:rsidP="00964835" w:rsidRDefault="00891FB8" w14:paraId="26FF7702"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891FB8" w:rsidR="00891FB8" w:rsidP="00964835" w:rsidRDefault="00891FB8" w14:paraId="31855820" w14:textId="77777777">
            <w:pPr>
              <w:rPr>
                <w:b/>
                <w:bCs/>
              </w:rPr>
            </w:pPr>
            <w:r w:rsidRPr="00891FB8">
              <w:rPr>
                <w:b/>
                <w:bCs/>
              </w:rPr>
              <w:t>Reviewers</w:t>
            </w:r>
          </w:p>
        </w:tc>
        <w:tc>
          <w:tcPr>
            <w:tcW w:w="852" w:type="dxa"/>
            <w:tcBorders>
              <w:top w:val="single" w:color="auto" w:sz="2" w:space="0"/>
              <w:bottom w:val="single" w:color="000000" w:sz="12" w:space="0"/>
            </w:tcBorders>
            <w:shd w:val="clear" w:color="auto" w:fill="auto"/>
          </w:tcPr>
          <w:p w:rsidRPr="00891FB8" w:rsidR="00891FB8" w:rsidP="00964835" w:rsidRDefault="00891FB8" w14:paraId="639299A4" w14:textId="77777777">
            <w:pPr>
              <w:rPr>
                <w:b/>
                <w:bCs/>
              </w:rPr>
            </w:pPr>
          </w:p>
        </w:tc>
      </w:tr>
      <w:tr w:rsidRPr="00891FB8" w:rsidR="00891FB8" w:rsidTr="00891FB8" w14:paraId="22C5D0FE" w14:textId="77777777">
        <w:tc>
          <w:tcPr>
            <w:tcW w:w="1812" w:type="dxa"/>
            <w:tcBorders>
              <w:top w:val="single" w:color="000000" w:sz="12" w:space="0"/>
              <w:left w:val="single" w:color="auto" w:sz="12" w:space="0"/>
            </w:tcBorders>
            <w:shd w:val="clear" w:color="auto" w:fill="auto"/>
          </w:tcPr>
          <w:p w:rsidRPr="00891FB8" w:rsidR="00891FB8" w:rsidP="00964835" w:rsidRDefault="00891FB8" w14:paraId="18F4F1E3" w14:textId="77777777">
            <w:pPr>
              <w:rPr>
                <w:bCs/>
              </w:rPr>
            </w:pPr>
            <w:r w:rsidRPr="00891FB8">
              <w:rPr>
                <w:bCs/>
              </w:rPr>
              <w:t>Janet Grove</w:t>
            </w:r>
          </w:p>
        </w:tc>
        <w:tc>
          <w:tcPr>
            <w:tcW w:w="2304" w:type="dxa"/>
            <w:tcBorders>
              <w:top w:val="single" w:color="000000" w:sz="12" w:space="0"/>
              <w:right w:val="single" w:color="000000" w:sz="12" w:space="0"/>
            </w:tcBorders>
            <w:shd w:val="clear" w:color="auto" w:fill="auto"/>
          </w:tcPr>
          <w:p w:rsidRPr="00891FB8" w:rsidR="00891FB8" w:rsidP="00964835" w:rsidRDefault="00891FB8" w14:paraId="07F04C96" w14:textId="77777777">
            <w:r w:rsidRPr="00891FB8">
              <w:t>jgrove@fs.fed.us</w:t>
            </w:r>
          </w:p>
        </w:tc>
        <w:tc>
          <w:tcPr>
            <w:tcW w:w="1392" w:type="dxa"/>
            <w:tcBorders>
              <w:top w:val="single" w:color="000000" w:sz="12" w:space="0"/>
              <w:left w:val="single" w:color="000000" w:sz="12" w:space="0"/>
            </w:tcBorders>
            <w:shd w:val="clear" w:color="auto" w:fill="auto"/>
          </w:tcPr>
          <w:p w:rsidRPr="00891FB8" w:rsidR="00891FB8" w:rsidP="00964835" w:rsidRDefault="00891FB8" w14:paraId="28B6D608" w14:textId="77777777">
            <w:r w:rsidRPr="00891FB8">
              <w:t>None</w:t>
            </w:r>
          </w:p>
        </w:tc>
        <w:tc>
          <w:tcPr>
            <w:tcW w:w="852" w:type="dxa"/>
            <w:tcBorders>
              <w:top w:val="single" w:color="000000" w:sz="12" w:space="0"/>
            </w:tcBorders>
            <w:shd w:val="clear" w:color="auto" w:fill="auto"/>
          </w:tcPr>
          <w:p w:rsidRPr="00891FB8" w:rsidR="00891FB8" w:rsidP="00964835" w:rsidRDefault="00891FB8" w14:paraId="093DCBF3" w14:textId="77777777">
            <w:r w:rsidRPr="00891FB8">
              <w:t>None</w:t>
            </w:r>
          </w:p>
        </w:tc>
      </w:tr>
      <w:tr w:rsidRPr="00891FB8" w:rsidR="00891FB8" w:rsidTr="00891FB8" w14:paraId="021E0760" w14:textId="77777777">
        <w:tc>
          <w:tcPr>
            <w:tcW w:w="1812" w:type="dxa"/>
            <w:tcBorders>
              <w:left w:val="single" w:color="auto" w:sz="12" w:space="0"/>
            </w:tcBorders>
            <w:shd w:val="clear" w:color="auto" w:fill="auto"/>
          </w:tcPr>
          <w:p w:rsidRPr="00891FB8" w:rsidR="00891FB8" w:rsidP="00964835" w:rsidRDefault="00891FB8" w14:paraId="19EF5E18" w14:textId="77777777">
            <w:pPr>
              <w:rPr>
                <w:bCs/>
              </w:rPr>
            </w:pPr>
            <w:r w:rsidRPr="00891FB8">
              <w:rPr>
                <w:bCs/>
              </w:rPr>
              <w:t>Holly Richter</w:t>
            </w:r>
          </w:p>
        </w:tc>
        <w:tc>
          <w:tcPr>
            <w:tcW w:w="2304" w:type="dxa"/>
            <w:tcBorders>
              <w:right w:val="single" w:color="000000" w:sz="12" w:space="0"/>
            </w:tcBorders>
            <w:shd w:val="clear" w:color="auto" w:fill="auto"/>
          </w:tcPr>
          <w:p w:rsidRPr="00891FB8" w:rsidR="00891FB8" w:rsidP="00964835" w:rsidRDefault="00891FB8" w14:paraId="0EF96C94" w14:textId="77777777">
            <w:r w:rsidRPr="00891FB8">
              <w:t>hrichter@fs.fed.us</w:t>
            </w:r>
          </w:p>
        </w:tc>
        <w:tc>
          <w:tcPr>
            <w:tcW w:w="1392" w:type="dxa"/>
            <w:tcBorders>
              <w:left w:val="single" w:color="000000" w:sz="12" w:space="0"/>
            </w:tcBorders>
            <w:shd w:val="clear" w:color="auto" w:fill="auto"/>
          </w:tcPr>
          <w:p w:rsidRPr="00891FB8" w:rsidR="00891FB8" w:rsidP="00964835" w:rsidRDefault="00891FB8" w14:paraId="11C7238A" w14:textId="77777777">
            <w:r w:rsidRPr="00891FB8">
              <w:t>None</w:t>
            </w:r>
          </w:p>
        </w:tc>
        <w:tc>
          <w:tcPr>
            <w:tcW w:w="852" w:type="dxa"/>
            <w:shd w:val="clear" w:color="auto" w:fill="auto"/>
          </w:tcPr>
          <w:p w:rsidRPr="00891FB8" w:rsidR="00891FB8" w:rsidP="00964835" w:rsidRDefault="00891FB8" w14:paraId="1FAB1A56" w14:textId="77777777">
            <w:r w:rsidRPr="00891FB8">
              <w:t>None</w:t>
            </w:r>
          </w:p>
        </w:tc>
      </w:tr>
      <w:tr w:rsidRPr="00891FB8" w:rsidR="00891FB8" w:rsidTr="00891FB8" w14:paraId="2DE16F78" w14:textId="77777777">
        <w:tc>
          <w:tcPr>
            <w:tcW w:w="1812" w:type="dxa"/>
            <w:tcBorders>
              <w:left w:val="single" w:color="auto" w:sz="12" w:space="0"/>
              <w:bottom w:val="single" w:color="auto" w:sz="2" w:space="0"/>
            </w:tcBorders>
            <w:shd w:val="clear" w:color="auto" w:fill="auto"/>
          </w:tcPr>
          <w:p w:rsidRPr="00891FB8" w:rsidR="00891FB8" w:rsidP="00964835" w:rsidRDefault="00891FB8" w14:paraId="550D8ED8" w14:textId="77777777">
            <w:pPr>
              <w:rPr>
                <w:bCs/>
              </w:rPr>
            </w:pPr>
            <w:r w:rsidRPr="00891FB8">
              <w:rPr>
                <w:bCs/>
              </w:rPr>
              <w:t>Jony Cockman</w:t>
            </w:r>
          </w:p>
        </w:tc>
        <w:tc>
          <w:tcPr>
            <w:tcW w:w="2304" w:type="dxa"/>
            <w:tcBorders>
              <w:right w:val="single" w:color="000000" w:sz="12" w:space="0"/>
            </w:tcBorders>
            <w:shd w:val="clear" w:color="auto" w:fill="auto"/>
          </w:tcPr>
          <w:p w:rsidRPr="00891FB8" w:rsidR="00891FB8" w:rsidP="00964835" w:rsidRDefault="00891FB8" w14:paraId="042DCB51" w14:textId="77777777">
            <w:r w:rsidRPr="00891FB8">
              <w:t>jcockman@blm.gov</w:t>
            </w:r>
          </w:p>
        </w:tc>
        <w:tc>
          <w:tcPr>
            <w:tcW w:w="1392" w:type="dxa"/>
            <w:tcBorders>
              <w:left w:val="single" w:color="000000" w:sz="12" w:space="0"/>
              <w:bottom w:val="single" w:color="auto" w:sz="2" w:space="0"/>
            </w:tcBorders>
            <w:shd w:val="clear" w:color="auto" w:fill="auto"/>
          </w:tcPr>
          <w:p w:rsidRPr="00891FB8" w:rsidR="00891FB8" w:rsidP="00964835" w:rsidRDefault="00891FB8" w14:paraId="6BDD9A8B" w14:textId="77777777">
            <w:r w:rsidRPr="00891FB8">
              <w:t>None</w:t>
            </w:r>
          </w:p>
        </w:tc>
        <w:tc>
          <w:tcPr>
            <w:tcW w:w="852" w:type="dxa"/>
            <w:shd w:val="clear" w:color="auto" w:fill="auto"/>
          </w:tcPr>
          <w:p w:rsidRPr="00891FB8" w:rsidR="00891FB8" w:rsidP="00964835" w:rsidRDefault="00891FB8" w14:paraId="2F7EC893" w14:textId="77777777">
            <w:r w:rsidRPr="00891FB8">
              <w:t>None</w:t>
            </w:r>
          </w:p>
        </w:tc>
      </w:tr>
    </w:tbl>
    <w:p w:rsidR="00891FB8" w:rsidP="00891FB8" w:rsidRDefault="00891FB8" w14:paraId="3C7E0DAF" w14:textId="77777777"/>
    <w:p w:rsidR="00891FB8" w:rsidP="00891FB8" w:rsidRDefault="00891FB8" w14:paraId="4ADFCA2A" w14:textId="77777777">
      <w:pPr>
        <w:pStyle w:val="InfoPara"/>
      </w:pPr>
      <w:r>
        <w:t>Vegetation Type</w:t>
      </w:r>
    </w:p>
    <w:p w:rsidR="00891FB8" w:rsidP="00891FB8" w:rsidRDefault="00AB6D3B" w14:paraId="065B9410" w14:textId="5364310F">
      <w:r w:rsidRPr="00AB6D3B">
        <w:t>Woody Wetland</w:t>
      </w:r>
    </w:p>
    <w:p w:rsidR="00891FB8" w:rsidP="00891FB8" w:rsidRDefault="00891FB8" w14:paraId="024BE562" w14:textId="2F18F20F">
      <w:pPr>
        <w:pStyle w:val="InfoPara"/>
      </w:pPr>
      <w:r>
        <w:t>Map Zone</w:t>
      </w:r>
    </w:p>
    <w:p w:rsidR="00891FB8" w:rsidP="00891FB8" w:rsidRDefault="00891FB8" w14:paraId="34ABA397" w14:textId="77777777">
      <w:r>
        <w:t>15</w:t>
      </w:r>
    </w:p>
    <w:p w:rsidR="00891FB8" w:rsidP="00891FB8" w:rsidRDefault="00891FB8" w14:paraId="37AF9A2C" w14:textId="77777777">
      <w:pPr>
        <w:pStyle w:val="InfoPara"/>
      </w:pPr>
      <w:r>
        <w:t>Model Splits or Lumps</w:t>
      </w:r>
    </w:p>
    <w:p w:rsidR="00891FB8" w:rsidP="00891FB8" w:rsidRDefault="00891FB8" w14:paraId="13DA1243" w14:textId="6431DEE6">
      <w:r>
        <w:t xml:space="preserve">This </w:t>
      </w:r>
      <w:r w:rsidR="00586614">
        <w:t>biophysical setting (</w:t>
      </w:r>
      <w:r>
        <w:t>BpS</w:t>
      </w:r>
      <w:r w:rsidR="00586614">
        <w:t>)</w:t>
      </w:r>
      <w:r>
        <w:t xml:space="preserve"> is split into multiple models</w:t>
      </w:r>
      <w:r w:rsidR="00586614">
        <w:t xml:space="preserve">. </w:t>
      </w:r>
      <w:r>
        <w:t>BpS 11550 was split between 1155</w:t>
      </w:r>
      <w:r w:rsidR="00B2381C">
        <w:t>0</w:t>
      </w:r>
      <w:r w:rsidR="00586614">
        <w:t>, which is</w:t>
      </w:r>
      <w:r>
        <w:t xml:space="preserve"> dominated by mid to large </w:t>
      </w:r>
      <w:r w:rsidR="00D835F7">
        <w:t>perennial</w:t>
      </w:r>
      <w:r>
        <w:t xml:space="preserve"> rivers where Native American use was possible</w:t>
      </w:r>
      <w:r w:rsidR="00586614">
        <w:t>,</w:t>
      </w:r>
      <w:r>
        <w:t xml:space="preserve"> and 11552</w:t>
      </w:r>
      <w:r w:rsidR="00586614">
        <w:t>,</w:t>
      </w:r>
      <w:r>
        <w:t xml:space="preserve"> </w:t>
      </w:r>
      <w:r w:rsidR="00586614">
        <w:t xml:space="preserve">which </w:t>
      </w:r>
      <w:r>
        <w:t>represents smaller riparian stringers with either intermittent water or subsurface groundwater flow (washes, canyon corridor</w:t>
      </w:r>
      <w:r w:rsidR="00586614">
        <w:t>s</w:t>
      </w:r>
      <w:r>
        <w:t>, small streams) imbedded in the creosote and paloverde matrix.</w:t>
      </w:r>
    </w:p>
    <w:p w:rsidR="00891FB8" w:rsidP="00891FB8" w:rsidRDefault="00891FB8" w14:paraId="2FFB60D8" w14:textId="77777777">
      <w:pPr>
        <w:pStyle w:val="InfoPara"/>
      </w:pPr>
      <w:r>
        <w:t>Geographic Range</w:t>
      </w:r>
    </w:p>
    <w:p w:rsidR="00891FB8" w:rsidP="00891FB8" w:rsidRDefault="00891FB8" w14:paraId="59BF0367" w14:textId="67C62048">
      <w:r>
        <w:t xml:space="preserve">Perennial and </w:t>
      </w:r>
      <w:r w:rsidR="00D835F7">
        <w:t>intermittent</w:t>
      </w:r>
      <w:r>
        <w:t xml:space="preserve"> desert drainages in central and southwestern A</w:t>
      </w:r>
      <w:r w:rsidR="00586614">
        <w:t>rizona</w:t>
      </w:r>
      <w:r>
        <w:t>.</w:t>
      </w:r>
    </w:p>
    <w:p w:rsidR="00891FB8" w:rsidP="00891FB8" w:rsidRDefault="00891FB8" w14:paraId="0FF26475" w14:textId="77777777">
      <w:pPr>
        <w:pStyle w:val="InfoPara"/>
      </w:pPr>
      <w:r>
        <w:t>Biophysical Site Description</w:t>
      </w:r>
    </w:p>
    <w:p w:rsidR="00891FB8" w:rsidP="00891FB8" w:rsidRDefault="00891FB8" w14:paraId="61048E68" w14:textId="36D1615E">
      <w:r>
        <w:t>Riparian systems occur primarily along perennial streams/rivers along the Lower Colorado, Lower Salt, Lower Verde, Lower Gila, Big Sandy, Bill Williams, Santa Maria, Hassayampa</w:t>
      </w:r>
      <w:r w:rsidR="00586614">
        <w:t>,</w:t>
      </w:r>
      <w:r>
        <w:t xml:space="preserve"> and Lower Santa Cruz corridors adjacent to Sonoran Desert </w:t>
      </w:r>
      <w:r w:rsidR="00586614">
        <w:t>s</w:t>
      </w:r>
      <w:r>
        <w:t>crub.</w:t>
      </w:r>
    </w:p>
    <w:p w:rsidR="00891FB8" w:rsidP="00891FB8" w:rsidRDefault="00891FB8" w14:paraId="06D80493" w14:textId="77777777">
      <w:pPr>
        <w:pStyle w:val="InfoPara"/>
      </w:pPr>
      <w:r>
        <w:t>Vegetation Description</w:t>
      </w:r>
    </w:p>
    <w:p w:rsidR="00891FB8" w:rsidP="00891FB8" w:rsidRDefault="00891FB8" w14:paraId="2834383F" w14:textId="0CC5F892">
      <w:r>
        <w:t>The vegetation is a diverse mosaic of riparian forests, shrublands, streamside marshes</w:t>
      </w:r>
      <w:r w:rsidR="00586614">
        <w:t>,</w:t>
      </w:r>
      <w:r>
        <w:t xml:space="preserve"> and barren alluvial surfaces. Larger river systems were dominated by gallery forests. Dominant species are </w:t>
      </w:r>
      <w:r w:rsidRPr="0044607C">
        <w:rPr>
          <w:i/>
        </w:rPr>
        <w:t>Salix gooddingii</w:t>
      </w:r>
      <w:r w:rsidR="00586614">
        <w:t>,</w:t>
      </w:r>
      <w:r w:rsidRPr="0044607C">
        <w:rPr>
          <w:i/>
        </w:rPr>
        <w:t xml:space="preserve"> Populus fremontii</w:t>
      </w:r>
      <w:r w:rsidR="00586614">
        <w:t>,</w:t>
      </w:r>
      <w:r w:rsidRPr="0044607C">
        <w:rPr>
          <w:i/>
        </w:rPr>
        <w:t xml:space="preserve"> Distichlis spicata</w:t>
      </w:r>
      <w:r w:rsidR="00586614">
        <w:t>,</w:t>
      </w:r>
      <w:r w:rsidRPr="0044607C">
        <w:rPr>
          <w:i/>
        </w:rPr>
        <w:t xml:space="preserve"> Scirpus </w:t>
      </w:r>
      <w:r w:rsidRPr="00586614">
        <w:t>spp</w:t>
      </w:r>
      <w:r w:rsidR="00586614">
        <w:t>.,</w:t>
      </w:r>
      <w:r w:rsidRPr="0044607C">
        <w:rPr>
          <w:i/>
        </w:rPr>
        <w:t xml:space="preserve"> Typha </w:t>
      </w:r>
      <w:r w:rsidRPr="00586614">
        <w:t>spp</w:t>
      </w:r>
      <w:r w:rsidR="00586614">
        <w:t>.,</w:t>
      </w:r>
      <w:r w:rsidRPr="0044607C">
        <w:rPr>
          <w:i/>
        </w:rPr>
        <w:t xml:space="preserve"> Prosopis </w:t>
      </w:r>
      <w:r w:rsidRPr="00586614">
        <w:t>spp</w:t>
      </w:r>
      <w:r w:rsidR="00586614">
        <w:t>.,</w:t>
      </w:r>
      <w:r w:rsidRPr="0044607C">
        <w:rPr>
          <w:i/>
        </w:rPr>
        <w:t xml:space="preserve"> Baccharis salicifolia</w:t>
      </w:r>
      <w:r w:rsidR="00586614">
        <w:t>,</w:t>
      </w:r>
      <w:r w:rsidRPr="0044607C">
        <w:rPr>
          <w:i/>
        </w:rPr>
        <w:t xml:space="preserve"> </w:t>
      </w:r>
      <w:r w:rsidRPr="00586614">
        <w:t>and</w:t>
      </w:r>
      <w:r w:rsidRPr="0044607C">
        <w:rPr>
          <w:i/>
        </w:rPr>
        <w:t xml:space="preserve"> Muhlenbergia rigens</w:t>
      </w:r>
      <w:r>
        <w:t>. Vegetation is dependent upon periodic flooding. Native Americans also had a strong influence on vegetation composition and structure by favoring edible plants (e</w:t>
      </w:r>
      <w:r w:rsidR="00586614">
        <w:t>.</w:t>
      </w:r>
      <w:r>
        <w:t>g</w:t>
      </w:r>
      <w:r w:rsidR="00586614">
        <w:t>.</w:t>
      </w:r>
      <w:r>
        <w:t>, mesquite), collecting fuel wood</w:t>
      </w:r>
      <w:r w:rsidR="00586614">
        <w:t>,</w:t>
      </w:r>
      <w:r>
        <w:t xml:space="preserve"> and burning to flush animals and increase accessibility to open water and agricultural fields.</w:t>
      </w:r>
    </w:p>
    <w:p w:rsidR="00891FB8" w:rsidP="00891FB8" w:rsidRDefault="00891FB8" w14:paraId="765E8F3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POFR2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fremontii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Fremont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Pluchea sericea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Arrowweed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ATLEB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lentiformis ssp. breweri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Quailbush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exigua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Narrowleaf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TYAN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Typha angustifolia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Narrowleaf cattail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DISTI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Distichlis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WAFI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Washingtonia filifera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fan palm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PROSO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Mesquite</w:t>
            </w:r>
          </w:p>
        </w:tc>
      </w:tr>
    </w:tbl>
    <w:p>
      <w:r>
        <w:rPr>
          <w:sz w:val="16"/>
        </w:rPr>
        <w:t>Species names are from the NRCS PLANTS database. Check species codes at http://plants.usda.gov.</w:t>
      </w:r>
    </w:p>
    <w:p w:rsidR="00891FB8" w:rsidP="00891FB8" w:rsidRDefault="00891FB8" w14:paraId="1BB65E1C" w14:textId="77777777">
      <w:pPr>
        <w:pStyle w:val="InfoPara"/>
      </w:pPr>
      <w:r>
        <w:t>Disturbance Description</w:t>
      </w:r>
    </w:p>
    <w:p w:rsidR="00891FB8" w:rsidP="00891FB8" w:rsidRDefault="00891FB8" w14:paraId="3E45146A" w14:textId="75A32153">
      <w:r>
        <w:t>This BpS is a flood-dependent ecosystem. The entire range of flood magnitudes contribute</w:t>
      </w:r>
      <w:r w:rsidR="00586614">
        <w:t>s</w:t>
      </w:r>
      <w:r>
        <w:t xml:space="preserve"> to ecological processes such as nutrient cycling, recruitment, </w:t>
      </w:r>
      <w:r w:rsidR="00586614">
        <w:t xml:space="preserve">and </w:t>
      </w:r>
      <w:r>
        <w:t>species composition. Two</w:t>
      </w:r>
      <w:r w:rsidR="00586614">
        <w:t>-</w:t>
      </w:r>
      <w:r>
        <w:t xml:space="preserve"> to </w:t>
      </w:r>
      <w:r w:rsidR="00586614">
        <w:t>10</w:t>
      </w:r>
      <w:r>
        <w:t>-yr events primarily impact herbaceous vegetation, 7-</w:t>
      </w:r>
      <w:r w:rsidR="00586614">
        <w:t xml:space="preserve"> to </w:t>
      </w:r>
      <w:r>
        <w:t>50</w:t>
      </w:r>
      <w:r w:rsidR="0044607C">
        <w:t>y</w:t>
      </w:r>
      <w:r>
        <w:t>r events result in patchy removal of shrubs and saplings</w:t>
      </w:r>
      <w:r w:rsidR="00586614">
        <w:t>,</w:t>
      </w:r>
      <w:r>
        <w:t xml:space="preserve"> 50</w:t>
      </w:r>
      <w:r w:rsidR="00586614">
        <w:t>-</w:t>
      </w:r>
      <w:r>
        <w:t>yr+ events remove stands of larger trees. Cottonwood return</w:t>
      </w:r>
      <w:r w:rsidR="00586614">
        <w:t>s</w:t>
      </w:r>
      <w:r>
        <w:t xml:space="preserve"> to pole size within 10yrs of disturbance. Cottonwood is considered mature around 60yrs.</w:t>
      </w:r>
    </w:p>
    <w:p w:rsidR="00891FB8" w:rsidP="00891FB8" w:rsidRDefault="00891FB8" w14:paraId="7B2D01D8" w14:textId="77777777"/>
    <w:p w:rsidR="00891FB8" w:rsidP="00891FB8" w:rsidRDefault="00891FB8" w14:paraId="08ACA56C" w14:textId="7C480ACA">
      <w:r>
        <w:t>New mud/silt flats created by flooding were cultivated for corn, bean</w:t>
      </w:r>
      <w:r w:rsidR="00586614">
        <w:t>,</w:t>
      </w:r>
      <w:r w:rsidR="00D835F7">
        <w:t xml:space="preserve"> and squash by Native Americans. </w:t>
      </w:r>
      <w:r>
        <w:t xml:space="preserve">Farming </w:t>
      </w:r>
      <w:r w:rsidR="00586614">
        <w:t xml:space="preserve">was </w:t>
      </w:r>
      <w:r>
        <w:t>a stand</w:t>
      </w:r>
      <w:r w:rsidR="00586614">
        <w:t>-</w:t>
      </w:r>
      <w:r>
        <w:t>replacing events that prevented cottonwood and willow seedling establishment.</w:t>
      </w:r>
    </w:p>
    <w:p w:rsidR="00891FB8" w:rsidP="00891FB8" w:rsidRDefault="00891FB8" w14:paraId="6252CDB7" w14:textId="77777777"/>
    <w:p w:rsidR="00D835F7" w:rsidP="00891FB8" w:rsidRDefault="00891FB8" w14:paraId="1DAAC923" w14:textId="698DCC81">
      <w:r>
        <w:t xml:space="preserve">Fuel characteristics and fire behavior are extremely variable due to the wide range of vegetation types that characterize the riparian zone and </w:t>
      </w:r>
      <w:r w:rsidR="00586614">
        <w:t xml:space="preserve">due </w:t>
      </w:r>
      <w:r>
        <w:t>to Native American manipulations. In general</w:t>
      </w:r>
      <w:r w:rsidR="00586614">
        <w:t>,</w:t>
      </w:r>
      <w:r>
        <w:t xml:space="preserve"> fuels are typically continuous and fuel loads </w:t>
      </w:r>
      <w:r w:rsidR="00586614">
        <w:t xml:space="preserve">are </w:t>
      </w:r>
      <w:r>
        <w:t>high, but fuel moisture content is also often high. Wildfires may not carry except under extreme fire</w:t>
      </w:r>
      <w:r w:rsidR="00586614">
        <w:t>-</w:t>
      </w:r>
      <w:r>
        <w:t xml:space="preserve">weather conditions (average </w:t>
      </w:r>
      <w:r w:rsidR="00586614">
        <w:t>fire return interval [</w:t>
      </w:r>
      <w:r>
        <w:t>FRI</w:t>
      </w:r>
      <w:r w:rsidR="00586614">
        <w:t>]</w:t>
      </w:r>
      <w:r>
        <w:t xml:space="preserve"> for </w:t>
      </w:r>
      <w:r w:rsidR="00D835F7">
        <w:t>replacement fire</w:t>
      </w:r>
      <w:r w:rsidR="00586614">
        <w:t>,</w:t>
      </w:r>
      <w:r w:rsidR="00D835F7">
        <w:t xml:space="preserve"> 500-1</w:t>
      </w:r>
      <w:r w:rsidR="00586614">
        <w:t>,</w:t>
      </w:r>
      <w:r w:rsidR="00D835F7">
        <w:t>000yrs</w:t>
      </w:r>
      <w:r>
        <w:t xml:space="preserve">). For stands not recently tended by Native Americans, </w:t>
      </w:r>
      <w:r w:rsidR="00586614">
        <w:t xml:space="preserve">greater </w:t>
      </w:r>
      <w:r>
        <w:t xml:space="preserve">fuel loads allow for </w:t>
      </w:r>
      <w:r w:rsidR="00D835F7">
        <w:t xml:space="preserve">more frequent fire than in areas of </w:t>
      </w:r>
      <w:r>
        <w:t xml:space="preserve">an intense collection of fuel wood and prescribed burning for hunting and agricultural purposes. </w:t>
      </w:r>
    </w:p>
    <w:p w:rsidR="00D835F7" w:rsidP="00891FB8" w:rsidRDefault="00D835F7" w14:paraId="3BF30D85" w14:textId="77777777"/>
    <w:p w:rsidR="00891FB8" w:rsidP="00891FB8" w:rsidRDefault="00891FB8" w14:paraId="765A7DEE" w14:textId="72D42F74">
      <w:r>
        <w:t xml:space="preserve">Native Americans had a profound influence on these systems with the development of irrigation ditches, crop production on silt/mud flats deposited by yearly floods, the burning of willows for basketry (only first-year willow can be used for weaving) </w:t>
      </w:r>
      <w:r w:rsidR="00586614">
        <w:t xml:space="preserve">and </w:t>
      </w:r>
      <w:r>
        <w:t>to maintain open irrigation ditches and agricultural fields, and burning to facilitate access and flush jackrabbits, game birds</w:t>
      </w:r>
      <w:r w:rsidR="00586614">
        <w:t>,</w:t>
      </w:r>
      <w:r>
        <w:t xml:space="preserve"> and deer. Fire was applied in the fall when fuels would be cured and dry. Thus, the historic</w:t>
      </w:r>
      <w:r w:rsidR="00586614">
        <w:t>al</w:t>
      </w:r>
      <w:r>
        <w:t xml:space="preserve"> fire regime is characterized by small to moderate, complete, high</w:t>
      </w:r>
      <w:r w:rsidR="00586614">
        <w:t>-</w:t>
      </w:r>
      <w:r>
        <w:t>intensity passive crown fires, and small moderate</w:t>
      </w:r>
      <w:r w:rsidR="00586614">
        <w:t>-</w:t>
      </w:r>
      <w:r>
        <w:t xml:space="preserve">intensity fires set frequently by Native Americans. </w:t>
      </w:r>
      <w:r w:rsidR="00D835F7">
        <w:t>The fire regime group of this BpS</w:t>
      </w:r>
      <w:r>
        <w:t xml:space="preserve"> is difficult to identify. In the absence of native </w:t>
      </w:r>
      <w:r w:rsidR="00D835F7">
        <w:t>burning</w:t>
      </w:r>
      <w:r>
        <w:t xml:space="preserve">, the </w:t>
      </w:r>
      <w:r w:rsidR="00D835F7">
        <w:t xml:space="preserve">fire regime </w:t>
      </w:r>
      <w:r w:rsidR="00586614">
        <w:t xml:space="preserve">is </w:t>
      </w:r>
      <w:r w:rsidR="00D835F7">
        <w:t>dominated by infrequent but stand-replacing fires</w:t>
      </w:r>
      <w:r>
        <w:t>.</w:t>
      </w:r>
    </w:p>
    <w:p w:rsidR="00891FB8" w:rsidP="00891FB8" w:rsidRDefault="00891FB8" w14:paraId="089E12C5" w14:textId="77777777"/>
    <w:p w:rsidR="00891FB8" w:rsidP="00891FB8" w:rsidRDefault="00891FB8" w14:paraId="3342B40F" w14:textId="299ADF37">
      <w:r>
        <w:t xml:space="preserve">Willow resprout more vigorously </w:t>
      </w:r>
      <w:r w:rsidR="00586614">
        <w:t xml:space="preserve">from fire </w:t>
      </w:r>
      <w:r>
        <w:t>than cottonwood. Woodland dominants such as Fremont cottonwood (</w:t>
      </w:r>
      <w:r w:rsidRPr="0044607C">
        <w:rPr>
          <w:i/>
        </w:rPr>
        <w:t>Populus fremontii</w:t>
      </w:r>
      <w:r>
        <w:t>)</w:t>
      </w:r>
      <w:r w:rsidR="00586614">
        <w:t>,</w:t>
      </w:r>
      <w:r>
        <w:t xml:space="preserve"> honey mesquite (</w:t>
      </w:r>
      <w:r w:rsidRPr="0044607C">
        <w:rPr>
          <w:i/>
        </w:rPr>
        <w:t>Prosopis glandulosa</w:t>
      </w:r>
      <w:r>
        <w:t>), and willow (</w:t>
      </w:r>
      <w:r w:rsidRPr="0044607C">
        <w:rPr>
          <w:i/>
        </w:rPr>
        <w:t>Salix</w:t>
      </w:r>
      <w:r>
        <w:t xml:space="preserve"> spp</w:t>
      </w:r>
      <w:r w:rsidR="00586614">
        <w:t>.</w:t>
      </w:r>
      <w:r>
        <w:t>) typically resprout after being top</w:t>
      </w:r>
      <w:r w:rsidR="00586614">
        <w:t>-</w:t>
      </w:r>
      <w:r>
        <w:t>killed. However, resprouting individuals and seedlings are susceptible to mortality during recurr</w:t>
      </w:r>
      <w:r w:rsidR="00586614">
        <w:t>ing</w:t>
      </w:r>
      <w:r>
        <w:t xml:space="preserve"> fires.</w:t>
      </w:r>
    </w:p>
    <w:p w:rsidR="00891FB8" w:rsidP="00891FB8" w:rsidRDefault="00891FB8" w14:paraId="21026889"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763</w:t>
            </w:r>
          </w:p>
        </w:tc>
        <w:tc>
          <w:p>
            <w:pPr>
              <w:jc w:val="center"/>
            </w:pPr>
            <w:r>
              <w:t>10</w:t>
            </w:r>
          </w:p>
        </w:tc>
        <w:tc>
          <w:p>
            <w:pPr>
              <w:jc w:val="center"/>
            </w:pPr>
            <w:r>
              <w:t>500</w:t>
            </w:r>
          </w:p>
        </w:tc>
        <w:tc>
          <w:p>
            <w:pPr>
              <w:jc w:val="center"/>
            </w:pPr>
            <w:r>
              <w:t>1000</w:t>
            </w:r>
          </w:p>
        </w:tc>
      </w:tr>
      <w:tr>
        <w:tc>
          <w:p>
            <w:pPr>
              <w:jc w:val="center"/>
            </w:pPr>
            <w:r>
              <w:t>Moderate (Mixed)</w:t>
            </w:r>
          </w:p>
        </w:tc>
        <w:tc>
          <w:p>
            <w:pPr>
              <w:jc w:val="center"/>
            </w:pPr>
            <w:r>
              <w:t>82</w:t>
            </w:r>
          </w:p>
        </w:tc>
        <w:tc>
          <w:p>
            <w:pPr>
              <w:jc w:val="center"/>
            </w:pPr>
            <w:r>
              <w:t>90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91FB8" w:rsidP="00891FB8" w:rsidRDefault="00891FB8" w14:paraId="03E72741" w14:textId="77777777">
      <w:pPr>
        <w:pStyle w:val="InfoPara"/>
      </w:pPr>
      <w:r>
        <w:t>Scale Description</w:t>
      </w:r>
    </w:p>
    <w:p w:rsidR="00891FB8" w:rsidP="00891FB8" w:rsidRDefault="00891FB8" w14:paraId="55D993D9" w14:textId="3572150D">
      <w:r>
        <w:lastRenderedPageBreak/>
        <w:t>These systems can exist as small to large linear features in the landscape. In larger, low</w:t>
      </w:r>
      <w:r w:rsidR="00586614">
        <w:t>-</w:t>
      </w:r>
      <w:r>
        <w:t>elevation riverine systems, this system may exist as mid-large patches.</w:t>
      </w:r>
    </w:p>
    <w:p w:rsidR="00891FB8" w:rsidP="00891FB8" w:rsidRDefault="00891FB8" w14:paraId="220D740A" w14:textId="77777777">
      <w:pPr>
        <w:pStyle w:val="InfoPara"/>
      </w:pPr>
      <w:r>
        <w:t>Adjacency or Identification Concerns</w:t>
      </w:r>
    </w:p>
    <w:p w:rsidR="00891FB8" w:rsidP="00891FB8" w:rsidRDefault="00891FB8" w14:paraId="79295A54" w14:textId="7BB8CC2C">
      <w:r>
        <w:t xml:space="preserve">Exotic trees of </w:t>
      </w:r>
      <w:r w:rsidRPr="0044607C">
        <w:rPr>
          <w:i/>
        </w:rPr>
        <w:t>Tamarix</w:t>
      </w:r>
      <w:r>
        <w:t xml:space="preserve"> spp</w:t>
      </w:r>
      <w:r w:rsidR="00586614">
        <w:t>.</w:t>
      </w:r>
      <w:r>
        <w:t xml:space="preserve"> and </w:t>
      </w:r>
      <w:r w:rsidRPr="0044607C">
        <w:rPr>
          <w:i/>
        </w:rPr>
        <w:t>Bromus rubrum</w:t>
      </w:r>
      <w:r>
        <w:t xml:space="preserve">, </w:t>
      </w:r>
      <w:r w:rsidRPr="0044607C">
        <w:rPr>
          <w:i/>
        </w:rPr>
        <w:t>Bromus tectorum</w:t>
      </w:r>
      <w:r w:rsidR="00586614">
        <w:t>,</w:t>
      </w:r>
      <w:r>
        <w:t xml:space="preserve"> and Bermudagrass are common in some stands.</w:t>
      </w:r>
    </w:p>
    <w:p w:rsidR="00891FB8" w:rsidP="00891FB8" w:rsidRDefault="00891FB8" w14:paraId="427B3948" w14:textId="77777777">
      <w:r>
        <w:t xml:space="preserve"> </w:t>
      </w:r>
    </w:p>
    <w:p w:rsidR="00891FB8" w:rsidP="00891FB8" w:rsidRDefault="00891FB8" w14:paraId="0C51673C" w14:textId="7B7DB216">
      <w:r>
        <w:t>Water diversion and groundwater pumping have greatly modified hydrologic regimes and water levels, perhaps permanently.</w:t>
      </w:r>
    </w:p>
    <w:p w:rsidR="00891FB8" w:rsidP="00891FB8" w:rsidRDefault="00891FB8" w14:paraId="29F227BD" w14:textId="77777777"/>
    <w:p w:rsidR="00891FB8" w:rsidP="00891FB8" w:rsidRDefault="00891FB8" w14:paraId="49EB4750" w14:textId="77777777">
      <w:r>
        <w:t>Livestock grazing can be a major influence in the alteration of structure, composition</w:t>
      </w:r>
      <w:r w:rsidR="00586614">
        <w:t>,</w:t>
      </w:r>
      <w:r>
        <w:t xml:space="preserve"> and function of the community.</w:t>
      </w:r>
    </w:p>
    <w:p w:rsidR="00891FB8" w:rsidP="00891FB8" w:rsidRDefault="00891FB8" w14:paraId="621BB71B" w14:textId="77777777"/>
    <w:p w:rsidR="00891FB8" w:rsidP="00891FB8" w:rsidRDefault="00891FB8" w14:paraId="5C4C67FD" w14:textId="69ADC191">
      <w:r>
        <w:t>In riparian woodlands</w:t>
      </w:r>
      <w:r w:rsidR="00586614">
        <w:t>,</w:t>
      </w:r>
      <w:r>
        <w:t xml:space="preserve"> the invasives saltcedar</w:t>
      </w:r>
      <w:r w:rsidR="00586614">
        <w:t>,</w:t>
      </w:r>
      <w:r>
        <w:t xml:space="preserve"> </w:t>
      </w:r>
      <w:r w:rsidRPr="0044607C">
        <w:rPr>
          <w:i/>
        </w:rPr>
        <w:t>Tamarix</w:t>
      </w:r>
      <w:r>
        <w:t xml:space="preserve"> spp</w:t>
      </w:r>
      <w:r w:rsidR="00586614">
        <w:t>.</w:t>
      </w:r>
      <w:r>
        <w:t xml:space="preserve">, </w:t>
      </w:r>
      <w:r w:rsidRPr="0044607C">
        <w:rPr>
          <w:i/>
        </w:rPr>
        <w:t>Bromus rubrum</w:t>
      </w:r>
      <w:r>
        <w:t xml:space="preserve">, </w:t>
      </w:r>
      <w:r w:rsidRPr="0044607C">
        <w:rPr>
          <w:i/>
        </w:rPr>
        <w:t>Bromus tectorum</w:t>
      </w:r>
      <w:r w:rsidR="00586614">
        <w:t>,</w:t>
      </w:r>
      <w:r>
        <w:t xml:space="preserve"> and Bermudagrass are common in some stands and create contiguous fuels that allow fire to spread. After an initial fire, these invasives may </w:t>
      </w:r>
      <w:r w:rsidR="00586614">
        <w:t xml:space="preserve">recover </w:t>
      </w:r>
      <w:r>
        <w:t>quickly and surpass their pre-fire dominance, promoting increasingly more frequent and intense fires, which can eventually displace native plants.</w:t>
      </w:r>
    </w:p>
    <w:p w:rsidR="00891FB8" w:rsidP="00891FB8" w:rsidRDefault="00891FB8" w14:paraId="7A3E454D" w14:textId="77777777">
      <w:pPr>
        <w:pStyle w:val="InfoPara"/>
      </w:pPr>
      <w:r>
        <w:t>Issues or Problems</w:t>
      </w:r>
    </w:p>
    <w:p w:rsidR="00891FB8" w:rsidP="00891FB8" w:rsidRDefault="00891FB8" w14:paraId="41F5867F" w14:textId="77777777"/>
    <w:p w:rsidR="00891FB8" w:rsidP="00891FB8" w:rsidRDefault="00891FB8" w14:paraId="033582CB" w14:textId="77777777">
      <w:pPr>
        <w:pStyle w:val="InfoPara"/>
      </w:pPr>
      <w:r>
        <w:t>Native Uncharacteristic Conditions</w:t>
      </w:r>
    </w:p>
    <w:p w:rsidR="00891FB8" w:rsidP="00891FB8" w:rsidRDefault="00891FB8" w14:paraId="36E75241" w14:textId="77777777">
      <w:r>
        <w:t>Canopy cover can reach 100%.</w:t>
      </w:r>
    </w:p>
    <w:p w:rsidR="00891FB8" w:rsidP="00891FB8" w:rsidRDefault="00891FB8" w14:paraId="634B5D68" w14:textId="77777777">
      <w:pPr>
        <w:pStyle w:val="InfoPara"/>
      </w:pPr>
      <w:r>
        <w:t>Comments</w:t>
      </w:r>
    </w:p>
    <w:p w:rsidR="00B2381C" w:rsidP="00B2381C" w:rsidRDefault="00B2381C" w14:paraId="1A7B41E2" w14:textId="77777777">
      <w:r>
        <w:t xml:space="preserve">In June 2020 TNC changed the code for this BpS from 11551 to 11550. </w:t>
      </w:r>
    </w:p>
    <w:p w:rsidR="00B2381C" w:rsidP="00D835F7" w:rsidRDefault="00B2381C" w14:paraId="02977149" w14:textId="77777777">
      <w:bookmarkStart w:name="_GoBack" w:id="0"/>
      <w:bookmarkEnd w:id="0"/>
    </w:p>
    <w:p w:rsidR="00D835F7" w:rsidP="00D835F7" w:rsidRDefault="00D835F7" w14:paraId="5D4B4ECC" w14:textId="486C6CD1">
      <w:r w:rsidRPr="00357A6E">
        <w:t>Model assumptions include</w:t>
      </w:r>
      <w:r w:rsidR="00964835">
        <w:t xml:space="preserve"> the following</w:t>
      </w:r>
      <w:r w:rsidRPr="00357A6E">
        <w:t>:</w:t>
      </w:r>
    </w:p>
    <w:p w:rsidRPr="00357A6E" w:rsidR="0044607C" w:rsidP="00D835F7" w:rsidRDefault="0044607C" w14:paraId="499AB087" w14:textId="77777777"/>
    <w:p w:rsidRPr="009B48D6" w:rsidR="00D835F7" w:rsidP="0044607C" w:rsidRDefault="00D835F7" w14:paraId="2D1AD728" w14:textId="29A09629">
      <w:pPr>
        <w:pStyle w:val="ListParagraph"/>
        <w:numPr>
          <w:ilvl w:val="0"/>
          <w:numId w:val="1"/>
        </w:numPr>
      </w:pPr>
      <w:r w:rsidRPr="00357A6E">
        <w:t>A mixed</w:t>
      </w:r>
      <w:r w:rsidR="00964835">
        <w:t>-</w:t>
      </w:r>
      <w:r w:rsidRPr="00357A6E">
        <w:t>severity FRI</w:t>
      </w:r>
      <w:r w:rsidR="00964835">
        <w:t xml:space="preserve"> of </w:t>
      </w:r>
      <w:r w:rsidRPr="00357A6E">
        <w:t>10-20yrs was assumed, respectively, for late</w:t>
      </w:r>
      <w:r w:rsidR="00964835">
        <w:t xml:space="preserve"> </w:t>
      </w:r>
      <w:r w:rsidRPr="00357A6E">
        <w:t xml:space="preserve">development (not in </w:t>
      </w:r>
      <w:r w:rsidR="00964835">
        <w:t>m</w:t>
      </w:r>
      <w:r w:rsidRPr="00357A6E">
        <w:t xml:space="preserve">esquite </w:t>
      </w:r>
      <w:r w:rsidR="00964835">
        <w:t>b</w:t>
      </w:r>
      <w:r w:rsidRPr="00357A6E">
        <w:t xml:space="preserve">osque, </w:t>
      </w:r>
      <w:r w:rsidR="00964835">
        <w:t>C</w:t>
      </w:r>
      <w:r w:rsidRPr="00357A6E">
        <w:t>lass E) and mid</w:t>
      </w:r>
      <w:r w:rsidR="00964835">
        <w:t xml:space="preserve"> </w:t>
      </w:r>
      <w:r w:rsidRPr="00357A6E">
        <w:t>development</w:t>
      </w:r>
      <w:r w:rsidR="00964835">
        <w:t>,</w:t>
      </w:r>
      <w:r w:rsidRPr="00357A6E">
        <w:t xml:space="preserve"> and was calculated by assuming that Native Americans burned every year but affected only 10</w:t>
      </w:r>
      <w:r w:rsidR="0044607C">
        <w:t xml:space="preserve">% to </w:t>
      </w:r>
      <w:r w:rsidRPr="00357A6E">
        <w:t>5%, respectively,</w:t>
      </w:r>
      <w:r w:rsidRPr="009B48D6">
        <w:t xml:space="preserve"> </w:t>
      </w:r>
      <w:r w:rsidRPr="00357A6E">
        <w:t>of the floodplain per year</w:t>
      </w:r>
      <w:r>
        <w:t xml:space="preserve"> (probability/yr</w:t>
      </w:r>
      <w:r w:rsidR="00964835">
        <w:t>,</w:t>
      </w:r>
      <w:r>
        <w:t xml:space="preserve"> 0.1-0.05)</w:t>
      </w:r>
      <w:r w:rsidRPr="00357A6E">
        <w:t>. It was also assumed that older stands received more burning than younger stands, which provided less fuel wood.</w:t>
      </w:r>
      <w:r w:rsidRPr="009B48D6">
        <w:t xml:space="preserve"> </w:t>
      </w:r>
    </w:p>
    <w:p w:rsidR="00D835F7" w:rsidP="0044607C" w:rsidRDefault="00D835F7" w14:paraId="79BCD459" w14:textId="3598AD73">
      <w:pPr>
        <w:pStyle w:val="ListParagraph"/>
        <w:numPr>
          <w:ilvl w:val="0"/>
          <w:numId w:val="1"/>
        </w:numPr>
      </w:pPr>
      <w:r w:rsidRPr="00357A6E">
        <w:t xml:space="preserve">Intense collection of fuel wood was assumed to occur on 30% of the area in the </w:t>
      </w:r>
      <w:r w:rsidR="00964835">
        <w:t>L</w:t>
      </w:r>
      <w:r w:rsidRPr="00357A6E">
        <w:t>ate</w:t>
      </w:r>
      <w:r w:rsidR="00964835">
        <w:t>-D</w:t>
      </w:r>
      <w:r w:rsidRPr="00357A6E">
        <w:t>evelopment cottonwood class (</w:t>
      </w:r>
      <w:r w:rsidR="00964835">
        <w:t xml:space="preserve">Class </w:t>
      </w:r>
      <w:r w:rsidRPr="00357A6E">
        <w:t>D).</w:t>
      </w:r>
    </w:p>
    <w:p w:rsidR="00D835F7" w:rsidP="0044607C" w:rsidRDefault="00D835F7" w14:paraId="5C2B4AB9" w14:textId="348027F4">
      <w:pPr>
        <w:pStyle w:val="ListParagraph"/>
        <w:numPr>
          <w:ilvl w:val="0"/>
          <w:numId w:val="1"/>
        </w:numPr>
      </w:pPr>
      <w:r>
        <w:t xml:space="preserve">Cultivation of mud/silt flats created by flooding was assumed at a level of 10% utilization of </w:t>
      </w:r>
      <w:r w:rsidR="00964835">
        <w:t>E</w:t>
      </w:r>
      <w:r>
        <w:t>arly-</w:t>
      </w:r>
      <w:r w:rsidR="00964835">
        <w:t>D</w:t>
      </w:r>
      <w:r>
        <w:t>evelopment vegetation class</w:t>
      </w:r>
      <w:r w:rsidR="00964835">
        <w:t>/</w:t>
      </w:r>
      <w:r>
        <w:t xml:space="preserve">yr to imitate 50% utilization during the first of </w:t>
      </w:r>
      <w:r w:rsidR="00964835">
        <w:t>5yrs</w:t>
      </w:r>
      <w:r>
        <w:t xml:space="preserve">. </w:t>
      </w:r>
    </w:p>
    <w:p w:rsidR="00D835F7" w:rsidP="00891FB8" w:rsidRDefault="00D835F7" w14:paraId="03DE86BC" w14:textId="77777777"/>
    <w:p w:rsidR="00891FB8" w:rsidP="00891FB8" w:rsidRDefault="00D835F7" w14:paraId="0AE38084" w14:textId="14BD9792">
      <w:r>
        <w:t>For LANDFIRE National</w:t>
      </w:r>
      <w:r w:rsidR="00964835">
        <w:t>,</w:t>
      </w:r>
      <w:r>
        <w:t xml:space="preserve"> t</w:t>
      </w:r>
      <w:r w:rsidR="00891FB8">
        <w:t xml:space="preserve">his model </w:t>
      </w:r>
      <w:r>
        <w:t>wa</w:t>
      </w:r>
      <w:r w:rsidR="00891FB8">
        <w:t xml:space="preserve">s based on the model for the same BpS in </w:t>
      </w:r>
      <w:r w:rsidR="00964835">
        <w:t xml:space="preserve">map zone </w:t>
      </w:r>
      <w:r w:rsidR="00891FB8">
        <w:t>14. Modeler</w:t>
      </w:r>
      <w:r w:rsidR="00964835">
        <w:t>s</w:t>
      </w:r>
      <w:r w:rsidR="00891FB8">
        <w:t xml:space="preserve"> of 141155</w:t>
      </w:r>
      <w:r w:rsidR="00B2381C">
        <w:t>0</w:t>
      </w:r>
      <w:r w:rsidR="00891FB8">
        <w:t xml:space="preserve"> also include Brooke Gebow (bgebow@tnc.org). BpS 141155</w:t>
      </w:r>
      <w:r w:rsidR="00B2381C">
        <w:t>0</w:t>
      </w:r>
      <w:r w:rsidR="00891FB8">
        <w:t xml:space="preserve"> was created by substantially revising BpS 131155</w:t>
      </w:r>
      <w:r w:rsidR="00B2381C">
        <w:t>0</w:t>
      </w:r>
      <w:r w:rsidR="00891FB8">
        <w:t xml:space="preserve">. Many changes were </w:t>
      </w:r>
      <w:r w:rsidR="00964835">
        <w:t>made</w:t>
      </w:r>
      <w:r w:rsidR="00891FB8">
        <w:t>. Floods causing stand</w:t>
      </w:r>
      <w:r w:rsidR="00964835">
        <w:t>-</w:t>
      </w:r>
      <w:r w:rsidR="00891FB8">
        <w:t>replacing events were more frequent (5-50yr</w:t>
      </w:r>
      <w:r w:rsidR="00964835">
        <w:t>s and</w:t>
      </w:r>
      <w:r w:rsidR="00891FB8">
        <w:t xml:space="preserve"> 50yrs+, for respectively, </w:t>
      </w:r>
      <w:r w:rsidR="00964835">
        <w:t>M</w:t>
      </w:r>
      <w:r w:rsidR="00891FB8">
        <w:t xml:space="preserve">id- and </w:t>
      </w:r>
      <w:r w:rsidR="00964835">
        <w:t>L</w:t>
      </w:r>
      <w:r w:rsidR="00891FB8">
        <w:t>ate-</w:t>
      </w:r>
      <w:r w:rsidR="00964835">
        <w:lastRenderedPageBreak/>
        <w:t>D</w:t>
      </w:r>
      <w:r w:rsidR="00891FB8">
        <w:t>evelopment classes)</w:t>
      </w:r>
      <w:r w:rsidR="00964835">
        <w:t>.</w:t>
      </w:r>
      <w:r w:rsidR="00891FB8">
        <w:t xml:space="preserve"> </w:t>
      </w:r>
      <w:r w:rsidR="00964835">
        <w:t>C</w:t>
      </w:r>
      <w:r w:rsidR="00891FB8">
        <w:t>lasses C and D in 131155</w:t>
      </w:r>
      <w:r w:rsidR="00B2381C">
        <w:t>0</w:t>
      </w:r>
      <w:r w:rsidR="00891FB8">
        <w:t xml:space="preserve"> were merged into </w:t>
      </w:r>
      <w:r w:rsidR="00964835">
        <w:t>C</w:t>
      </w:r>
      <w:r w:rsidR="00891FB8">
        <w:t>lass C (still accounting for Native American influences)</w:t>
      </w:r>
      <w:r w:rsidR="00964835">
        <w:t>.</w:t>
      </w:r>
      <w:r w:rsidR="00891FB8">
        <w:t xml:space="preserve"> </w:t>
      </w:r>
      <w:r w:rsidR="00964835">
        <w:t>A</w:t>
      </w:r>
      <w:r w:rsidR="00891FB8">
        <w:t xml:space="preserve">nd </w:t>
      </w:r>
      <w:r w:rsidR="00964835">
        <w:t>C</w:t>
      </w:r>
      <w:r w:rsidR="00891FB8">
        <w:t xml:space="preserve">lass D is </w:t>
      </w:r>
      <w:r w:rsidR="00964835">
        <w:t>m</w:t>
      </w:r>
      <w:r w:rsidR="00891FB8">
        <w:t xml:space="preserve">esquite </w:t>
      </w:r>
      <w:r w:rsidR="00964835">
        <w:t>b</w:t>
      </w:r>
      <w:r w:rsidR="00891FB8">
        <w:t>osque, which is the last successional phase in the floodplain (not in the Mojave Desert), with 500</w:t>
      </w:r>
      <w:r w:rsidR="00964835">
        <w:t>-</w:t>
      </w:r>
      <w:r w:rsidR="00891FB8">
        <w:t>yr flood</w:t>
      </w:r>
      <w:r w:rsidR="00964835">
        <w:t>-</w:t>
      </w:r>
      <w:r w:rsidR="00891FB8">
        <w:t>replacement events and replacement fire every 250yrs on average</w:t>
      </w:r>
      <w:r w:rsidR="00964835">
        <w:t>. A</w:t>
      </w:r>
      <w:r w:rsidR="00891FB8">
        <w:t>lthough Native American influences were maintained, the importance of mixed</w:t>
      </w:r>
      <w:r w:rsidR="00964835">
        <w:t>-</w:t>
      </w:r>
      <w:r w:rsidR="00891FB8">
        <w:t xml:space="preserve">severity </w:t>
      </w:r>
      <w:r w:rsidR="00964835">
        <w:t xml:space="preserve">fire </w:t>
      </w:r>
      <w:r w:rsidR="00891FB8">
        <w:t>was implicitly reduced by removing time</w:t>
      </w:r>
      <w:r w:rsidR="00964835">
        <w:t>-</w:t>
      </w:r>
      <w:r w:rsidR="00891FB8">
        <w:t>since</w:t>
      </w:r>
      <w:r w:rsidR="00964835">
        <w:t>-</w:t>
      </w:r>
      <w:r w:rsidR="00891FB8">
        <w:t>disturbance from BpS 131155</w:t>
      </w:r>
      <w:r w:rsidR="00B2381C">
        <w:t>0</w:t>
      </w:r>
      <w:r w:rsidR="00891FB8">
        <w:t xml:space="preserve">. </w:t>
      </w:r>
    </w:p>
    <w:p w:rsidR="00891FB8" w:rsidP="00891FB8" w:rsidRDefault="00891FB8" w14:paraId="54C5ED7E" w14:textId="77777777"/>
    <w:p w:rsidR="00891FB8" w:rsidP="00891FB8" w:rsidRDefault="00891FB8" w14:paraId="4834D4B0" w14:textId="7CDE6E28">
      <w:r>
        <w:t>For BpS 131155</w:t>
      </w:r>
      <w:r w:rsidR="00B2381C">
        <w:t>0</w:t>
      </w:r>
      <w:r>
        <w:t>, Native American burning was introduced as a very plausible disturbance</w:t>
      </w:r>
      <w:r w:rsidR="00964835">
        <w:t>;</w:t>
      </w:r>
      <w:r>
        <w:t xml:space="preserve"> however</w:t>
      </w:r>
      <w:r w:rsidR="00964835">
        <w:t>,</w:t>
      </w:r>
      <w:r>
        <w:t xml:space="preserve"> no data or expertise were available. Consultation with ethnobiologist Kay Fowler resulted in modifications to the original model and description. The </w:t>
      </w:r>
      <w:r w:rsidR="00964835">
        <w:t>N</w:t>
      </w:r>
      <w:r>
        <w:t>ative American influence was greater than initially thought</w:t>
      </w:r>
      <w:r w:rsidR="00964835">
        <w:t>,</w:t>
      </w:r>
      <w:r>
        <w:t xml:space="preserve"> with farming of mud flats (not in late</w:t>
      </w:r>
      <w:r w:rsidR="00964835">
        <w:t>-</w:t>
      </w:r>
      <w:r>
        <w:t>development stands as initially modeled), irrigation, massive fuel wood collection</w:t>
      </w:r>
      <w:r w:rsidR="00964835">
        <w:t>,</w:t>
      </w:r>
      <w:r>
        <w:t xml:space="preserve"> and extensive small-scale burning for willow control, basketry, general access</w:t>
      </w:r>
      <w:r w:rsidR="00964835">
        <w:t>,</w:t>
      </w:r>
      <w:r>
        <w:t xml:space="preserve"> and hunting. Therefore, very frequent mixed</w:t>
      </w:r>
      <w:r w:rsidR="00964835">
        <w:t>-</w:t>
      </w:r>
      <w:r>
        <w:t xml:space="preserve">severity fire was added by Louis Provencher to the </w:t>
      </w:r>
      <w:r w:rsidR="00964835">
        <w:t>M</w:t>
      </w:r>
      <w:r>
        <w:t>id-</w:t>
      </w:r>
      <w:r w:rsidR="00964835">
        <w:t>D</w:t>
      </w:r>
      <w:r>
        <w:t xml:space="preserve">evelopment </w:t>
      </w:r>
      <w:r w:rsidR="00964835">
        <w:t>C</w:t>
      </w:r>
      <w:r>
        <w:t xml:space="preserve">losed and </w:t>
      </w:r>
      <w:r w:rsidR="00964835">
        <w:t>L</w:t>
      </w:r>
      <w:r>
        <w:t>ate-</w:t>
      </w:r>
      <w:r w:rsidR="00964835">
        <w:t>D</w:t>
      </w:r>
      <w:r>
        <w:t xml:space="preserve">evelopment </w:t>
      </w:r>
      <w:r w:rsidR="00964835">
        <w:t>C</w:t>
      </w:r>
      <w:r>
        <w:t xml:space="preserve">losed </w:t>
      </w:r>
      <w:r w:rsidR="00964835">
        <w:t>classes</w:t>
      </w:r>
      <w:r>
        <w:t>, time</w:t>
      </w:r>
      <w:r w:rsidR="00964835">
        <w:t>-</w:t>
      </w:r>
      <w:r>
        <w:t>since</w:t>
      </w:r>
      <w:r w:rsidR="00964835">
        <w:t>-</w:t>
      </w:r>
      <w:r>
        <w:t>disturbance was shorten from 50</w:t>
      </w:r>
      <w:r w:rsidR="00964835">
        <w:t>yrs</w:t>
      </w:r>
      <w:r>
        <w:t xml:space="preserve"> to 15yrs</w:t>
      </w:r>
      <w:r w:rsidR="00964835">
        <w:t>,</w:t>
      </w:r>
      <w:r>
        <w:t xml:space="preserve"> and farming and fuel collection were added, respectively, as model parameters in </w:t>
      </w:r>
      <w:r w:rsidR="00964835">
        <w:t>E</w:t>
      </w:r>
      <w:r>
        <w:t>arly</w:t>
      </w:r>
      <w:r w:rsidR="00964835">
        <w:t>-</w:t>
      </w:r>
      <w:r>
        <w:t xml:space="preserve"> and </w:t>
      </w:r>
      <w:r w:rsidR="00964835">
        <w:t>L</w:t>
      </w:r>
      <w:r>
        <w:t>ate-</w:t>
      </w:r>
      <w:r w:rsidR="00964835">
        <w:t>D</w:t>
      </w:r>
      <w:r>
        <w:t xml:space="preserve">evelopment </w:t>
      </w:r>
      <w:r w:rsidR="00964835">
        <w:t>O</w:t>
      </w:r>
      <w:r>
        <w:t>pen classes. Mixed</w:t>
      </w:r>
      <w:r w:rsidR="00964835">
        <w:t>-</w:t>
      </w:r>
      <w:r>
        <w:t xml:space="preserve">severity fire and fuel wood collection </w:t>
      </w:r>
      <w:r w:rsidR="00964835">
        <w:t>were</w:t>
      </w:r>
      <w:r>
        <w:t xml:space="preserve"> added to the </w:t>
      </w:r>
      <w:r w:rsidR="00964835">
        <w:t>L</w:t>
      </w:r>
      <w:r>
        <w:t>ate-</w:t>
      </w:r>
      <w:r w:rsidR="00964835">
        <w:t>D</w:t>
      </w:r>
      <w:r>
        <w:t xml:space="preserve">evelopment </w:t>
      </w:r>
      <w:r w:rsidR="00964835">
        <w:t>C</w:t>
      </w:r>
      <w:r>
        <w:t>losed class to represent Native Americans utilization of neglected or virgin stands. These last parameters had a large influence on model results.</w:t>
      </w:r>
    </w:p>
    <w:p w:rsidR="00891FB8" w:rsidP="00891FB8" w:rsidRDefault="00891FB8" w14:paraId="2DD03C94" w14:textId="77777777"/>
    <w:p w:rsidR="00891FB8" w:rsidP="00891FB8" w:rsidRDefault="00891FB8" w14:paraId="28B0CF09" w14:textId="0FB18F18">
      <w:r>
        <w:t>Suggested reviewers: Dave Gori (TNC A</w:t>
      </w:r>
      <w:r w:rsidR="00964835">
        <w:t>rizona</w:t>
      </w:r>
      <w:r>
        <w:t xml:space="preserve">), Julie Stromberg </w:t>
      </w:r>
      <w:r w:rsidR="00964835">
        <w:t>(</w:t>
      </w:r>
      <w:r>
        <w:t>A</w:t>
      </w:r>
      <w:r w:rsidR="00964835">
        <w:t xml:space="preserve">rizona </w:t>
      </w:r>
      <w:r>
        <w:t>S</w:t>
      </w:r>
      <w:r w:rsidR="00964835">
        <w:t xml:space="preserve">tate </w:t>
      </w:r>
      <w:r>
        <w:t>U</w:t>
      </w:r>
      <w:r w:rsidR="00964835">
        <w:t>niversity)</w:t>
      </w:r>
      <w:r>
        <w:t xml:space="preserve"> Dan Robinette (NRCS Tucson)</w:t>
      </w:r>
      <w:r w:rsidR="00964835">
        <w:t>,</w:t>
      </w:r>
      <w:r>
        <w:t xml:space="preserve"> and Richard Felger (rfleger@ag.arizona.edu).</w:t>
      </w:r>
    </w:p>
    <w:p w:rsidR="00891FB8" w:rsidP="00891FB8" w:rsidRDefault="00891FB8" w14:paraId="22035ADF" w14:textId="77777777"/>
    <w:p w:rsidR="00891FB8" w:rsidP="00891FB8" w:rsidRDefault="00891FB8" w14:paraId="75C1E53D" w14:textId="77777777">
      <w:pPr>
        <w:pStyle w:val="ReportSection"/>
      </w:pPr>
      <w:r>
        <w:t>Succession Classes</w:t>
      </w:r>
    </w:p>
    <w:p w:rsidR="00891FB8" w:rsidP="00891FB8" w:rsidRDefault="00891FB8" w14:paraId="2A84594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91FB8" w:rsidP="00891FB8" w:rsidRDefault="00891FB8" w14:paraId="32611BCF" w14:textId="77777777">
      <w:pPr>
        <w:pStyle w:val="InfoPara"/>
        <w:pBdr>
          <w:top w:val="single" w:color="auto" w:sz="4" w:space="1"/>
        </w:pBdr>
      </w:pPr>
      <w:r xmlns:w="http://schemas.openxmlformats.org/wordprocessingml/2006/main">
        <w:t>Class A</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91FB8" w:rsidP="00891FB8" w:rsidRDefault="00891FB8" w14:paraId="02CE7A05" w14:textId="77777777"/>
    <w:p w:rsidR="00891FB8" w:rsidP="00891FB8" w:rsidRDefault="00891FB8" w14:paraId="462BB69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112"/>
        <w:gridCol w:w="2784"/>
        <w:gridCol w:w="1956"/>
      </w:tblGrid>
      <w:tr w:rsidRPr="00891FB8" w:rsidR="00891FB8" w:rsidTr="00891FB8" w14:paraId="22FA83E6" w14:textId="77777777">
        <w:tc>
          <w:tcPr>
            <w:tcW w:w="1080" w:type="dxa"/>
            <w:tcBorders>
              <w:top w:val="single" w:color="auto" w:sz="2" w:space="0"/>
              <w:bottom w:val="single" w:color="000000" w:sz="12" w:space="0"/>
            </w:tcBorders>
            <w:shd w:val="clear" w:color="auto" w:fill="auto"/>
          </w:tcPr>
          <w:p w:rsidRPr="00891FB8" w:rsidR="00891FB8" w:rsidP="00964835" w:rsidRDefault="00891FB8" w14:paraId="16093945" w14:textId="77777777">
            <w:pPr>
              <w:rPr>
                <w:b/>
                <w:bCs/>
              </w:rPr>
            </w:pPr>
            <w:r w:rsidRPr="00891FB8">
              <w:rPr>
                <w:b/>
                <w:bCs/>
              </w:rPr>
              <w:t>Symbol</w:t>
            </w:r>
          </w:p>
        </w:tc>
        <w:tc>
          <w:tcPr>
            <w:tcW w:w="2112" w:type="dxa"/>
            <w:tcBorders>
              <w:top w:val="single" w:color="auto" w:sz="2" w:space="0"/>
              <w:bottom w:val="single" w:color="000000" w:sz="12" w:space="0"/>
            </w:tcBorders>
            <w:shd w:val="clear" w:color="auto" w:fill="auto"/>
          </w:tcPr>
          <w:p w:rsidRPr="00891FB8" w:rsidR="00891FB8" w:rsidP="00964835" w:rsidRDefault="00891FB8" w14:paraId="7AE6D831" w14:textId="77777777">
            <w:pPr>
              <w:rPr>
                <w:b/>
                <w:bCs/>
              </w:rPr>
            </w:pPr>
            <w:r w:rsidRPr="00891FB8">
              <w:rPr>
                <w:b/>
                <w:bCs/>
              </w:rPr>
              <w:t>Scientific Name</w:t>
            </w:r>
          </w:p>
        </w:tc>
        <w:tc>
          <w:tcPr>
            <w:tcW w:w="2784" w:type="dxa"/>
            <w:tcBorders>
              <w:top w:val="single" w:color="auto" w:sz="2" w:space="0"/>
              <w:bottom w:val="single" w:color="000000" w:sz="12" w:space="0"/>
            </w:tcBorders>
            <w:shd w:val="clear" w:color="auto" w:fill="auto"/>
          </w:tcPr>
          <w:p w:rsidRPr="00891FB8" w:rsidR="00891FB8" w:rsidP="00964835" w:rsidRDefault="00891FB8" w14:paraId="0500BEA0" w14:textId="77777777">
            <w:pPr>
              <w:rPr>
                <w:b/>
                <w:bCs/>
              </w:rPr>
            </w:pPr>
            <w:r w:rsidRPr="00891FB8">
              <w:rPr>
                <w:b/>
                <w:bCs/>
              </w:rPr>
              <w:t>Common Name</w:t>
            </w:r>
          </w:p>
        </w:tc>
        <w:tc>
          <w:tcPr>
            <w:tcW w:w="1956" w:type="dxa"/>
            <w:tcBorders>
              <w:top w:val="single" w:color="auto" w:sz="2" w:space="0"/>
              <w:bottom w:val="single" w:color="000000" w:sz="12" w:space="0"/>
            </w:tcBorders>
            <w:shd w:val="clear" w:color="auto" w:fill="auto"/>
          </w:tcPr>
          <w:p w:rsidRPr="00891FB8" w:rsidR="00891FB8" w:rsidP="00964835" w:rsidRDefault="00891FB8" w14:paraId="089DA61E" w14:textId="77777777">
            <w:pPr>
              <w:rPr>
                <w:b/>
                <w:bCs/>
              </w:rPr>
            </w:pPr>
            <w:r w:rsidRPr="00891FB8">
              <w:rPr>
                <w:b/>
                <w:bCs/>
              </w:rPr>
              <w:t>Canopy Position</w:t>
            </w:r>
          </w:p>
        </w:tc>
      </w:tr>
      <w:tr w:rsidRPr="00891FB8" w:rsidR="00891FB8" w:rsidTr="00891FB8" w14:paraId="2191967C" w14:textId="77777777">
        <w:tc>
          <w:tcPr>
            <w:tcW w:w="1080" w:type="dxa"/>
            <w:tcBorders>
              <w:top w:val="single" w:color="000000" w:sz="12" w:space="0"/>
            </w:tcBorders>
            <w:shd w:val="clear" w:color="auto" w:fill="auto"/>
          </w:tcPr>
          <w:p w:rsidRPr="00891FB8" w:rsidR="00891FB8" w:rsidP="00964835" w:rsidRDefault="00891FB8" w14:paraId="7FA2CE77" w14:textId="77777777">
            <w:pPr>
              <w:rPr>
                <w:bCs/>
              </w:rPr>
            </w:pPr>
            <w:r w:rsidRPr="00891FB8">
              <w:rPr>
                <w:bCs/>
              </w:rPr>
              <w:t>SAGO</w:t>
            </w:r>
          </w:p>
        </w:tc>
        <w:tc>
          <w:tcPr>
            <w:tcW w:w="2112" w:type="dxa"/>
            <w:tcBorders>
              <w:top w:val="single" w:color="000000" w:sz="12" w:space="0"/>
            </w:tcBorders>
            <w:shd w:val="clear" w:color="auto" w:fill="auto"/>
          </w:tcPr>
          <w:p w:rsidRPr="00891FB8" w:rsidR="00891FB8" w:rsidP="00964835" w:rsidRDefault="00891FB8" w14:paraId="23D7A91D" w14:textId="77777777">
            <w:r w:rsidRPr="00891FB8">
              <w:t>Salix gooddingii</w:t>
            </w:r>
          </w:p>
        </w:tc>
        <w:tc>
          <w:tcPr>
            <w:tcW w:w="2784" w:type="dxa"/>
            <w:tcBorders>
              <w:top w:val="single" w:color="000000" w:sz="12" w:space="0"/>
            </w:tcBorders>
            <w:shd w:val="clear" w:color="auto" w:fill="auto"/>
          </w:tcPr>
          <w:p w:rsidRPr="00891FB8" w:rsidR="00891FB8" w:rsidP="00964835" w:rsidRDefault="00891FB8" w14:paraId="237F7702" w14:textId="29CB52FA">
            <w:r w:rsidRPr="00891FB8">
              <w:t>Goodding</w:t>
            </w:r>
            <w:r w:rsidR="00964835">
              <w:t>’</w:t>
            </w:r>
            <w:r w:rsidRPr="00891FB8">
              <w:t>s willow</w:t>
            </w:r>
          </w:p>
        </w:tc>
        <w:tc>
          <w:tcPr>
            <w:tcW w:w="1956" w:type="dxa"/>
            <w:tcBorders>
              <w:top w:val="single" w:color="000000" w:sz="12" w:space="0"/>
            </w:tcBorders>
            <w:shd w:val="clear" w:color="auto" w:fill="auto"/>
          </w:tcPr>
          <w:p w:rsidRPr="00891FB8" w:rsidR="00891FB8" w:rsidP="00964835" w:rsidRDefault="00891FB8" w14:paraId="6C05476A" w14:textId="77777777">
            <w:r w:rsidRPr="00891FB8">
              <w:t>Upper</w:t>
            </w:r>
          </w:p>
        </w:tc>
      </w:tr>
      <w:tr w:rsidRPr="00891FB8" w:rsidR="00891FB8" w:rsidTr="00891FB8" w14:paraId="0F4B4106" w14:textId="77777777">
        <w:tc>
          <w:tcPr>
            <w:tcW w:w="1080" w:type="dxa"/>
            <w:shd w:val="clear" w:color="auto" w:fill="auto"/>
          </w:tcPr>
          <w:p w:rsidRPr="00891FB8" w:rsidR="00891FB8" w:rsidP="00964835" w:rsidRDefault="00891FB8" w14:paraId="6946D8F4" w14:textId="77777777">
            <w:pPr>
              <w:rPr>
                <w:bCs/>
              </w:rPr>
            </w:pPr>
            <w:r w:rsidRPr="00891FB8">
              <w:rPr>
                <w:bCs/>
              </w:rPr>
              <w:t>POFR2</w:t>
            </w:r>
          </w:p>
        </w:tc>
        <w:tc>
          <w:tcPr>
            <w:tcW w:w="2112" w:type="dxa"/>
            <w:shd w:val="clear" w:color="auto" w:fill="auto"/>
          </w:tcPr>
          <w:p w:rsidRPr="00891FB8" w:rsidR="00891FB8" w:rsidP="00964835" w:rsidRDefault="00891FB8" w14:paraId="5DFDF489" w14:textId="77777777">
            <w:r w:rsidRPr="00891FB8">
              <w:t>Populus fremontii</w:t>
            </w:r>
          </w:p>
        </w:tc>
        <w:tc>
          <w:tcPr>
            <w:tcW w:w="2784" w:type="dxa"/>
            <w:shd w:val="clear" w:color="auto" w:fill="auto"/>
          </w:tcPr>
          <w:p w:rsidRPr="00891FB8" w:rsidR="00891FB8" w:rsidP="00964835" w:rsidRDefault="00891FB8" w14:paraId="729B1B2F" w14:textId="77777777">
            <w:r w:rsidRPr="00891FB8">
              <w:t>Fremont cottonwood</w:t>
            </w:r>
          </w:p>
        </w:tc>
        <w:tc>
          <w:tcPr>
            <w:tcW w:w="1956" w:type="dxa"/>
            <w:shd w:val="clear" w:color="auto" w:fill="auto"/>
          </w:tcPr>
          <w:p w:rsidRPr="00891FB8" w:rsidR="00891FB8" w:rsidP="00964835" w:rsidRDefault="00891FB8" w14:paraId="436EDE19" w14:textId="77777777">
            <w:r w:rsidRPr="00891FB8">
              <w:t>Upper</w:t>
            </w:r>
          </w:p>
        </w:tc>
      </w:tr>
      <w:tr w:rsidRPr="00891FB8" w:rsidR="00891FB8" w:rsidTr="00891FB8" w14:paraId="63D1EDDF" w14:textId="77777777">
        <w:tc>
          <w:tcPr>
            <w:tcW w:w="1080" w:type="dxa"/>
            <w:shd w:val="clear" w:color="auto" w:fill="auto"/>
          </w:tcPr>
          <w:p w:rsidRPr="00891FB8" w:rsidR="00891FB8" w:rsidP="00964835" w:rsidRDefault="00891FB8" w14:paraId="550A31C9" w14:textId="77777777">
            <w:pPr>
              <w:rPr>
                <w:bCs/>
              </w:rPr>
            </w:pPr>
            <w:r w:rsidRPr="00891FB8">
              <w:rPr>
                <w:bCs/>
              </w:rPr>
              <w:t>BASA</w:t>
            </w:r>
          </w:p>
        </w:tc>
        <w:tc>
          <w:tcPr>
            <w:tcW w:w="2112" w:type="dxa"/>
            <w:shd w:val="clear" w:color="auto" w:fill="auto"/>
          </w:tcPr>
          <w:p w:rsidRPr="00891FB8" w:rsidR="00891FB8" w:rsidP="00964835" w:rsidRDefault="00891FB8" w14:paraId="0324C51D" w14:textId="77777777">
            <w:r w:rsidRPr="00891FB8">
              <w:t>Baccharis salicina</w:t>
            </w:r>
          </w:p>
        </w:tc>
        <w:tc>
          <w:tcPr>
            <w:tcW w:w="2784" w:type="dxa"/>
            <w:shd w:val="clear" w:color="auto" w:fill="auto"/>
          </w:tcPr>
          <w:p w:rsidRPr="00891FB8" w:rsidR="00891FB8" w:rsidP="00964835" w:rsidRDefault="00891FB8" w14:paraId="34AA9BE3" w14:textId="783B10B1">
            <w:r w:rsidRPr="00891FB8">
              <w:t xml:space="preserve">Great </w:t>
            </w:r>
            <w:r w:rsidR="00964835">
              <w:t>P</w:t>
            </w:r>
            <w:r w:rsidRPr="00891FB8">
              <w:t>lains false willow</w:t>
            </w:r>
          </w:p>
        </w:tc>
        <w:tc>
          <w:tcPr>
            <w:tcW w:w="1956" w:type="dxa"/>
            <w:shd w:val="clear" w:color="auto" w:fill="auto"/>
          </w:tcPr>
          <w:p w:rsidRPr="00891FB8" w:rsidR="00891FB8" w:rsidP="00964835" w:rsidRDefault="00891FB8" w14:paraId="102B2FB5" w14:textId="77777777">
            <w:r w:rsidRPr="00891FB8">
              <w:t>Upper</w:t>
            </w:r>
          </w:p>
        </w:tc>
      </w:tr>
    </w:tbl>
    <w:p w:rsidR="00891FB8" w:rsidP="00891FB8" w:rsidRDefault="00891FB8" w14:paraId="079F69EB" w14:textId="77777777"/>
    <w:p w:rsidR="00891FB8" w:rsidP="00891FB8" w:rsidRDefault="00891FB8" w14:paraId="09AF110D" w14:textId="77777777">
      <w:pPr>
        <w:pStyle w:val="SClassInfoPara"/>
      </w:pPr>
      <w:r>
        <w:t>Description</w:t>
      </w:r>
    </w:p>
    <w:p w:rsidR="00891FB8" w:rsidP="00891FB8" w:rsidRDefault="00891FB8" w14:paraId="1C2DC770" w14:textId="456D3D2F">
      <w:r>
        <w:t>Immediate post-disturbance responses are dependent on pre-disturbance vegetation composition. Species composition var</w:t>
      </w:r>
      <w:r w:rsidR="00964835">
        <w:t>ies</w:t>
      </w:r>
      <w:r>
        <w:t xml:space="preserve"> with fire (</w:t>
      </w:r>
      <w:r w:rsidRPr="0044607C">
        <w:rPr>
          <w:i/>
        </w:rPr>
        <w:t>Salix gooddingii</w:t>
      </w:r>
      <w:r>
        <w:t xml:space="preserve"> favored) or flood magnitude (</w:t>
      </w:r>
      <w:r w:rsidRPr="0044607C">
        <w:rPr>
          <w:i/>
        </w:rPr>
        <w:t>Salix gooddingii</w:t>
      </w:r>
      <w:r>
        <w:t xml:space="preserve"> and </w:t>
      </w:r>
      <w:r w:rsidRPr="0044607C">
        <w:rPr>
          <w:i/>
        </w:rPr>
        <w:t>Populus fremontii</w:t>
      </w:r>
      <w:r>
        <w:t xml:space="preserve"> favored). This class is typically shrub/seedling dominated, but grasses may co-dominate. This class also exists as recently deposited mud/silt flats that may be farmed for corn, squash</w:t>
      </w:r>
      <w:r w:rsidR="00964835">
        <w:t>,</w:t>
      </w:r>
      <w:r>
        <w:t xml:space="preserve"> and beans.</w:t>
      </w:r>
      <w:r w:rsidR="00D835F7">
        <w:t xml:space="preserve"> F</w:t>
      </w:r>
      <w:r>
        <w:t xml:space="preserve">arming was applied to new mud flats and </w:t>
      </w:r>
      <w:r w:rsidR="00964835">
        <w:t xml:space="preserve">it </w:t>
      </w:r>
      <w:r>
        <w:t>prevented germinat</w:t>
      </w:r>
      <w:r w:rsidR="00D835F7">
        <w:t>ion of cottonwood and willow</w:t>
      </w:r>
      <w:r>
        <w:t>.</w:t>
      </w:r>
    </w:p>
    <w:p w:rsidR="00891FB8" w:rsidP="00891FB8" w:rsidRDefault="00891FB8" w14:paraId="2348D181" w14:textId="77777777"/>
    <w:p>
      <w:r>
        <w:rPr>
          <w:i/>
          <w:u w:val="single"/>
        </w:rPr>
        <w:t>Maximum Tree Size Class</w:t>
      </w:r>
      <w:br/>
      <w:r>
        <w:t>No data</w:t>
      </w:r>
    </w:p>
    <w:p w:rsidR="00891FB8" w:rsidP="00891FB8" w:rsidRDefault="00891FB8" w14:paraId="3B9A1615" w14:textId="77777777">
      <w:pPr>
        <w:pStyle w:val="InfoPara"/>
        <w:pBdr>
          <w:top w:val="single" w:color="auto" w:sz="4" w:space="1"/>
        </w:pBdr>
      </w:pPr>
      <w:r xmlns:w="http://schemas.openxmlformats.org/wordprocessingml/2006/main">
        <w:t>Class B</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91FB8" w:rsidP="00891FB8" w:rsidRDefault="00891FB8" w14:paraId="33D4E6E9" w14:textId="77777777"/>
    <w:p w:rsidR="00891FB8" w:rsidP="00891FB8" w:rsidRDefault="00891FB8" w14:paraId="09AB3FF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100"/>
        <w:gridCol w:w="2364"/>
        <w:gridCol w:w="1956"/>
      </w:tblGrid>
      <w:tr w:rsidRPr="00891FB8" w:rsidR="00891FB8" w:rsidTr="00891FB8" w14:paraId="532AB3DB" w14:textId="77777777">
        <w:tc>
          <w:tcPr>
            <w:tcW w:w="1080" w:type="dxa"/>
            <w:tcBorders>
              <w:top w:val="single" w:color="auto" w:sz="2" w:space="0"/>
              <w:bottom w:val="single" w:color="000000" w:sz="12" w:space="0"/>
            </w:tcBorders>
            <w:shd w:val="clear" w:color="auto" w:fill="auto"/>
          </w:tcPr>
          <w:p w:rsidRPr="00891FB8" w:rsidR="00891FB8" w:rsidP="00964835" w:rsidRDefault="00891FB8" w14:paraId="09C230AA" w14:textId="77777777">
            <w:pPr>
              <w:rPr>
                <w:b/>
                <w:bCs/>
              </w:rPr>
            </w:pPr>
            <w:r w:rsidRPr="00891FB8">
              <w:rPr>
                <w:b/>
                <w:bCs/>
              </w:rPr>
              <w:t>Symbol</w:t>
            </w:r>
          </w:p>
        </w:tc>
        <w:tc>
          <w:tcPr>
            <w:tcW w:w="2100" w:type="dxa"/>
            <w:tcBorders>
              <w:top w:val="single" w:color="auto" w:sz="2" w:space="0"/>
              <w:bottom w:val="single" w:color="000000" w:sz="12" w:space="0"/>
            </w:tcBorders>
            <w:shd w:val="clear" w:color="auto" w:fill="auto"/>
          </w:tcPr>
          <w:p w:rsidRPr="00891FB8" w:rsidR="00891FB8" w:rsidP="00964835" w:rsidRDefault="00891FB8" w14:paraId="79D1B13C" w14:textId="77777777">
            <w:pPr>
              <w:rPr>
                <w:b/>
                <w:bCs/>
              </w:rPr>
            </w:pPr>
            <w:r w:rsidRPr="00891FB8">
              <w:rPr>
                <w:b/>
                <w:bCs/>
              </w:rPr>
              <w:t>Scientific Name</w:t>
            </w:r>
          </w:p>
        </w:tc>
        <w:tc>
          <w:tcPr>
            <w:tcW w:w="2364" w:type="dxa"/>
            <w:tcBorders>
              <w:top w:val="single" w:color="auto" w:sz="2" w:space="0"/>
              <w:bottom w:val="single" w:color="000000" w:sz="12" w:space="0"/>
            </w:tcBorders>
            <w:shd w:val="clear" w:color="auto" w:fill="auto"/>
          </w:tcPr>
          <w:p w:rsidRPr="00891FB8" w:rsidR="00891FB8" w:rsidP="00964835" w:rsidRDefault="00891FB8" w14:paraId="7C8955EF" w14:textId="77777777">
            <w:pPr>
              <w:rPr>
                <w:b/>
                <w:bCs/>
              </w:rPr>
            </w:pPr>
            <w:r w:rsidRPr="00891FB8">
              <w:rPr>
                <w:b/>
                <w:bCs/>
              </w:rPr>
              <w:t>Common Name</w:t>
            </w:r>
          </w:p>
        </w:tc>
        <w:tc>
          <w:tcPr>
            <w:tcW w:w="1956" w:type="dxa"/>
            <w:tcBorders>
              <w:top w:val="single" w:color="auto" w:sz="2" w:space="0"/>
              <w:bottom w:val="single" w:color="000000" w:sz="12" w:space="0"/>
            </w:tcBorders>
            <w:shd w:val="clear" w:color="auto" w:fill="auto"/>
          </w:tcPr>
          <w:p w:rsidRPr="00891FB8" w:rsidR="00891FB8" w:rsidP="00964835" w:rsidRDefault="00891FB8" w14:paraId="3BB2BDDE" w14:textId="77777777">
            <w:pPr>
              <w:rPr>
                <w:b/>
                <w:bCs/>
              </w:rPr>
            </w:pPr>
            <w:r w:rsidRPr="00891FB8">
              <w:rPr>
                <w:b/>
                <w:bCs/>
              </w:rPr>
              <w:t>Canopy Position</w:t>
            </w:r>
          </w:p>
        </w:tc>
      </w:tr>
      <w:tr w:rsidRPr="00891FB8" w:rsidR="00891FB8" w:rsidTr="00891FB8" w14:paraId="01C3F63E" w14:textId="77777777">
        <w:tc>
          <w:tcPr>
            <w:tcW w:w="1080" w:type="dxa"/>
            <w:tcBorders>
              <w:top w:val="single" w:color="000000" w:sz="12" w:space="0"/>
            </w:tcBorders>
            <w:shd w:val="clear" w:color="auto" w:fill="auto"/>
          </w:tcPr>
          <w:p w:rsidRPr="00891FB8" w:rsidR="00891FB8" w:rsidP="00964835" w:rsidRDefault="00891FB8" w14:paraId="2842B9F8" w14:textId="77777777">
            <w:pPr>
              <w:rPr>
                <w:bCs/>
              </w:rPr>
            </w:pPr>
            <w:r w:rsidRPr="00891FB8">
              <w:rPr>
                <w:bCs/>
              </w:rPr>
              <w:t>SAGO</w:t>
            </w:r>
          </w:p>
        </w:tc>
        <w:tc>
          <w:tcPr>
            <w:tcW w:w="2100" w:type="dxa"/>
            <w:tcBorders>
              <w:top w:val="single" w:color="000000" w:sz="12" w:space="0"/>
            </w:tcBorders>
            <w:shd w:val="clear" w:color="auto" w:fill="auto"/>
          </w:tcPr>
          <w:p w:rsidRPr="00891FB8" w:rsidR="00891FB8" w:rsidP="00964835" w:rsidRDefault="00891FB8" w14:paraId="22E517AB" w14:textId="77777777">
            <w:r w:rsidRPr="00891FB8">
              <w:t>Salix gooddingii</w:t>
            </w:r>
          </w:p>
        </w:tc>
        <w:tc>
          <w:tcPr>
            <w:tcW w:w="2364" w:type="dxa"/>
            <w:tcBorders>
              <w:top w:val="single" w:color="000000" w:sz="12" w:space="0"/>
            </w:tcBorders>
            <w:shd w:val="clear" w:color="auto" w:fill="auto"/>
          </w:tcPr>
          <w:p w:rsidRPr="00891FB8" w:rsidR="00891FB8" w:rsidP="00964835" w:rsidRDefault="00891FB8" w14:paraId="49C9B3EB" w14:textId="0AD0FDCF">
            <w:r w:rsidRPr="00891FB8">
              <w:t>Goodding</w:t>
            </w:r>
            <w:r w:rsidR="00964835">
              <w:t>’</w:t>
            </w:r>
            <w:r w:rsidRPr="00891FB8">
              <w:t>s willow</w:t>
            </w:r>
          </w:p>
        </w:tc>
        <w:tc>
          <w:tcPr>
            <w:tcW w:w="1956" w:type="dxa"/>
            <w:tcBorders>
              <w:top w:val="single" w:color="000000" w:sz="12" w:space="0"/>
            </w:tcBorders>
            <w:shd w:val="clear" w:color="auto" w:fill="auto"/>
          </w:tcPr>
          <w:p w:rsidRPr="00891FB8" w:rsidR="00891FB8" w:rsidP="00964835" w:rsidRDefault="00891FB8" w14:paraId="5A080C12" w14:textId="77777777">
            <w:r w:rsidRPr="00891FB8">
              <w:t>Upper</w:t>
            </w:r>
          </w:p>
        </w:tc>
      </w:tr>
      <w:tr w:rsidRPr="00891FB8" w:rsidR="00891FB8" w:rsidTr="00891FB8" w14:paraId="01A6A8EF" w14:textId="77777777">
        <w:tc>
          <w:tcPr>
            <w:tcW w:w="1080" w:type="dxa"/>
            <w:shd w:val="clear" w:color="auto" w:fill="auto"/>
          </w:tcPr>
          <w:p w:rsidRPr="00891FB8" w:rsidR="00891FB8" w:rsidP="00964835" w:rsidRDefault="00891FB8" w14:paraId="55CA6AFC" w14:textId="77777777">
            <w:pPr>
              <w:rPr>
                <w:bCs/>
              </w:rPr>
            </w:pPr>
            <w:r w:rsidRPr="00891FB8">
              <w:rPr>
                <w:bCs/>
              </w:rPr>
              <w:t>POFR2</w:t>
            </w:r>
          </w:p>
        </w:tc>
        <w:tc>
          <w:tcPr>
            <w:tcW w:w="2100" w:type="dxa"/>
            <w:shd w:val="clear" w:color="auto" w:fill="auto"/>
          </w:tcPr>
          <w:p w:rsidRPr="00891FB8" w:rsidR="00891FB8" w:rsidP="00964835" w:rsidRDefault="00891FB8" w14:paraId="517723CF" w14:textId="77777777">
            <w:r w:rsidRPr="00891FB8">
              <w:t>Populus fremontii</w:t>
            </w:r>
          </w:p>
        </w:tc>
        <w:tc>
          <w:tcPr>
            <w:tcW w:w="2364" w:type="dxa"/>
            <w:shd w:val="clear" w:color="auto" w:fill="auto"/>
          </w:tcPr>
          <w:p w:rsidRPr="00891FB8" w:rsidR="00891FB8" w:rsidP="00964835" w:rsidRDefault="00891FB8" w14:paraId="62A59A02" w14:textId="77777777">
            <w:r w:rsidRPr="00891FB8">
              <w:t>Fremont cottonwood</w:t>
            </w:r>
          </w:p>
        </w:tc>
        <w:tc>
          <w:tcPr>
            <w:tcW w:w="1956" w:type="dxa"/>
            <w:shd w:val="clear" w:color="auto" w:fill="auto"/>
          </w:tcPr>
          <w:p w:rsidRPr="00891FB8" w:rsidR="00891FB8" w:rsidP="00964835" w:rsidRDefault="00891FB8" w14:paraId="06122874" w14:textId="77777777">
            <w:r w:rsidRPr="00891FB8">
              <w:t>Upper</w:t>
            </w:r>
          </w:p>
        </w:tc>
      </w:tr>
    </w:tbl>
    <w:p w:rsidR="00891FB8" w:rsidP="00891FB8" w:rsidRDefault="00891FB8" w14:paraId="71AB948A" w14:textId="77777777"/>
    <w:p w:rsidR="00891FB8" w:rsidP="00891FB8" w:rsidRDefault="00891FB8" w14:paraId="5E6E696B" w14:textId="77777777">
      <w:pPr>
        <w:pStyle w:val="SClassInfoPara"/>
      </w:pPr>
      <w:r>
        <w:t>Description</w:t>
      </w:r>
    </w:p>
    <w:p w:rsidR="00891FB8" w:rsidP="00891FB8" w:rsidRDefault="00891FB8" w14:paraId="4CCF19D8" w14:textId="784794BE">
      <w:r>
        <w:t xml:space="preserve">Highly dependent on the hydrologic regime. Vegetation composition includes tall shrubs and small trees (willow </w:t>
      </w:r>
      <w:r w:rsidR="00D835F7">
        <w:t>and</w:t>
      </w:r>
      <w:r>
        <w:t xml:space="preserve"> cottonwood). Native mixed</w:t>
      </w:r>
      <w:r w:rsidR="00964835">
        <w:t>-</w:t>
      </w:r>
      <w:r>
        <w:t xml:space="preserve">severity burning in the fall for </w:t>
      </w:r>
      <w:r w:rsidR="00964835">
        <w:t xml:space="preserve">acquiring supplies for </w:t>
      </w:r>
      <w:r>
        <w:t>basketry, clearing irrigation ditches</w:t>
      </w:r>
      <w:r w:rsidR="00964835">
        <w:t>,</w:t>
      </w:r>
      <w:r>
        <w:t xml:space="preserve"> and hunting was conducted. Shrubs resprouted vigorously the year </w:t>
      </w:r>
      <w:r w:rsidR="00964835">
        <w:t xml:space="preserve">after </w:t>
      </w:r>
      <w:r>
        <w:t xml:space="preserve">burning. </w:t>
      </w:r>
    </w:p>
    <w:p w:rsidR="00891FB8" w:rsidP="00891FB8" w:rsidRDefault="00891FB8" w14:paraId="401F437E" w14:textId="77777777"/>
    <w:p>
      <w:r>
        <w:rPr>
          <w:i/>
          <w:u w:val="single"/>
        </w:rPr>
        <w:t>Maximum Tree Size Class</w:t>
      </w:r>
      <w:br/>
      <w:r>
        <w:t>Pole 5-9" DBH</w:t>
      </w:r>
    </w:p>
    <w:p w:rsidR="00891FB8" w:rsidP="00891FB8" w:rsidRDefault="00891FB8" w14:paraId="0A6D1251" w14:textId="77777777">
      <w:pPr>
        <w:pStyle w:val="InfoPara"/>
        <w:pBdr>
          <w:top w:val="single" w:color="auto" w:sz="4" w:space="1"/>
        </w:pBdr>
      </w:pPr>
      <w:r xmlns:w="http://schemas.openxmlformats.org/wordprocessingml/2006/main">
        <w:t>Class C</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91FB8" w:rsidP="00891FB8" w:rsidRDefault="00891FB8" w14:paraId="670EFFDA" w14:textId="77777777"/>
    <w:p w:rsidR="00891FB8" w:rsidP="00891FB8" w:rsidRDefault="00891FB8" w14:paraId="457A4E6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00"/>
        <w:gridCol w:w="2364"/>
        <w:gridCol w:w="1956"/>
      </w:tblGrid>
      <w:tr w:rsidRPr="00891FB8" w:rsidR="00891FB8" w:rsidTr="00891FB8" w14:paraId="32A5589B" w14:textId="77777777">
        <w:tc>
          <w:tcPr>
            <w:tcW w:w="1152" w:type="dxa"/>
            <w:tcBorders>
              <w:top w:val="single" w:color="auto" w:sz="2" w:space="0"/>
              <w:bottom w:val="single" w:color="000000" w:sz="12" w:space="0"/>
            </w:tcBorders>
            <w:shd w:val="clear" w:color="auto" w:fill="auto"/>
          </w:tcPr>
          <w:p w:rsidRPr="00891FB8" w:rsidR="00891FB8" w:rsidP="00964835" w:rsidRDefault="00891FB8" w14:paraId="001E70BB" w14:textId="77777777">
            <w:pPr>
              <w:rPr>
                <w:b/>
                <w:bCs/>
              </w:rPr>
            </w:pPr>
            <w:r w:rsidRPr="00891FB8">
              <w:rPr>
                <w:b/>
                <w:bCs/>
              </w:rPr>
              <w:t>Symbol</w:t>
            </w:r>
          </w:p>
        </w:tc>
        <w:tc>
          <w:tcPr>
            <w:tcW w:w="2100" w:type="dxa"/>
            <w:tcBorders>
              <w:top w:val="single" w:color="auto" w:sz="2" w:space="0"/>
              <w:bottom w:val="single" w:color="000000" w:sz="12" w:space="0"/>
            </w:tcBorders>
            <w:shd w:val="clear" w:color="auto" w:fill="auto"/>
          </w:tcPr>
          <w:p w:rsidRPr="00891FB8" w:rsidR="00891FB8" w:rsidP="00964835" w:rsidRDefault="00891FB8" w14:paraId="2AD768F6" w14:textId="77777777">
            <w:pPr>
              <w:rPr>
                <w:b/>
                <w:bCs/>
              </w:rPr>
            </w:pPr>
            <w:r w:rsidRPr="00891FB8">
              <w:rPr>
                <w:b/>
                <w:bCs/>
              </w:rPr>
              <w:t>Scientific Name</w:t>
            </w:r>
          </w:p>
        </w:tc>
        <w:tc>
          <w:tcPr>
            <w:tcW w:w="2364" w:type="dxa"/>
            <w:tcBorders>
              <w:top w:val="single" w:color="auto" w:sz="2" w:space="0"/>
              <w:bottom w:val="single" w:color="000000" w:sz="12" w:space="0"/>
            </w:tcBorders>
            <w:shd w:val="clear" w:color="auto" w:fill="auto"/>
          </w:tcPr>
          <w:p w:rsidRPr="00891FB8" w:rsidR="00891FB8" w:rsidP="00964835" w:rsidRDefault="00891FB8" w14:paraId="24E27399" w14:textId="77777777">
            <w:pPr>
              <w:rPr>
                <w:b/>
                <w:bCs/>
              </w:rPr>
            </w:pPr>
            <w:r w:rsidRPr="00891FB8">
              <w:rPr>
                <w:b/>
                <w:bCs/>
              </w:rPr>
              <w:t>Common Name</w:t>
            </w:r>
          </w:p>
        </w:tc>
        <w:tc>
          <w:tcPr>
            <w:tcW w:w="1956" w:type="dxa"/>
            <w:tcBorders>
              <w:top w:val="single" w:color="auto" w:sz="2" w:space="0"/>
              <w:bottom w:val="single" w:color="000000" w:sz="12" w:space="0"/>
            </w:tcBorders>
            <w:shd w:val="clear" w:color="auto" w:fill="auto"/>
          </w:tcPr>
          <w:p w:rsidRPr="00891FB8" w:rsidR="00891FB8" w:rsidP="00964835" w:rsidRDefault="00891FB8" w14:paraId="1E79685C" w14:textId="77777777">
            <w:pPr>
              <w:rPr>
                <w:b/>
                <w:bCs/>
              </w:rPr>
            </w:pPr>
            <w:r w:rsidRPr="00891FB8">
              <w:rPr>
                <w:b/>
                <w:bCs/>
              </w:rPr>
              <w:t>Canopy Position</w:t>
            </w:r>
          </w:p>
        </w:tc>
      </w:tr>
      <w:tr w:rsidRPr="00891FB8" w:rsidR="00891FB8" w:rsidTr="00891FB8" w14:paraId="3A586254" w14:textId="77777777">
        <w:tc>
          <w:tcPr>
            <w:tcW w:w="1152" w:type="dxa"/>
            <w:tcBorders>
              <w:top w:val="single" w:color="000000" w:sz="12" w:space="0"/>
            </w:tcBorders>
            <w:shd w:val="clear" w:color="auto" w:fill="auto"/>
          </w:tcPr>
          <w:p w:rsidRPr="00891FB8" w:rsidR="00891FB8" w:rsidP="00964835" w:rsidRDefault="00891FB8" w14:paraId="0C44FB38" w14:textId="77777777">
            <w:pPr>
              <w:rPr>
                <w:bCs/>
              </w:rPr>
            </w:pPr>
            <w:r w:rsidRPr="00891FB8">
              <w:rPr>
                <w:bCs/>
              </w:rPr>
              <w:t>POFR2</w:t>
            </w:r>
          </w:p>
        </w:tc>
        <w:tc>
          <w:tcPr>
            <w:tcW w:w="2100" w:type="dxa"/>
            <w:tcBorders>
              <w:top w:val="single" w:color="000000" w:sz="12" w:space="0"/>
            </w:tcBorders>
            <w:shd w:val="clear" w:color="auto" w:fill="auto"/>
          </w:tcPr>
          <w:p w:rsidRPr="00891FB8" w:rsidR="00891FB8" w:rsidP="00964835" w:rsidRDefault="00891FB8" w14:paraId="4D663CB4" w14:textId="77777777">
            <w:r w:rsidRPr="00891FB8">
              <w:t>Populus fremontii</w:t>
            </w:r>
          </w:p>
        </w:tc>
        <w:tc>
          <w:tcPr>
            <w:tcW w:w="2364" w:type="dxa"/>
            <w:tcBorders>
              <w:top w:val="single" w:color="000000" w:sz="12" w:space="0"/>
            </w:tcBorders>
            <w:shd w:val="clear" w:color="auto" w:fill="auto"/>
          </w:tcPr>
          <w:p w:rsidRPr="00891FB8" w:rsidR="00891FB8" w:rsidP="00964835" w:rsidRDefault="00891FB8" w14:paraId="6633A96B" w14:textId="77777777">
            <w:r w:rsidRPr="00891FB8">
              <w:t>Fremont cottonwood</w:t>
            </w:r>
          </w:p>
        </w:tc>
        <w:tc>
          <w:tcPr>
            <w:tcW w:w="1956" w:type="dxa"/>
            <w:tcBorders>
              <w:top w:val="single" w:color="000000" w:sz="12" w:space="0"/>
            </w:tcBorders>
            <w:shd w:val="clear" w:color="auto" w:fill="auto"/>
          </w:tcPr>
          <w:p w:rsidRPr="00891FB8" w:rsidR="00891FB8" w:rsidP="00964835" w:rsidRDefault="00891FB8" w14:paraId="66F75A84" w14:textId="77777777">
            <w:r w:rsidRPr="00891FB8">
              <w:t>Upper</w:t>
            </w:r>
          </w:p>
        </w:tc>
      </w:tr>
      <w:tr w:rsidRPr="00891FB8" w:rsidR="00891FB8" w:rsidTr="00891FB8" w14:paraId="0969B9AF" w14:textId="77777777">
        <w:tc>
          <w:tcPr>
            <w:tcW w:w="1152" w:type="dxa"/>
            <w:shd w:val="clear" w:color="auto" w:fill="auto"/>
          </w:tcPr>
          <w:p w:rsidRPr="00891FB8" w:rsidR="00891FB8" w:rsidP="00964835" w:rsidRDefault="00891FB8" w14:paraId="6BC10B54" w14:textId="77777777">
            <w:pPr>
              <w:rPr>
                <w:bCs/>
              </w:rPr>
            </w:pPr>
            <w:r w:rsidRPr="00891FB8">
              <w:rPr>
                <w:bCs/>
              </w:rPr>
              <w:t>SAGO</w:t>
            </w:r>
          </w:p>
        </w:tc>
        <w:tc>
          <w:tcPr>
            <w:tcW w:w="2100" w:type="dxa"/>
            <w:shd w:val="clear" w:color="auto" w:fill="auto"/>
          </w:tcPr>
          <w:p w:rsidRPr="00891FB8" w:rsidR="00891FB8" w:rsidP="00964835" w:rsidRDefault="00891FB8" w14:paraId="67DC750C" w14:textId="77777777">
            <w:r w:rsidRPr="00891FB8">
              <w:t>Salix gooddingii</w:t>
            </w:r>
          </w:p>
        </w:tc>
        <w:tc>
          <w:tcPr>
            <w:tcW w:w="2364" w:type="dxa"/>
            <w:shd w:val="clear" w:color="auto" w:fill="auto"/>
          </w:tcPr>
          <w:p w:rsidRPr="00891FB8" w:rsidR="00891FB8" w:rsidP="00964835" w:rsidRDefault="00891FB8" w14:paraId="0F833DFB" w14:textId="6D223F35">
            <w:r w:rsidRPr="00891FB8">
              <w:t>Goodding</w:t>
            </w:r>
            <w:r w:rsidR="00964835">
              <w:t>’</w:t>
            </w:r>
            <w:r w:rsidRPr="00891FB8">
              <w:t>s willow</w:t>
            </w:r>
          </w:p>
        </w:tc>
        <w:tc>
          <w:tcPr>
            <w:tcW w:w="1956" w:type="dxa"/>
            <w:shd w:val="clear" w:color="auto" w:fill="auto"/>
          </w:tcPr>
          <w:p w:rsidRPr="00891FB8" w:rsidR="00891FB8" w:rsidP="00964835" w:rsidRDefault="00891FB8" w14:paraId="38ED79E3" w14:textId="77777777">
            <w:r w:rsidRPr="00891FB8">
              <w:t>Upper</w:t>
            </w:r>
          </w:p>
        </w:tc>
      </w:tr>
      <w:tr w:rsidRPr="00891FB8" w:rsidR="00891FB8" w:rsidTr="00891FB8" w14:paraId="7FE87A36" w14:textId="77777777">
        <w:tc>
          <w:tcPr>
            <w:tcW w:w="1152" w:type="dxa"/>
            <w:shd w:val="clear" w:color="auto" w:fill="auto"/>
          </w:tcPr>
          <w:p w:rsidRPr="00891FB8" w:rsidR="00891FB8" w:rsidP="00964835" w:rsidRDefault="00891FB8" w14:paraId="3805153D" w14:textId="77777777">
            <w:pPr>
              <w:rPr>
                <w:bCs/>
              </w:rPr>
            </w:pPr>
            <w:r w:rsidRPr="00891FB8">
              <w:rPr>
                <w:bCs/>
              </w:rPr>
              <w:t>PROSO</w:t>
            </w:r>
          </w:p>
        </w:tc>
        <w:tc>
          <w:tcPr>
            <w:tcW w:w="2100" w:type="dxa"/>
            <w:shd w:val="clear" w:color="auto" w:fill="auto"/>
          </w:tcPr>
          <w:p w:rsidRPr="00891FB8" w:rsidR="00891FB8" w:rsidP="00964835" w:rsidRDefault="00891FB8" w14:paraId="360C9483" w14:textId="77777777">
            <w:r w:rsidRPr="00891FB8">
              <w:t>Prosopis</w:t>
            </w:r>
          </w:p>
        </w:tc>
        <w:tc>
          <w:tcPr>
            <w:tcW w:w="2364" w:type="dxa"/>
            <w:shd w:val="clear" w:color="auto" w:fill="auto"/>
          </w:tcPr>
          <w:p w:rsidRPr="00891FB8" w:rsidR="00891FB8" w:rsidP="00964835" w:rsidRDefault="00891FB8" w14:paraId="1BAA26C8" w14:textId="77777777">
            <w:r w:rsidRPr="00891FB8">
              <w:t>Mesquite</w:t>
            </w:r>
          </w:p>
        </w:tc>
        <w:tc>
          <w:tcPr>
            <w:tcW w:w="1956" w:type="dxa"/>
            <w:shd w:val="clear" w:color="auto" w:fill="auto"/>
          </w:tcPr>
          <w:p w:rsidRPr="00891FB8" w:rsidR="00891FB8" w:rsidP="00964835" w:rsidRDefault="00891FB8" w14:paraId="699E7B2E" w14:textId="77777777">
            <w:r w:rsidRPr="00891FB8">
              <w:t>Middle</w:t>
            </w:r>
          </w:p>
        </w:tc>
      </w:tr>
    </w:tbl>
    <w:p w:rsidR="00891FB8" w:rsidP="00891FB8" w:rsidRDefault="00891FB8" w14:paraId="14A5560B" w14:textId="77777777"/>
    <w:p w:rsidR="00891FB8" w:rsidP="00891FB8" w:rsidRDefault="00891FB8" w14:paraId="25E2912E" w14:textId="77777777">
      <w:pPr>
        <w:pStyle w:val="SClassInfoPara"/>
      </w:pPr>
      <w:r>
        <w:t>Description</w:t>
      </w:r>
    </w:p>
    <w:p w:rsidR="00891FB8" w:rsidP="00891FB8" w:rsidRDefault="00891FB8" w14:paraId="7FE8597D" w14:textId="155EB48C">
      <w:r>
        <w:t xml:space="preserve">This class </w:t>
      </w:r>
      <w:r w:rsidR="00964835">
        <w:t xml:space="preserve">is </w:t>
      </w:r>
      <w:r>
        <w:t>represent</w:t>
      </w:r>
      <w:r w:rsidR="00964835">
        <w:t>ed by</w:t>
      </w:r>
      <w:r>
        <w:t xml:space="preserve"> mature, large cottonwood and willow riparian woodlands. Mesquite increases in importance in the mid</w:t>
      </w:r>
      <w:r w:rsidR="00964835">
        <w:t>-</w:t>
      </w:r>
      <w:r>
        <w:t>story and lower canopy. When Native Americans used this class, the mid</w:t>
      </w:r>
      <w:r w:rsidR="00964835">
        <w:t>-</w:t>
      </w:r>
      <w:r>
        <w:t xml:space="preserve">story shrub component was tended and open, but the tree canopy was generally unaffected. Native American burning was most likely to flush jackrabbit and deer, and to control willow encroachment near waterways (irrigation ditches or side channels) and agricultural fields situated on nearby alluvial deposits. Fuel collection was an important activity resulting in understory thinning and fuel load reduction. </w:t>
      </w:r>
    </w:p>
    <w:p w:rsidR="0063763F" w:rsidP="00891FB8" w:rsidRDefault="0063763F" w14:paraId="6D4118A0" w14:textId="77777777"/>
    <w:p>
      <w:r>
        <w:rPr>
          <w:i/>
          <w:u w:val="single"/>
        </w:rPr>
        <w:t>Maximum Tree Size Class</w:t>
      </w:r>
      <w:br/>
      <w:r>
        <w:t>Large 21-33" DBH</w:t>
      </w:r>
    </w:p>
    <w:p w:rsidR="00891FB8" w:rsidP="00891FB8" w:rsidRDefault="00891FB8" w14:paraId="0FBE1111" w14:textId="77777777">
      <w:pPr>
        <w:pStyle w:val="InfoPara"/>
        <w:pBdr>
          <w:top w:val="single" w:color="auto" w:sz="4" w:space="1"/>
        </w:pBdr>
      </w:pPr>
      <w:r xmlns:w="http://schemas.openxmlformats.org/wordprocessingml/2006/main">
        <w:t>Class D</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891FB8" w:rsidP="00891FB8" w:rsidRDefault="00891FB8" w14:paraId="315581C6" w14:textId="77777777"/>
    <w:p w:rsidR="00891FB8" w:rsidP="00891FB8" w:rsidRDefault="00891FB8" w14:paraId="3860664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1908"/>
        <w:gridCol w:w="1932"/>
        <w:gridCol w:w="1956"/>
      </w:tblGrid>
      <w:tr w:rsidRPr="00891FB8" w:rsidR="00891FB8" w:rsidTr="00891FB8" w14:paraId="48CC5A23" w14:textId="77777777">
        <w:tc>
          <w:tcPr>
            <w:tcW w:w="1152" w:type="dxa"/>
            <w:tcBorders>
              <w:top w:val="single" w:color="auto" w:sz="2" w:space="0"/>
              <w:bottom w:val="single" w:color="000000" w:sz="12" w:space="0"/>
            </w:tcBorders>
            <w:shd w:val="clear" w:color="auto" w:fill="auto"/>
          </w:tcPr>
          <w:p w:rsidRPr="00891FB8" w:rsidR="00891FB8" w:rsidP="00964835" w:rsidRDefault="00891FB8" w14:paraId="65410B28" w14:textId="77777777">
            <w:pPr>
              <w:rPr>
                <w:b/>
                <w:bCs/>
              </w:rPr>
            </w:pPr>
            <w:r w:rsidRPr="00891FB8">
              <w:rPr>
                <w:b/>
                <w:bCs/>
              </w:rPr>
              <w:t>Symbol</w:t>
            </w:r>
          </w:p>
        </w:tc>
        <w:tc>
          <w:tcPr>
            <w:tcW w:w="1908" w:type="dxa"/>
            <w:tcBorders>
              <w:top w:val="single" w:color="auto" w:sz="2" w:space="0"/>
              <w:bottom w:val="single" w:color="000000" w:sz="12" w:space="0"/>
            </w:tcBorders>
            <w:shd w:val="clear" w:color="auto" w:fill="auto"/>
          </w:tcPr>
          <w:p w:rsidRPr="00891FB8" w:rsidR="00891FB8" w:rsidP="00964835" w:rsidRDefault="00891FB8" w14:paraId="0B55FB6A" w14:textId="77777777">
            <w:pPr>
              <w:rPr>
                <w:b/>
                <w:bCs/>
              </w:rPr>
            </w:pPr>
            <w:r w:rsidRPr="00891FB8">
              <w:rPr>
                <w:b/>
                <w:bCs/>
              </w:rPr>
              <w:t>Scientific Name</w:t>
            </w:r>
          </w:p>
        </w:tc>
        <w:tc>
          <w:tcPr>
            <w:tcW w:w="1932" w:type="dxa"/>
            <w:tcBorders>
              <w:top w:val="single" w:color="auto" w:sz="2" w:space="0"/>
              <w:bottom w:val="single" w:color="000000" w:sz="12" w:space="0"/>
            </w:tcBorders>
            <w:shd w:val="clear" w:color="auto" w:fill="auto"/>
          </w:tcPr>
          <w:p w:rsidRPr="00891FB8" w:rsidR="00891FB8" w:rsidP="00964835" w:rsidRDefault="00891FB8" w14:paraId="7C9ACAF9" w14:textId="77777777">
            <w:pPr>
              <w:rPr>
                <w:b/>
                <w:bCs/>
              </w:rPr>
            </w:pPr>
            <w:r w:rsidRPr="00891FB8">
              <w:rPr>
                <w:b/>
                <w:bCs/>
              </w:rPr>
              <w:t>Common Name</w:t>
            </w:r>
          </w:p>
        </w:tc>
        <w:tc>
          <w:tcPr>
            <w:tcW w:w="1956" w:type="dxa"/>
            <w:tcBorders>
              <w:top w:val="single" w:color="auto" w:sz="2" w:space="0"/>
              <w:bottom w:val="single" w:color="000000" w:sz="12" w:space="0"/>
            </w:tcBorders>
            <w:shd w:val="clear" w:color="auto" w:fill="auto"/>
          </w:tcPr>
          <w:p w:rsidRPr="00891FB8" w:rsidR="00891FB8" w:rsidP="00964835" w:rsidRDefault="00891FB8" w14:paraId="5969BEDF" w14:textId="77777777">
            <w:pPr>
              <w:rPr>
                <w:b/>
                <w:bCs/>
              </w:rPr>
            </w:pPr>
            <w:r w:rsidRPr="00891FB8">
              <w:rPr>
                <w:b/>
                <w:bCs/>
              </w:rPr>
              <w:t>Canopy Position</w:t>
            </w:r>
          </w:p>
        </w:tc>
      </w:tr>
      <w:tr w:rsidRPr="00891FB8" w:rsidR="00891FB8" w:rsidTr="00891FB8" w14:paraId="351EA9BD" w14:textId="77777777">
        <w:tc>
          <w:tcPr>
            <w:tcW w:w="1152" w:type="dxa"/>
            <w:tcBorders>
              <w:top w:val="single" w:color="000000" w:sz="12" w:space="0"/>
            </w:tcBorders>
            <w:shd w:val="clear" w:color="auto" w:fill="auto"/>
          </w:tcPr>
          <w:p w:rsidRPr="00891FB8" w:rsidR="00891FB8" w:rsidP="00964835" w:rsidRDefault="00891FB8" w14:paraId="62AAC47C" w14:textId="77777777">
            <w:pPr>
              <w:rPr>
                <w:bCs/>
              </w:rPr>
            </w:pPr>
            <w:r w:rsidRPr="00891FB8">
              <w:rPr>
                <w:bCs/>
              </w:rPr>
              <w:t>PROSO</w:t>
            </w:r>
          </w:p>
        </w:tc>
        <w:tc>
          <w:tcPr>
            <w:tcW w:w="1908" w:type="dxa"/>
            <w:tcBorders>
              <w:top w:val="single" w:color="000000" w:sz="12" w:space="0"/>
            </w:tcBorders>
            <w:shd w:val="clear" w:color="auto" w:fill="auto"/>
          </w:tcPr>
          <w:p w:rsidRPr="00891FB8" w:rsidR="00891FB8" w:rsidP="00964835" w:rsidRDefault="00891FB8" w14:paraId="4C40A5BC" w14:textId="77777777">
            <w:r w:rsidRPr="00891FB8">
              <w:t>Prosopis</w:t>
            </w:r>
          </w:p>
        </w:tc>
        <w:tc>
          <w:tcPr>
            <w:tcW w:w="1932" w:type="dxa"/>
            <w:tcBorders>
              <w:top w:val="single" w:color="000000" w:sz="12" w:space="0"/>
            </w:tcBorders>
            <w:shd w:val="clear" w:color="auto" w:fill="auto"/>
          </w:tcPr>
          <w:p w:rsidRPr="00891FB8" w:rsidR="00891FB8" w:rsidP="00964835" w:rsidRDefault="00891FB8" w14:paraId="6722EB38" w14:textId="77777777">
            <w:r w:rsidRPr="00891FB8">
              <w:t>Mesquite</w:t>
            </w:r>
          </w:p>
        </w:tc>
        <w:tc>
          <w:tcPr>
            <w:tcW w:w="1956" w:type="dxa"/>
            <w:tcBorders>
              <w:top w:val="single" w:color="000000" w:sz="12" w:space="0"/>
            </w:tcBorders>
            <w:shd w:val="clear" w:color="auto" w:fill="auto"/>
          </w:tcPr>
          <w:p w:rsidRPr="00891FB8" w:rsidR="00891FB8" w:rsidP="00964835" w:rsidRDefault="00891FB8" w14:paraId="41A6BFF3" w14:textId="77777777">
            <w:r w:rsidRPr="00891FB8">
              <w:t>Upper</w:t>
            </w:r>
          </w:p>
        </w:tc>
      </w:tr>
      <w:tr w:rsidRPr="00891FB8" w:rsidR="00891FB8" w:rsidTr="00891FB8" w14:paraId="27D5D9A8" w14:textId="77777777">
        <w:tc>
          <w:tcPr>
            <w:tcW w:w="1152" w:type="dxa"/>
            <w:shd w:val="clear" w:color="auto" w:fill="auto"/>
          </w:tcPr>
          <w:p w:rsidRPr="00891FB8" w:rsidR="00891FB8" w:rsidP="00964835" w:rsidRDefault="00891FB8" w14:paraId="7462970A" w14:textId="77777777">
            <w:pPr>
              <w:rPr>
                <w:bCs/>
              </w:rPr>
            </w:pPr>
            <w:r w:rsidRPr="00891FB8">
              <w:rPr>
                <w:bCs/>
              </w:rPr>
              <w:lastRenderedPageBreak/>
              <w:t>CEPA8</w:t>
            </w:r>
          </w:p>
        </w:tc>
        <w:tc>
          <w:tcPr>
            <w:tcW w:w="1908" w:type="dxa"/>
            <w:shd w:val="clear" w:color="auto" w:fill="auto"/>
          </w:tcPr>
          <w:p w:rsidRPr="00891FB8" w:rsidR="00891FB8" w:rsidP="00964835" w:rsidRDefault="00891FB8" w14:paraId="0549639B" w14:textId="77777777">
            <w:r w:rsidRPr="00891FB8">
              <w:t>Celtis pallida</w:t>
            </w:r>
          </w:p>
        </w:tc>
        <w:tc>
          <w:tcPr>
            <w:tcW w:w="1932" w:type="dxa"/>
            <w:shd w:val="clear" w:color="auto" w:fill="auto"/>
          </w:tcPr>
          <w:p w:rsidRPr="00891FB8" w:rsidR="00891FB8" w:rsidP="00964835" w:rsidRDefault="00891FB8" w14:paraId="6B7EE648" w14:textId="77777777">
            <w:r w:rsidRPr="00891FB8">
              <w:t>Spiny hackberry</w:t>
            </w:r>
          </w:p>
        </w:tc>
        <w:tc>
          <w:tcPr>
            <w:tcW w:w="1956" w:type="dxa"/>
            <w:shd w:val="clear" w:color="auto" w:fill="auto"/>
          </w:tcPr>
          <w:p w:rsidRPr="00891FB8" w:rsidR="00891FB8" w:rsidP="00964835" w:rsidRDefault="00891FB8" w14:paraId="7E55421A" w14:textId="77777777">
            <w:r w:rsidRPr="00891FB8">
              <w:t>Middle</w:t>
            </w:r>
          </w:p>
        </w:tc>
      </w:tr>
    </w:tbl>
    <w:p w:rsidR="00891FB8" w:rsidP="00891FB8" w:rsidRDefault="00891FB8" w14:paraId="520BBF66" w14:textId="77777777"/>
    <w:p w:rsidR="00891FB8" w:rsidP="00891FB8" w:rsidRDefault="00891FB8" w14:paraId="27BA7CD4" w14:textId="77777777">
      <w:pPr>
        <w:pStyle w:val="SClassInfoPara"/>
      </w:pPr>
      <w:r>
        <w:t>Description</w:t>
      </w:r>
    </w:p>
    <w:p w:rsidR="00891FB8" w:rsidP="00891FB8" w:rsidRDefault="00891FB8" w14:paraId="3853A383" w14:textId="77777777">
      <w:r>
        <w:t xml:space="preserve">Mesquite dominates the riparian floodplain. </w:t>
      </w:r>
      <w:r w:rsidRPr="0044607C">
        <w:rPr>
          <w:i/>
        </w:rPr>
        <w:t>Salix goodingii</w:t>
      </w:r>
      <w:r>
        <w:t xml:space="preserve"> and </w:t>
      </w:r>
      <w:r w:rsidRPr="0044607C">
        <w:rPr>
          <w:i/>
        </w:rPr>
        <w:t xml:space="preserve">Populus fremontii </w:t>
      </w:r>
      <w:r>
        <w:t xml:space="preserve">are a minor component in this class. </w:t>
      </w:r>
    </w:p>
    <w:p w:rsidR="00891FB8" w:rsidP="00891FB8" w:rsidRDefault="00891FB8" w14:paraId="7BB4B1E7"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Mid1:CLS</w:t>
            </w:r>
          </w:p>
        </w:tc>
        <w:tc>
          <w:p>
            <w:pPr>
              <w:jc w:val="center"/>
            </w:pPr>
            <w:r>
              <w:rPr>
                <w:sz w:val="20"/>
              </w:rPr>
              <w:t>5</w:t>
            </w:r>
          </w:p>
        </w:tc>
        <w:tc>
          <w:p>
            <w:pPr>
              <w:jc w:val="center"/>
            </w:pPr>
            <w:r>
              <w:rPr>
                <w:sz w:val="20"/>
              </w:rPr>
              <w:t>Late1:CLS</w:t>
            </w:r>
          </w:p>
        </w:tc>
        <w:tc>
          <w:p>
            <w:pPr>
              <w:jc w:val="center"/>
            </w:pPr>
            <w:r>
              <w:rPr>
                <w:sz w:val="20"/>
              </w:rPr>
              <w:t>19</w:t>
            </w:r>
          </w:p>
        </w:tc>
      </w:tr>
      <w:tr>
        <w:tc>
          <w:p>
            <w:pPr>
              <w:jc w:val="center"/>
            </w:pPr>
            <w:r>
              <w:rPr>
                <w:sz w:val="20"/>
              </w:rPr>
              <w:t>Late1:CLS</w:t>
            </w:r>
          </w:p>
        </w:tc>
        <w:tc>
          <w:p>
            <w:pPr>
              <w:jc w:val="center"/>
            </w:pPr>
            <w:r>
              <w:rPr>
                <w:sz w:val="20"/>
              </w:rPr>
              <w:t>20</w:t>
            </w:r>
          </w:p>
        </w:tc>
        <w:tc>
          <w:p>
            <w:pPr>
              <w:jc w:val="center"/>
            </w:pPr>
            <w:r>
              <w:rPr>
                <w:sz w:val="20"/>
              </w:rPr>
              <w:t>Late2:CLS</w:t>
            </w:r>
          </w:p>
        </w:tc>
        <w:tc>
          <w:p>
            <w:pPr>
              <w:jc w:val="center"/>
            </w:pPr>
            <w:r>
              <w:rPr>
                <w:sz w:val="20"/>
              </w:rPr>
              <w:t>109</w:t>
            </w:r>
          </w:p>
        </w:tc>
      </w:tr>
      <w:tr>
        <w:tc>
          <w:p>
            <w:pPr>
              <w:jc w:val="center"/>
            </w:pPr>
            <w:r>
              <w:rPr>
                <w:sz w:val="20"/>
              </w:rPr>
              <w:t>Late2:CLS</w:t>
            </w:r>
          </w:p>
        </w:tc>
        <w:tc>
          <w:p>
            <w:pPr>
              <w:jc w:val="center"/>
            </w:pPr>
            <w:r>
              <w:rPr>
                <w:sz w:val="20"/>
              </w:rPr>
              <w:t>110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0.13</w:t>
            </w:r>
          </w:p>
        </w:tc>
        <w:tc>
          <w:p>
            <w:pPr>
              <w:jc w:val="center"/>
            </w:pPr>
            <w:r>
              <w:rPr>
                <w:sz w:val="20"/>
              </w:rPr>
              <w:t>8</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0.067</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0.00133</w:t>
            </w:r>
          </w:p>
        </w:tc>
        <w:tc>
          <w:p>
            <w:pPr>
              <w:jc w:val="center"/>
            </w:pPr>
            <w:r>
              <w:rPr>
                <w:sz w:val="20"/>
              </w:rPr>
              <w:t>752</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bl>
    <w:p>
      <w:r>
        <w:t/>
      </w:r>
    </w:p>
    <w:p>
      <w:pPr>
        <w:pStyle w:val="InfoPara"/>
      </w:pPr>
      <w:r>
        <w:t>Optional Disturbances</w:t>
      </w:r>
    </w:p>
    <w:p>
      <w:r>
        <w:t>Optional 1: Farming</w:t>
      </w:r>
    </w:p>
    <w:p>
      <w:r>
        <w:t/>
      </w:r>
    </w:p>
    <w:p>
      <w:pPr xmlns:w="http://schemas.openxmlformats.org/wordprocessingml/2006/main">
        <w:pStyle w:val="ReportSection"/>
      </w:pPr>
      <w:r xmlns:w="http://schemas.openxmlformats.org/wordprocessingml/2006/main">
        <w:t>References</w:t>
      </w:r>
    </w:p>
    <w:p>
      <w:r>
        <w:t/>
      </w:r>
    </w:p>
    <w:p w:rsidR="00891FB8" w:rsidP="00891FB8" w:rsidRDefault="00891FB8" w14:paraId="2094F615" w14:textId="77777777">
      <w:r>
        <w:t>Brooks, M. L. and R. A. Minnich. In Press. Fire in the Southeastern Desert Bioregion. Chapter 16 in: N.G. Sugihara, J.W. van Wagtendonk, J. Fites-Kaufman, K.E. Shaffer and A.E. Thode, ed). Fire in California ecosystems. University of California Press, Berkeley.</w:t>
      </w:r>
    </w:p>
    <w:p w:rsidR="00891FB8" w:rsidP="00891FB8" w:rsidRDefault="00891FB8" w14:paraId="0DB15634" w14:textId="77777777"/>
    <w:p w:rsidR="00891FB8" w:rsidP="00891FB8" w:rsidRDefault="00891FB8" w14:paraId="6744C2CF" w14:textId="77777777">
      <w:r>
        <w:t>NatureServe. 2007. International Ecological Classification Standard: Terrestrial Ecological Classifications. NatureServe Central Databases. Arlington, VA. Data current as of 10 February 2007.</w:t>
      </w:r>
    </w:p>
    <w:p w:rsidR="00891FB8" w:rsidP="00891FB8" w:rsidRDefault="00891FB8" w14:paraId="53F268B3" w14:textId="77777777"/>
    <w:p w:rsidR="00891FB8" w:rsidP="00891FB8" w:rsidRDefault="00891FB8" w14:paraId="15A76B47" w14:textId="77777777">
      <w:r>
        <w:t>Richter, H.E. 1992. Development of a conceptual model for floodplain restoration in a desert riparian system. Arid Lands 32: 13-17.</w:t>
      </w:r>
    </w:p>
    <w:p w:rsidR="00891FB8" w:rsidP="00891FB8" w:rsidRDefault="00891FB8" w14:paraId="52CB4AE0" w14:textId="77777777"/>
    <w:p w:rsidR="00891FB8" w:rsidP="00891FB8" w:rsidRDefault="00891FB8" w14:paraId="5C04432C" w14:textId="77777777">
      <w:r>
        <w:t>Stromberg, J. 1992. Element Stewardship Abstract for Mesquite (Proposis spp.). The Nature Conservancy, Arlington, VA.</w:t>
      </w:r>
    </w:p>
    <w:p w:rsidRPr="00A43E41" w:rsidR="004D5F12" w:rsidP="00891FB8" w:rsidRDefault="004D5F12" w14:paraId="2A91D9FC"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BA6C7" w14:textId="77777777" w:rsidR="006F141A" w:rsidRDefault="006F141A">
      <w:r>
        <w:separator/>
      </w:r>
    </w:p>
  </w:endnote>
  <w:endnote w:type="continuationSeparator" w:id="0">
    <w:p w14:paraId="1F51738C" w14:textId="77777777" w:rsidR="006F141A" w:rsidRDefault="006F1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285EA" w14:textId="77777777" w:rsidR="00B2381C" w:rsidRDefault="00B238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AF2" w14:textId="77777777" w:rsidR="00964835" w:rsidRDefault="00964835" w:rsidP="00891FB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19B65" w14:textId="77777777" w:rsidR="00B2381C" w:rsidRDefault="00B23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E69CC" w14:textId="77777777" w:rsidR="006F141A" w:rsidRDefault="006F141A">
      <w:r>
        <w:separator/>
      </w:r>
    </w:p>
  </w:footnote>
  <w:footnote w:type="continuationSeparator" w:id="0">
    <w:p w14:paraId="5860CE55" w14:textId="77777777" w:rsidR="006F141A" w:rsidRDefault="006F1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E2F76" w14:textId="77777777" w:rsidR="00B2381C" w:rsidRDefault="00B238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AB651" w14:textId="77777777" w:rsidR="00964835" w:rsidRDefault="00964835" w:rsidP="00891FB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BE7B3" w14:textId="77777777" w:rsidR="00B2381C" w:rsidRDefault="00B23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D2869"/>
    <w:multiLevelType w:val="hybridMultilevel"/>
    <w:tmpl w:val="DEF4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FB8"/>
    <w:rsid w:val="000037B3"/>
    <w:rsid w:val="00004505"/>
    <w:rsid w:val="00005947"/>
    <w:rsid w:val="00006AF9"/>
    <w:rsid w:val="00007DAF"/>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3BF0"/>
    <w:rsid w:val="00044DE4"/>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4476"/>
    <w:rsid w:val="000C605F"/>
    <w:rsid w:val="000C6641"/>
    <w:rsid w:val="000C7E41"/>
    <w:rsid w:val="000D0A31"/>
    <w:rsid w:val="000D0CD0"/>
    <w:rsid w:val="000D2569"/>
    <w:rsid w:val="000D33E8"/>
    <w:rsid w:val="000D5F89"/>
    <w:rsid w:val="000E473F"/>
    <w:rsid w:val="000E5817"/>
    <w:rsid w:val="000F009F"/>
    <w:rsid w:val="000F031B"/>
    <w:rsid w:val="000F0511"/>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A603B"/>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3532"/>
    <w:rsid w:val="00285A24"/>
    <w:rsid w:val="00285F40"/>
    <w:rsid w:val="002904FF"/>
    <w:rsid w:val="0029677C"/>
    <w:rsid w:val="002A0BF6"/>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4607C"/>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D6AB6"/>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02D"/>
    <w:rsid w:val="00555953"/>
    <w:rsid w:val="00555A6B"/>
    <w:rsid w:val="005563FC"/>
    <w:rsid w:val="00560E93"/>
    <w:rsid w:val="00572597"/>
    <w:rsid w:val="00573898"/>
    <w:rsid w:val="00573E56"/>
    <w:rsid w:val="00573F86"/>
    <w:rsid w:val="005747FE"/>
    <w:rsid w:val="00581C1D"/>
    <w:rsid w:val="00586156"/>
    <w:rsid w:val="00586614"/>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8A7"/>
    <w:rsid w:val="005D1E26"/>
    <w:rsid w:val="005D30CC"/>
    <w:rsid w:val="005D4FF5"/>
    <w:rsid w:val="005F2449"/>
    <w:rsid w:val="005F333A"/>
    <w:rsid w:val="005F3E35"/>
    <w:rsid w:val="005F4DE1"/>
    <w:rsid w:val="005F6545"/>
    <w:rsid w:val="005F6DAF"/>
    <w:rsid w:val="005F71C5"/>
    <w:rsid w:val="006115A2"/>
    <w:rsid w:val="006117F4"/>
    <w:rsid w:val="0061368F"/>
    <w:rsid w:val="0061440A"/>
    <w:rsid w:val="00614BE0"/>
    <w:rsid w:val="00615F32"/>
    <w:rsid w:val="00620506"/>
    <w:rsid w:val="00621C0C"/>
    <w:rsid w:val="00622E3F"/>
    <w:rsid w:val="00626A79"/>
    <w:rsid w:val="00631904"/>
    <w:rsid w:val="006322F2"/>
    <w:rsid w:val="00634B44"/>
    <w:rsid w:val="0063763F"/>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6F141A"/>
    <w:rsid w:val="00700C23"/>
    <w:rsid w:val="0070333C"/>
    <w:rsid w:val="00703CDD"/>
    <w:rsid w:val="00710F69"/>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574E"/>
    <w:rsid w:val="00760203"/>
    <w:rsid w:val="00763504"/>
    <w:rsid w:val="00766A66"/>
    <w:rsid w:val="00767EBB"/>
    <w:rsid w:val="007713F8"/>
    <w:rsid w:val="007735F8"/>
    <w:rsid w:val="007742B4"/>
    <w:rsid w:val="007863E7"/>
    <w:rsid w:val="007870CA"/>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0246"/>
    <w:rsid w:val="0088604E"/>
    <w:rsid w:val="00886487"/>
    <w:rsid w:val="00887FAA"/>
    <w:rsid w:val="00891FB8"/>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35"/>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A799A"/>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151CE"/>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A0869"/>
    <w:rsid w:val="00AA4842"/>
    <w:rsid w:val="00AB2AB3"/>
    <w:rsid w:val="00AB49B1"/>
    <w:rsid w:val="00AB639F"/>
    <w:rsid w:val="00AB6D3B"/>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381C"/>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E537C"/>
    <w:rsid w:val="00BE701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2EFC"/>
    <w:rsid w:val="00C95F45"/>
    <w:rsid w:val="00CA1B63"/>
    <w:rsid w:val="00CA2C4F"/>
    <w:rsid w:val="00CA2D4E"/>
    <w:rsid w:val="00CB0E67"/>
    <w:rsid w:val="00CB5DAC"/>
    <w:rsid w:val="00CB6E9B"/>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35F7"/>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83022"/>
    <w:rsid w:val="00E85505"/>
    <w:rsid w:val="00E86BED"/>
    <w:rsid w:val="00E9262C"/>
    <w:rsid w:val="00E94483"/>
    <w:rsid w:val="00E97299"/>
    <w:rsid w:val="00EB53DC"/>
    <w:rsid w:val="00EC4A14"/>
    <w:rsid w:val="00ED013A"/>
    <w:rsid w:val="00ED3436"/>
    <w:rsid w:val="00ED69E5"/>
    <w:rsid w:val="00ED7071"/>
    <w:rsid w:val="00EF1C61"/>
    <w:rsid w:val="00EF3349"/>
    <w:rsid w:val="00EF54A9"/>
    <w:rsid w:val="00EF6C21"/>
    <w:rsid w:val="00EF6C66"/>
    <w:rsid w:val="00F00DF3"/>
    <w:rsid w:val="00F042DA"/>
    <w:rsid w:val="00F04BE2"/>
    <w:rsid w:val="00F05351"/>
    <w:rsid w:val="00F10535"/>
    <w:rsid w:val="00F12753"/>
    <w:rsid w:val="00F1381E"/>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B0CBE1"/>
  <w15:docId w15:val="{7FAE9939-D2AB-46CB-805E-90E5B1520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044DE4"/>
    <w:rPr>
      <w:color w:val="0000FF"/>
      <w:u w:val="single"/>
    </w:rPr>
  </w:style>
  <w:style w:type="paragraph" w:styleId="ListParagraph">
    <w:name w:val="List Paragraph"/>
    <w:basedOn w:val="Normal"/>
    <w:uiPriority w:val="34"/>
    <w:qFormat/>
    <w:rsid w:val="00964835"/>
    <w:pPr>
      <w:ind w:left="720"/>
      <w:contextualSpacing/>
    </w:pPr>
  </w:style>
  <w:style w:type="character" w:styleId="CommentReference">
    <w:name w:val="annotation reference"/>
    <w:basedOn w:val="DefaultParagraphFont"/>
    <w:uiPriority w:val="99"/>
    <w:semiHidden/>
    <w:unhideWhenUsed/>
    <w:rsid w:val="00964835"/>
    <w:rPr>
      <w:sz w:val="16"/>
      <w:szCs w:val="16"/>
    </w:rPr>
  </w:style>
  <w:style w:type="paragraph" w:styleId="CommentText">
    <w:name w:val="annotation text"/>
    <w:basedOn w:val="Normal"/>
    <w:link w:val="CommentTextChar"/>
    <w:uiPriority w:val="99"/>
    <w:semiHidden/>
    <w:unhideWhenUsed/>
    <w:rsid w:val="00964835"/>
    <w:rPr>
      <w:sz w:val="20"/>
      <w:szCs w:val="20"/>
    </w:rPr>
  </w:style>
  <w:style w:type="character" w:customStyle="1" w:styleId="CommentTextChar">
    <w:name w:val="Comment Text Char"/>
    <w:basedOn w:val="DefaultParagraphFont"/>
    <w:link w:val="CommentText"/>
    <w:uiPriority w:val="99"/>
    <w:semiHidden/>
    <w:rsid w:val="00964835"/>
  </w:style>
  <w:style w:type="paragraph" w:styleId="CommentSubject">
    <w:name w:val="annotation subject"/>
    <w:basedOn w:val="CommentText"/>
    <w:next w:val="CommentText"/>
    <w:link w:val="CommentSubjectChar"/>
    <w:uiPriority w:val="99"/>
    <w:semiHidden/>
    <w:unhideWhenUsed/>
    <w:rsid w:val="00964835"/>
    <w:rPr>
      <w:b/>
      <w:bCs/>
    </w:rPr>
  </w:style>
  <w:style w:type="character" w:customStyle="1" w:styleId="CommentSubjectChar">
    <w:name w:val="Comment Subject Char"/>
    <w:basedOn w:val="CommentTextChar"/>
    <w:link w:val="CommentSubject"/>
    <w:uiPriority w:val="99"/>
    <w:semiHidden/>
    <w:rsid w:val="00964835"/>
    <w:rPr>
      <w:b/>
      <w:bCs/>
    </w:rPr>
  </w:style>
  <w:style w:type="paragraph" w:styleId="BalloonText">
    <w:name w:val="Balloon Text"/>
    <w:basedOn w:val="Normal"/>
    <w:link w:val="BalloonTextChar"/>
    <w:uiPriority w:val="99"/>
    <w:semiHidden/>
    <w:unhideWhenUsed/>
    <w:rsid w:val="009648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8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04395">
      <w:bodyDiv w:val="1"/>
      <w:marLeft w:val="0"/>
      <w:marRight w:val="0"/>
      <w:marTop w:val="0"/>
      <w:marBottom w:val="0"/>
      <w:divBdr>
        <w:top w:val="none" w:sz="0" w:space="0" w:color="auto"/>
        <w:left w:val="none" w:sz="0" w:space="0" w:color="auto"/>
        <w:bottom w:val="none" w:sz="0" w:space="0" w:color="auto"/>
        <w:right w:val="none" w:sz="0" w:space="0" w:color="auto"/>
      </w:divBdr>
    </w:div>
    <w:div w:id="1646351867">
      <w:bodyDiv w:val="1"/>
      <w:marLeft w:val="0"/>
      <w:marRight w:val="0"/>
      <w:marTop w:val="0"/>
      <w:marBottom w:val="0"/>
      <w:divBdr>
        <w:top w:val="none" w:sz="0" w:space="0" w:color="auto"/>
        <w:left w:val="none" w:sz="0" w:space="0" w:color="auto"/>
        <w:bottom w:val="none" w:sz="0" w:space="0" w:color="auto"/>
        <w:right w:val="none" w:sz="0" w:space="0" w:color="auto"/>
      </w:divBdr>
    </w:div>
    <w:div w:id="173238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6</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2014-08-21T14:15:00Z</cp:lastPrinted>
  <dcterms:created xsi:type="dcterms:W3CDTF">2017-11-14T18:18:00Z</dcterms:created>
  <dcterms:modified xsi:type="dcterms:W3CDTF">2020-06-02T15:33:00Z</dcterms:modified>
</cp:coreProperties>
</file>