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4FB" w:rsidP="005654FB" w:rsidRDefault="005654FB" w14:paraId="21089E5D" w14:textId="77777777">
      <w:pPr>
        <w:pStyle w:val="BpSTitle"/>
      </w:pPr>
      <w:r>
        <w:t>11590</w:t>
      </w:r>
    </w:p>
    <w:p w:rsidR="005654FB" w:rsidP="005654FB" w:rsidRDefault="005654FB" w14:paraId="62B01553" w14:textId="77777777">
      <w:pPr>
        <w:pStyle w:val="BpSTitle"/>
      </w:pPr>
      <w:r>
        <w:t>Rocky Mountain Montane Riparian Systems</w:t>
      </w:r>
    </w:p>
    <w:p w:rsidR="005654FB" w:rsidP="005654FB" w:rsidRDefault="005654FB" w14:paraId="182EF7B2" w14:textId="77777777">
      <w:r>
        <w:t xmlns:w="http://schemas.openxmlformats.org/wordprocessingml/2006/main">BpS Model/Description Version: Aug. 2020</w:t>
      </w:r>
      <w:r>
        <w:tab/>
      </w:r>
      <w:r>
        <w:tab/>
      </w:r>
      <w:r>
        <w:tab/>
      </w:r>
      <w:r>
        <w:tab/>
      </w:r>
      <w:r>
        <w:tab/>
      </w:r>
      <w:r>
        <w:tab/>
      </w:r>
      <w:r>
        <w:tab/>
      </w:r>
    </w:p>
    <w:p w:rsidR="005654FB" w:rsidP="005654FB" w:rsidRDefault="005654FB" w14:paraId="434B20B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16"/>
        <w:gridCol w:w="2232"/>
        <w:gridCol w:w="1800"/>
        <w:gridCol w:w="2424"/>
      </w:tblGrid>
      <w:tr w:rsidRPr="005654FB" w:rsidR="005654FB" w:rsidTr="005654FB" w14:paraId="2DB934C9" w14:textId="77777777">
        <w:tc>
          <w:tcPr>
            <w:tcW w:w="1716" w:type="dxa"/>
            <w:tcBorders>
              <w:top w:val="single" w:color="auto" w:sz="2" w:space="0"/>
              <w:left w:val="single" w:color="auto" w:sz="12" w:space="0"/>
              <w:bottom w:val="single" w:color="000000" w:sz="12" w:space="0"/>
            </w:tcBorders>
            <w:shd w:val="clear" w:color="auto" w:fill="auto"/>
          </w:tcPr>
          <w:p w:rsidRPr="005654FB" w:rsidR="005654FB" w:rsidP="00AB5713" w:rsidRDefault="005654FB" w14:paraId="343291E0" w14:textId="77777777">
            <w:pPr>
              <w:rPr>
                <w:b/>
                <w:bCs/>
              </w:rPr>
            </w:pPr>
            <w:r w:rsidRPr="005654FB">
              <w:rPr>
                <w:b/>
                <w:bCs/>
              </w:rPr>
              <w:t>Modelers</w:t>
            </w:r>
          </w:p>
        </w:tc>
        <w:tc>
          <w:tcPr>
            <w:tcW w:w="2232" w:type="dxa"/>
            <w:tcBorders>
              <w:top w:val="single" w:color="auto" w:sz="2" w:space="0"/>
              <w:bottom w:val="single" w:color="000000" w:sz="12" w:space="0"/>
              <w:right w:val="single" w:color="000000" w:sz="12" w:space="0"/>
            </w:tcBorders>
            <w:shd w:val="clear" w:color="auto" w:fill="auto"/>
          </w:tcPr>
          <w:p w:rsidRPr="005654FB" w:rsidR="005654FB" w:rsidP="00AB5713" w:rsidRDefault="005654FB" w14:paraId="13131B37" w14:textId="77777777">
            <w:pPr>
              <w:rPr>
                <w:b/>
                <w:bCs/>
              </w:rPr>
            </w:pPr>
          </w:p>
        </w:tc>
        <w:tc>
          <w:tcPr>
            <w:tcW w:w="1800" w:type="dxa"/>
            <w:tcBorders>
              <w:top w:val="single" w:color="auto" w:sz="2" w:space="0"/>
              <w:left w:val="single" w:color="000000" w:sz="12" w:space="0"/>
              <w:bottom w:val="single" w:color="000000" w:sz="12" w:space="0"/>
            </w:tcBorders>
            <w:shd w:val="clear" w:color="auto" w:fill="auto"/>
          </w:tcPr>
          <w:p w:rsidRPr="005654FB" w:rsidR="005654FB" w:rsidP="00AB5713" w:rsidRDefault="005654FB" w14:paraId="5F07C27A" w14:textId="77777777">
            <w:pPr>
              <w:rPr>
                <w:b/>
                <w:bCs/>
              </w:rPr>
            </w:pPr>
            <w:r w:rsidRPr="005654FB">
              <w:rPr>
                <w:b/>
                <w:bCs/>
              </w:rPr>
              <w:t>Reviewers</w:t>
            </w:r>
          </w:p>
        </w:tc>
        <w:tc>
          <w:tcPr>
            <w:tcW w:w="2424" w:type="dxa"/>
            <w:tcBorders>
              <w:top w:val="single" w:color="auto" w:sz="2" w:space="0"/>
              <w:bottom w:val="single" w:color="000000" w:sz="12" w:space="0"/>
            </w:tcBorders>
            <w:shd w:val="clear" w:color="auto" w:fill="auto"/>
          </w:tcPr>
          <w:p w:rsidRPr="005654FB" w:rsidR="005654FB" w:rsidP="00AB5713" w:rsidRDefault="005654FB" w14:paraId="47BCB6AF" w14:textId="77777777">
            <w:pPr>
              <w:rPr>
                <w:b/>
                <w:bCs/>
              </w:rPr>
            </w:pPr>
          </w:p>
        </w:tc>
      </w:tr>
      <w:tr w:rsidRPr="005654FB" w:rsidR="005654FB" w:rsidTr="005654FB" w14:paraId="6C1E4EED" w14:textId="77777777">
        <w:tc>
          <w:tcPr>
            <w:tcW w:w="1716" w:type="dxa"/>
            <w:tcBorders>
              <w:top w:val="single" w:color="000000" w:sz="12" w:space="0"/>
              <w:left w:val="single" w:color="auto" w:sz="12" w:space="0"/>
            </w:tcBorders>
            <w:shd w:val="clear" w:color="auto" w:fill="auto"/>
          </w:tcPr>
          <w:p w:rsidRPr="005654FB" w:rsidR="005654FB" w:rsidP="00AB5713" w:rsidRDefault="005654FB" w14:paraId="352ADB5C" w14:textId="77777777">
            <w:pPr>
              <w:rPr>
                <w:bCs/>
              </w:rPr>
            </w:pPr>
            <w:r w:rsidRPr="005654FB">
              <w:rPr>
                <w:bCs/>
              </w:rPr>
              <w:t>Linda Vance</w:t>
            </w:r>
          </w:p>
        </w:tc>
        <w:tc>
          <w:tcPr>
            <w:tcW w:w="2232" w:type="dxa"/>
            <w:tcBorders>
              <w:top w:val="single" w:color="000000" w:sz="12" w:space="0"/>
              <w:right w:val="single" w:color="000000" w:sz="12" w:space="0"/>
            </w:tcBorders>
            <w:shd w:val="clear" w:color="auto" w:fill="auto"/>
          </w:tcPr>
          <w:p w:rsidRPr="005654FB" w:rsidR="005654FB" w:rsidP="00AB5713" w:rsidRDefault="005654FB" w14:paraId="482E382E" w14:textId="77777777">
            <w:r w:rsidRPr="005654FB">
              <w:t>livance@mt.gov</w:t>
            </w:r>
          </w:p>
        </w:tc>
        <w:tc>
          <w:tcPr>
            <w:tcW w:w="1800" w:type="dxa"/>
            <w:tcBorders>
              <w:top w:val="single" w:color="000000" w:sz="12" w:space="0"/>
              <w:left w:val="single" w:color="000000" w:sz="12" w:space="0"/>
            </w:tcBorders>
            <w:shd w:val="clear" w:color="auto" w:fill="auto"/>
          </w:tcPr>
          <w:p w:rsidRPr="005654FB" w:rsidR="005654FB" w:rsidP="00AB5713" w:rsidRDefault="005654FB" w14:paraId="302E1BCC" w14:textId="77777777">
            <w:r w:rsidRPr="005654FB">
              <w:t>Mary Manning</w:t>
            </w:r>
          </w:p>
        </w:tc>
        <w:tc>
          <w:tcPr>
            <w:tcW w:w="2424" w:type="dxa"/>
            <w:tcBorders>
              <w:top w:val="single" w:color="000000" w:sz="12" w:space="0"/>
            </w:tcBorders>
            <w:shd w:val="clear" w:color="auto" w:fill="auto"/>
          </w:tcPr>
          <w:p w:rsidRPr="005654FB" w:rsidR="005654FB" w:rsidP="00AB5713" w:rsidRDefault="005654FB" w14:paraId="73ED27D7" w14:textId="77777777">
            <w:r w:rsidRPr="005654FB">
              <w:t>mmanning@fs.fed.us</w:t>
            </w:r>
          </w:p>
        </w:tc>
      </w:tr>
      <w:tr w:rsidRPr="005654FB" w:rsidR="005654FB" w:rsidTr="005654FB" w14:paraId="7263FA29" w14:textId="77777777">
        <w:tc>
          <w:tcPr>
            <w:tcW w:w="1716" w:type="dxa"/>
            <w:tcBorders>
              <w:left w:val="single" w:color="auto" w:sz="12" w:space="0"/>
            </w:tcBorders>
            <w:shd w:val="clear" w:color="auto" w:fill="auto"/>
          </w:tcPr>
          <w:p w:rsidRPr="005654FB" w:rsidR="005654FB" w:rsidP="00AB5713" w:rsidRDefault="005654FB" w14:paraId="61C6C29F" w14:textId="77777777">
            <w:pPr>
              <w:rPr>
                <w:bCs/>
              </w:rPr>
            </w:pPr>
            <w:r w:rsidRPr="005654FB">
              <w:rPr>
                <w:bCs/>
              </w:rPr>
              <w:t>Steve Barrett</w:t>
            </w:r>
          </w:p>
        </w:tc>
        <w:tc>
          <w:tcPr>
            <w:tcW w:w="2232" w:type="dxa"/>
            <w:tcBorders>
              <w:right w:val="single" w:color="000000" w:sz="12" w:space="0"/>
            </w:tcBorders>
            <w:shd w:val="clear" w:color="auto" w:fill="auto"/>
          </w:tcPr>
          <w:p w:rsidRPr="005654FB" w:rsidR="005654FB" w:rsidP="00AB5713" w:rsidRDefault="005654FB" w14:paraId="21253697" w14:textId="77777777">
            <w:r w:rsidRPr="005654FB">
              <w:t>sbarrett@mtdig.net</w:t>
            </w:r>
          </w:p>
        </w:tc>
        <w:tc>
          <w:tcPr>
            <w:tcW w:w="1800" w:type="dxa"/>
            <w:tcBorders>
              <w:left w:val="single" w:color="000000" w:sz="12" w:space="0"/>
            </w:tcBorders>
            <w:shd w:val="clear" w:color="auto" w:fill="auto"/>
          </w:tcPr>
          <w:p w:rsidRPr="005654FB" w:rsidR="005654FB" w:rsidP="00AB5713" w:rsidRDefault="005654FB" w14:paraId="2BABF6C1" w14:textId="77777777">
            <w:r w:rsidRPr="005654FB">
              <w:t>None</w:t>
            </w:r>
          </w:p>
        </w:tc>
        <w:tc>
          <w:tcPr>
            <w:tcW w:w="2424" w:type="dxa"/>
            <w:shd w:val="clear" w:color="auto" w:fill="auto"/>
          </w:tcPr>
          <w:p w:rsidRPr="005654FB" w:rsidR="005654FB" w:rsidP="00AB5713" w:rsidRDefault="005654FB" w14:paraId="7F2610EB" w14:textId="77777777">
            <w:r w:rsidRPr="005654FB">
              <w:t>None</w:t>
            </w:r>
          </w:p>
        </w:tc>
      </w:tr>
      <w:tr w:rsidRPr="005654FB" w:rsidR="005654FB" w:rsidTr="005654FB" w14:paraId="17F44043" w14:textId="77777777">
        <w:tc>
          <w:tcPr>
            <w:tcW w:w="1716" w:type="dxa"/>
            <w:tcBorders>
              <w:left w:val="single" w:color="auto" w:sz="12" w:space="0"/>
              <w:bottom w:val="single" w:color="auto" w:sz="2" w:space="0"/>
            </w:tcBorders>
            <w:shd w:val="clear" w:color="auto" w:fill="auto"/>
          </w:tcPr>
          <w:p w:rsidRPr="005654FB" w:rsidR="005654FB" w:rsidP="00AB5713" w:rsidRDefault="005654FB" w14:paraId="0080DB3A" w14:textId="77777777">
            <w:pPr>
              <w:rPr>
                <w:bCs/>
              </w:rPr>
            </w:pPr>
            <w:r w:rsidRPr="005654FB">
              <w:rPr>
                <w:bCs/>
              </w:rPr>
              <w:t>None</w:t>
            </w:r>
          </w:p>
        </w:tc>
        <w:tc>
          <w:tcPr>
            <w:tcW w:w="2232" w:type="dxa"/>
            <w:tcBorders>
              <w:right w:val="single" w:color="000000" w:sz="12" w:space="0"/>
            </w:tcBorders>
            <w:shd w:val="clear" w:color="auto" w:fill="auto"/>
          </w:tcPr>
          <w:p w:rsidRPr="005654FB" w:rsidR="005654FB" w:rsidP="00AB5713" w:rsidRDefault="005654FB" w14:paraId="6A66FBF0" w14:textId="77777777">
            <w:r w:rsidRPr="005654FB">
              <w:t>None</w:t>
            </w:r>
          </w:p>
        </w:tc>
        <w:tc>
          <w:tcPr>
            <w:tcW w:w="1800" w:type="dxa"/>
            <w:tcBorders>
              <w:left w:val="single" w:color="000000" w:sz="12" w:space="0"/>
              <w:bottom w:val="single" w:color="auto" w:sz="2" w:space="0"/>
            </w:tcBorders>
            <w:shd w:val="clear" w:color="auto" w:fill="auto"/>
          </w:tcPr>
          <w:p w:rsidRPr="005654FB" w:rsidR="005654FB" w:rsidP="00AB5713" w:rsidRDefault="005654FB" w14:paraId="0BDC050D" w14:textId="77777777">
            <w:r w:rsidRPr="005654FB">
              <w:t>None</w:t>
            </w:r>
          </w:p>
        </w:tc>
        <w:tc>
          <w:tcPr>
            <w:tcW w:w="2424" w:type="dxa"/>
            <w:shd w:val="clear" w:color="auto" w:fill="auto"/>
          </w:tcPr>
          <w:p w:rsidRPr="005654FB" w:rsidR="005654FB" w:rsidP="00AB5713" w:rsidRDefault="005654FB" w14:paraId="12BA8104" w14:textId="77777777">
            <w:r w:rsidRPr="005654FB">
              <w:t>None</w:t>
            </w:r>
          </w:p>
        </w:tc>
      </w:tr>
    </w:tbl>
    <w:p w:rsidR="005654FB" w:rsidP="005654FB" w:rsidRDefault="005654FB" w14:paraId="1051FA99" w14:textId="77777777"/>
    <w:p w:rsidR="005654FB" w:rsidP="005654FB" w:rsidRDefault="005654FB" w14:paraId="34077229" w14:textId="77777777">
      <w:pPr>
        <w:pStyle w:val="InfoPara"/>
      </w:pPr>
      <w:r>
        <w:t>Vegetation Type</w:t>
      </w:r>
    </w:p>
    <w:p w:rsidR="005654FB" w:rsidP="005654FB" w:rsidRDefault="00126637" w14:paraId="1CB359AD" w14:textId="155ABF61">
      <w:r w:rsidRPr="00126637">
        <w:t>Woody Wetland</w:t>
      </w:r>
      <w:bookmarkStart w:name="_GoBack" w:id="0"/>
      <w:bookmarkEnd w:id="0"/>
    </w:p>
    <w:p w:rsidR="005654FB" w:rsidP="005654FB" w:rsidRDefault="005654FB" w14:paraId="2783FFF7" w14:textId="23F55F86">
      <w:pPr>
        <w:pStyle w:val="InfoPara"/>
      </w:pPr>
      <w:r>
        <w:t>Map Zone</w:t>
      </w:r>
    </w:p>
    <w:p w:rsidR="005654FB" w:rsidP="005654FB" w:rsidRDefault="005654FB" w14:paraId="0DFF7077" w14:textId="77777777">
      <w:r>
        <w:t>20</w:t>
      </w:r>
    </w:p>
    <w:p w:rsidR="005654FB" w:rsidP="005654FB" w:rsidRDefault="005654FB" w14:paraId="1B8A2E85" w14:textId="77777777">
      <w:pPr>
        <w:pStyle w:val="InfoPara"/>
      </w:pPr>
      <w:r>
        <w:t>Geographic Range</w:t>
      </w:r>
    </w:p>
    <w:p w:rsidR="005654FB" w:rsidP="005654FB" w:rsidRDefault="005654FB" w14:paraId="1F275B04" w14:textId="77777777">
      <w:r>
        <w:t xml:space="preserve">This system is found throughout the Rocky Mountains and Colorado Plateau regions. In </w:t>
      </w:r>
      <w:r w:rsidR="00D46073">
        <w:t>map zone (</w:t>
      </w:r>
      <w:r>
        <w:t>MZ</w:t>
      </w:r>
      <w:r w:rsidR="00D46073">
        <w:t xml:space="preserve">) </w:t>
      </w:r>
      <w:r>
        <w:t xml:space="preserve">21, it occurs throughout the zone and is more common than </w:t>
      </w:r>
      <w:r w:rsidR="00D46073">
        <w:t>Biophysical Setting (</w:t>
      </w:r>
      <w:r>
        <w:t>BpS</w:t>
      </w:r>
      <w:r w:rsidR="00D46073">
        <w:t>)</w:t>
      </w:r>
      <w:r>
        <w:t xml:space="preserve"> 1154 (black cottonwood) on rivers. It is associated with the isolated mountain ranges in MZ20.</w:t>
      </w:r>
    </w:p>
    <w:p w:rsidR="005654FB" w:rsidP="005654FB" w:rsidRDefault="005654FB" w14:paraId="43DB72DB" w14:textId="77777777">
      <w:pPr>
        <w:pStyle w:val="InfoPara"/>
      </w:pPr>
      <w:r>
        <w:t>Biophysical Site Description</w:t>
      </w:r>
    </w:p>
    <w:p w:rsidR="005654FB" w:rsidP="005654FB" w:rsidRDefault="005654FB" w14:paraId="54D2238F" w14:textId="5B276345">
      <w:r>
        <w:t xml:space="preserve">This system occurs within a broad elevation range from </w:t>
      </w:r>
      <w:r w:rsidR="00D46073">
        <w:t>~</w:t>
      </w:r>
      <w:r>
        <w:t>900m (3</w:t>
      </w:r>
      <w:r w:rsidR="00C42FE8">
        <w:t>,</w:t>
      </w:r>
      <w:r>
        <w:t>000ft) to 2</w:t>
      </w:r>
      <w:r w:rsidR="00C42FE8">
        <w:t>,</w:t>
      </w:r>
      <w:r>
        <w:t>800m (9</w:t>
      </w:r>
      <w:r w:rsidR="00C42FE8">
        <w:t>,</w:t>
      </w:r>
      <w:r>
        <w:t xml:space="preserve">200ft) within the flood zone of rivers, on islands, sand or cobble bars, and streambanks. The upper limit for MZ20 is probably </w:t>
      </w:r>
      <w:r w:rsidR="00D46073">
        <w:t>~</w:t>
      </w:r>
      <w:r>
        <w:t>2</w:t>
      </w:r>
      <w:r w:rsidR="00C42FE8">
        <w:t>,</w:t>
      </w:r>
      <w:r>
        <w:t>050m (6</w:t>
      </w:r>
      <w:r w:rsidR="00C42FE8">
        <w:t>,</w:t>
      </w:r>
      <w:r>
        <w:t xml:space="preserve">725ft). </w:t>
      </w:r>
      <w:proofErr w:type="gramStart"/>
      <w:r>
        <w:t>Typically</w:t>
      </w:r>
      <w:proofErr w:type="gramEnd"/>
      <w:r>
        <w:t xml:space="preserve"> this system exists in large, wide occurrences on mid-channel islands in larger rivers or narrow linear bands on small, rocky canyon tributaries and well</w:t>
      </w:r>
      <w:r w:rsidR="00D46073">
        <w:t>-</w:t>
      </w:r>
      <w:r>
        <w:t>drained benches and hillslopes below seeps/springs. May also include overflow channels, backwater sloughs, cut-off meanders, floodplain swales</w:t>
      </w:r>
      <w:r w:rsidR="00D46073">
        <w:t xml:space="preserve">, </w:t>
      </w:r>
      <w:r>
        <w:t>and irrigation ditches. Surface water is generally high for variable periods. Soils are typically alluvial deposits of sand, clays, silts</w:t>
      </w:r>
      <w:r w:rsidR="00D46073">
        <w:t>,</w:t>
      </w:r>
      <w:r>
        <w:t xml:space="preserve"> and cobbles that are highly stratified with depth due to flood scour and deposition.</w:t>
      </w:r>
    </w:p>
    <w:p w:rsidR="005654FB" w:rsidP="005654FB" w:rsidRDefault="005654FB" w14:paraId="1CAB0349" w14:textId="77777777">
      <w:pPr>
        <w:pStyle w:val="InfoPara"/>
      </w:pPr>
      <w:r>
        <w:t>Vegetation Description</w:t>
      </w:r>
    </w:p>
    <w:p w:rsidR="005654FB" w:rsidP="005654FB" w:rsidRDefault="005654FB" w14:paraId="67A9D54B" w14:textId="44CF3A43">
      <w:r>
        <w:t>This ecological system occurs as a mosaic of multiple communities that are tree</w:t>
      </w:r>
      <w:r w:rsidR="00D46073">
        <w:t>-</w:t>
      </w:r>
      <w:r>
        <w:t>dominated with a diverse shrub understory. Deciduous woody trees dominate, including</w:t>
      </w:r>
      <w:r w:rsidR="00D46073">
        <w:t xml:space="preserve"> </w:t>
      </w:r>
      <w:proofErr w:type="spellStart"/>
      <w:r w:rsidRPr="004162CD">
        <w:rPr>
          <w:i/>
        </w:rPr>
        <w:t>Populus</w:t>
      </w:r>
      <w:proofErr w:type="spellEnd"/>
      <w:r w:rsidRPr="004162CD">
        <w:rPr>
          <w:i/>
        </w:rPr>
        <w:t xml:space="preserve"> </w:t>
      </w:r>
      <w:proofErr w:type="spellStart"/>
      <w:r w:rsidRPr="004162CD">
        <w:rPr>
          <w:i/>
        </w:rPr>
        <w:t>angustifolia</w:t>
      </w:r>
      <w:proofErr w:type="spellEnd"/>
      <w:r>
        <w:t xml:space="preserve"> (east of the </w:t>
      </w:r>
      <w:r w:rsidR="00D46073">
        <w:t>C</w:t>
      </w:r>
      <w:r>
        <w:t xml:space="preserve">ontinental </w:t>
      </w:r>
      <w:r w:rsidR="00D46073">
        <w:t>D</w:t>
      </w:r>
      <w:r>
        <w:t xml:space="preserve">ivide) and the tree willow </w:t>
      </w:r>
      <w:r w:rsidRPr="004162CD">
        <w:rPr>
          <w:i/>
        </w:rPr>
        <w:t xml:space="preserve">Salix </w:t>
      </w:r>
      <w:proofErr w:type="spellStart"/>
      <w:r w:rsidRPr="004162CD">
        <w:rPr>
          <w:i/>
        </w:rPr>
        <w:t>amyglioides</w:t>
      </w:r>
      <w:proofErr w:type="spellEnd"/>
      <w:r>
        <w:t xml:space="preserve">. </w:t>
      </w:r>
    </w:p>
    <w:p w:rsidR="005654FB" w:rsidP="005654FB" w:rsidRDefault="005654FB" w14:paraId="79688CE9" w14:textId="77777777"/>
    <w:p w:rsidR="005654FB" w:rsidP="005654FB" w:rsidRDefault="005654FB" w14:paraId="3AF2D1B6" w14:textId="77777777">
      <w:r>
        <w:t xml:space="preserve">Dominant shrubs include </w:t>
      </w:r>
      <w:r w:rsidRPr="004162CD">
        <w:rPr>
          <w:i/>
        </w:rPr>
        <w:t xml:space="preserve">Acer </w:t>
      </w:r>
      <w:proofErr w:type="spellStart"/>
      <w:r w:rsidRPr="004162CD">
        <w:rPr>
          <w:i/>
        </w:rPr>
        <w:t>negundo</w:t>
      </w:r>
      <w:proofErr w:type="spellEnd"/>
      <w:r>
        <w:t xml:space="preserve">, </w:t>
      </w:r>
      <w:proofErr w:type="spellStart"/>
      <w:r w:rsidRPr="004162CD">
        <w:rPr>
          <w:i/>
        </w:rPr>
        <w:t>Alnus</w:t>
      </w:r>
      <w:proofErr w:type="spellEnd"/>
      <w:r w:rsidRPr="004162CD">
        <w:rPr>
          <w:i/>
        </w:rPr>
        <w:t xml:space="preserve"> </w:t>
      </w:r>
      <w:proofErr w:type="spellStart"/>
      <w:r w:rsidRPr="004162CD">
        <w:rPr>
          <w:i/>
        </w:rPr>
        <w:t>incana</w:t>
      </w:r>
      <w:proofErr w:type="spellEnd"/>
      <w:r>
        <w:t xml:space="preserve">, </w:t>
      </w:r>
      <w:proofErr w:type="spellStart"/>
      <w:r w:rsidRPr="004162CD">
        <w:rPr>
          <w:i/>
        </w:rPr>
        <w:t>Cornus</w:t>
      </w:r>
      <w:proofErr w:type="spellEnd"/>
      <w:r w:rsidRPr="004162CD">
        <w:rPr>
          <w:i/>
        </w:rPr>
        <w:t xml:space="preserve"> </w:t>
      </w:r>
      <w:proofErr w:type="spellStart"/>
      <w:r w:rsidRPr="004162CD">
        <w:rPr>
          <w:i/>
        </w:rPr>
        <w:t>sericea</w:t>
      </w:r>
      <w:proofErr w:type="spellEnd"/>
      <w:r>
        <w:t xml:space="preserve">, </w:t>
      </w:r>
      <w:proofErr w:type="spellStart"/>
      <w:r w:rsidRPr="004162CD">
        <w:rPr>
          <w:i/>
        </w:rPr>
        <w:t>Crataegus</w:t>
      </w:r>
      <w:proofErr w:type="spellEnd"/>
      <w:r w:rsidRPr="004162CD">
        <w:rPr>
          <w:i/>
        </w:rPr>
        <w:t xml:space="preserve"> </w:t>
      </w:r>
      <w:proofErr w:type="spellStart"/>
      <w:r w:rsidRPr="004162CD">
        <w:rPr>
          <w:i/>
        </w:rPr>
        <w:t>rivularis</w:t>
      </w:r>
      <w:proofErr w:type="spellEnd"/>
      <w:r>
        <w:t xml:space="preserve">, </w:t>
      </w:r>
      <w:r w:rsidRPr="004162CD">
        <w:rPr>
          <w:i/>
        </w:rPr>
        <w:t xml:space="preserve">Prunus </w:t>
      </w:r>
      <w:proofErr w:type="spellStart"/>
      <w:r w:rsidRPr="004162CD">
        <w:rPr>
          <w:i/>
        </w:rPr>
        <w:t>virginiana</w:t>
      </w:r>
      <w:proofErr w:type="spellEnd"/>
      <w:r>
        <w:t xml:space="preserve">, </w:t>
      </w:r>
      <w:proofErr w:type="spellStart"/>
      <w:r w:rsidRPr="004162CD">
        <w:rPr>
          <w:i/>
        </w:rPr>
        <w:t>Sheperdia</w:t>
      </w:r>
      <w:proofErr w:type="spellEnd"/>
      <w:r w:rsidRPr="004162CD">
        <w:rPr>
          <w:i/>
        </w:rPr>
        <w:t xml:space="preserve"> </w:t>
      </w:r>
      <w:proofErr w:type="spellStart"/>
      <w:r w:rsidRPr="004162CD">
        <w:rPr>
          <w:i/>
        </w:rPr>
        <w:t>argentea</w:t>
      </w:r>
      <w:proofErr w:type="spellEnd"/>
      <w:r w:rsidR="00D46073">
        <w:t>,</w:t>
      </w:r>
      <w:r>
        <w:t xml:space="preserve"> and numerous tall willow species: </w:t>
      </w:r>
      <w:r w:rsidRPr="004162CD">
        <w:rPr>
          <w:i/>
          <w:color w:val="000000" w:themeColor="text1"/>
        </w:rPr>
        <w:t>Salix lutea</w:t>
      </w:r>
      <w:r>
        <w:t xml:space="preserve">, </w:t>
      </w:r>
      <w:r w:rsidRPr="004162CD">
        <w:rPr>
          <w:i/>
        </w:rPr>
        <w:t xml:space="preserve">S. </w:t>
      </w:r>
      <w:proofErr w:type="spellStart"/>
      <w:r w:rsidRPr="004162CD">
        <w:rPr>
          <w:i/>
        </w:rPr>
        <w:t>geyeriana</w:t>
      </w:r>
      <w:proofErr w:type="spellEnd"/>
      <w:r>
        <w:t xml:space="preserve">, </w:t>
      </w:r>
      <w:r w:rsidRPr="004162CD">
        <w:rPr>
          <w:i/>
        </w:rPr>
        <w:t xml:space="preserve">S. </w:t>
      </w:r>
      <w:proofErr w:type="spellStart"/>
      <w:r w:rsidRPr="004162CD">
        <w:rPr>
          <w:i/>
        </w:rPr>
        <w:t>boothii</w:t>
      </w:r>
      <w:proofErr w:type="spellEnd"/>
      <w:r>
        <w:t xml:space="preserve">, </w:t>
      </w:r>
      <w:r w:rsidRPr="004162CD">
        <w:rPr>
          <w:i/>
        </w:rPr>
        <w:t xml:space="preserve">S. </w:t>
      </w:r>
      <w:proofErr w:type="spellStart"/>
      <w:r w:rsidRPr="004162CD">
        <w:rPr>
          <w:i/>
        </w:rPr>
        <w:t>drummondiana</w:t>
      </w:r>
      <w:proofErr w:type="spellEnd"/>
      <w:r>
        <w:t xml:space="preserve">, </w:t>
      </w:r>
      <w:r w:rsidRPr="004162CD">
        <w:rPr>
          <w:i/>
        </w:rPr>
        <w:t>S. lasiandra</w:t>
      </w:r>
      <w:r>
        <w:t xml:space="preserve">, </w:t>
      </w:r>
      <w:r w:rsidRPr="004162CD">
        <w:rPr>
          <w:i/>
        </w:rPr>
        <w:t xml:space="preserve">S. </w:t>
      </w:r>
      <w:proofErr w:type="spellStart"/>
      <w:r w:rsidRPr="004162CD">
        <w:rPr>
          <w:i/>
        </w:rPr>
        <w:t>bebbiana</w:t>
      </w:r>
      <w:proofErr w:type="spellEnd"/>
      <w:r w:rsidR="00D46073">
        <w:t>,</w:t>
      </w:r>
      <w:r>
        <w:t xml:space="preserve"> and </w:t>
      </w:r>
      <w:r w:rsidRPr="004162CD">
        <w:rPr>
          <w:i/>
        </w:rPr>
        <w:t xml:space="preserve">S. </w:t>
      </w:r>
      <w:proofErr w:type="spellStart"/>
      <w:r w:rsidRPr="004162CD">
        <w:rPr>
          <w:i/>
        </w:rPr>
        <w:t>exigua</w:t>
      </w:r>
      <w:proofErr w:type="spellEnd"/>
      <w:r>
        <w:t xml:space="preserve">. </w:t>
      </w:r>
      <w:r w:rsidRPr="004162CD">
        <w:rPr>
          <w:i/>
        </w:rPr>
        <w:t xml:space="preserve">Acer </w:t>
      </w:r>
      <w:proofErr w:type="spellStart"/>
      <w:r w:rsidRPr="004162CD">
        <w:rPr>
          <w:i/>
        </w:rPr>
        <w:t>glabrum</w:t>
      </w:r>
      <w:proofErr w:type="spellEnd"/>
      <w:r>
        <w:t xml:space="preserve"> exists in MZ20, but it isn't a dominant shrub -</w:t>
      </w:r>
      <w:r w:rsidR="00D46073">
        <w:t>-</w:t>
      </w:r>
      <w:r>
        <w:t xml:space="preserve"> </w:t>
      </w:r>
      <w:r w:rsidRPr="004162CD">
        <w:rPr>
          <w:i/>
        </w:rPr>
        <w:t xml:space="preserve">Acer </w:t>
      </w:r>
      <w:proofErr w:type="spellStart"/>
      <w:r w:rsidRPr="004162CD">
        <w:rPr>
          <w:i/>
        </w:rPr>
        <w:t>negundo</w:t>
      </w:r>
      <w:proofErr w:type="spellEnd"/>
      <w:r>
        <w:t xml:space="preserve"> is more common. </w:t>
      </w:r>
      <w:proofErr w:type="spellStart"/>
      <w:r w:rsidRPr="004162CD">
        <w:rPr>
          <w:i/>
        </w:rPr>
        <w:t>Alnus</w:t>
      </w:r>
      <w:proofErr w:type="spellEnd"/>
      <w:r w:rsidRPr="004162CD">
        <w:rPr>
          <w:i/>
        </w:rPr>
        <w:t xml:space="preserve"> </w:t>
      </w:r>
      <w:proofErr w:type="spellStart"/>
      <w:r w:rsidRPr="004162CD">
        <w:rPr>
          <w:i/>
        </w:rPr>
        <w:t>incana</w:t>
      </w:r>
      <w:proofErr w:type="spellEnd"/>
      <w:r>
        <w:t xml:space="preserve"> and </w:t>
      </w:r>
      <w:r w:rsidRPr="004162CD">
        <w:rPr>
          <w:i/>
        </w:rPr>
        <w:t xml:space="preserve">Betula </w:t>
      </w:r>
      <w:proofErr w:type="spellStart"/>
      <w:r w:rsidRPr="004162CD">
        <w:rPr>
          <w:i/>
        </w:rPr>
        <w:t>occidentalis</w:t>
      </w:r>
      <w:proofErr w:type="spellEnd"/>
      <w:r>
        <w:t xml:space="preserve"> are minor components of MZ20.</w:t>
      </w:r>
    </w:p>
    <w:p w:rsidR="005654FB" w:rsidP="005654FB" w:rsidRDefault="005654FB" w14:paraId="106411C1" w14:textId="77777777"/>
    <w:p w:rsidR="005654FB" w:rsidP="005654FB" w:rsidRDefault="005654FB" w14:paraId="6A09DC66" w14:textId="77777777">
      <w:proofErr w:type="gramStart"/>
      <w:r>
        <w:t>Generally</w:t>
      </w:r>
      <w:proofErr w:type="gramEnd"/>
      <w:r>
        <w:t xml:space="preserve"> the adjacent upland vegetation surrounding this riparian system includes shrublands, grasslands</w:t>
      </w:r>
      <w:r w:rsidR="00D46073">
        <w:t>,</w:t>
      </w:r>
      <w:r>
        <w:t xml:space="preserve"> and forests.</w:t>
      </w:r>
    </w:p>
    <w:p w:rsidR="005654FB" w:rsidP="005654FB" w:rsidRDefault="005654FB" w14:paraId="1759133E" w14:textId="77777777"/>
    <w:p w:rsidR="005654FB" w:rsidP="005654FB" w:rsidRDefault="005654FB" w14:paraId="4F43F15D" w14:textId="5CFAE671">
      <w:r>
        <w:lastRenderedPageBreak/>
        <w:t xml:space="preserve">Forbs and graminoids include </w:t>
      </w:r>
      <w:proofErr w:type="spellStart"/>
      <w:r w:rsidRPr="004162CD">
        <w:rPr>
          <w:i/>
        </w:rPr>
        <w:t>Carex</w:t>
      </w:r>
      <w:proofErr w:type="spellEnd"/>
      <w:r>
        <w:t xml:space="preserve"> spp</w:t>
      </w:r>
      <w:r w:rsidR="00D46073">
        <w:t>.</w:t>
      </w:r>
      <w:r>
        <w:t xml:space="preserve">, especially </w:t>
      </w:r>
      <w:proofErr w:type="spellStart"/>
      <w:r w:rsidRPr="004162CD">
        <w:rPr>
          <w:i/>
        </w:rPr>
        <w:t>Carex</w:t>
      </w:r>
      <w:proofErr w:type="spellEnd"/>
      <w:r w:rsidRPr="004162CD">
        <w:rPr>
          <w:i/>
        </w:rPr>
        <w:t xml:space="preserve"> </w:t>
      </w:r>
      <w:proofErr w:type="spellStart"/>
      <w:r w:rsidRPr="004162CD">
        <w:rPr>
          <w:i/>
        </w:rPr>
        <w:t>utriculata</w:t>
      </w:r>
      <w:proofErr w:type="spellEnd"/>
      <w:r>
        <w:t xml:space="preserve"> and </w:t>
      </w:r>
      <w:proofErr w:type="spellStart"/>
      <w:r w:rsidRPr="004162CD">
        <w:rPr>
          <w:i/>
        </w:rPr>
        <w:t>Carex</w:t>
      </w:r>
      <w:proofErr w:type="spellEnd"/>
      <w:r w:rsidRPr="004162CD">
        <w:rPr>
          <w:i/>
        </w:rPr>
        <w:t xml:space="preserve"> </w:t>
      </w:r>
      <w:proofErr w:type="spellStart"/>
      <w:r w:rsidRPr="004162CD">
        <w:rPr>
          <w:i/>
        </w:rPr>
        <w:t>aaquatilis</w:t>
      </w:r>
      <w:proofErr w:type="spellEnd"/>
      <w:r>
        <w:t>, which occur in nearly homogeneous stands, and numerous mesic forbs (e</w:t>
      </w:r>
      <w:r w:rsidR="00D46073">
        <w:t>.g.,</w:t>
      </w:r>
      <w:r>
        <w:t xml:space="preserve"> </w:t>
      </w:r>
      <w:proofErr w:type="spellStart"/>
      <w:r w:rsidRPr="004162CD">
        <w:rPr>
          <w:i/>
        </w:rPr>
        <w:t>Geum</w:t>
      </w:r>
      <w:proofErr w:type="spellEnd"/>
      <w:r w:rsidRPr="004162CD">
        <w:rPr>
          <w:i/>
        </w:rPr>
        <w:t xml:space="preserve"> </w:t>
      </w:r>
      <w:proofErr w:type="spellStart"/>
      <w:r w:rsidRPr="004162CD">
        <w:rPr>
          <w:i/>
        </w:rPr>
        <w:t>macrophyllum</w:t>
      </w:r>
      <w:proofErr w:type="spellEnd"/>
      <w:r>
        <w:t xml:space="preserve">, </w:t>
      </w:r>
      <w:proofErr w:type="spellStart"/>
      <w:r w:rsidRPr="004162CD">
        <w:rPr>
          <w:i/>
        </w:rPr>
        <w:t>Mertensia</w:t>
      </w:r>
      <w:proofErr w:type="spellEnd"/>
      <w:r w:rsidRPr="004162CD">
        <w:rPr>
          <w:i/>
        </w:rPr>
        <w:t xml:space="preserve"> </w:t>
      </w:r>
      <w:proofErr w:type="spellStart"/>
      <w:r w:rsidRPr="004162CD">
        <w:rPr>
          <w:i/>
        </w:rPr>
        <w:t>ciliatus</w:t>
      </w:r>
      <w:proofErr w:type="spellEnd"/>
      <w:r>
        <w:t xml:space="preserve">, </w:t>
      </w:r>
      <w:r w:rsidRPr="004162CD">
        <w:rPr>
          <w:i/>
        </w:rPr>
        <w:t xml:space="preserve">Equisetum </w:t>
      </w:r>
      <w:proofErr w:type="spellStart"/>
      <w:r w:rsidRPr="004162CD">
        <w:rPr>
          <w:i/>
        </w:rPr>
        <w:t>arvense</w:t>
      </w:r>
      <w:proofErr w:type="spellEnd"/>
      <w:r w:rsidR="00D46073">
        <w:t>,</w:t>
      </w:r>
      <w:r>
        <w:t xml:space="preserve"> and </w:t>
      </w:r>
      <w:proofErr w:type="spellStart"/>
      <w:r w:rsidRPr="004162CD">
        <w:rPr>
          <w:i/>
        </w:rPr>
        <w:t>Senecio</w:t>
      </w:r>
      <w:proofErr w:type="spellEnd"/>
      <w:r w:rsidRPr="004162CD">
        <w:rPr>
          <w:i/>
        </w:rPr>
        <w:t xml:space="preserve"> </w:t>
      </w:r>
      <w:proofErr w:type="spellStart"/>
      <w:r w:rsidRPr="004162CD">
        <w:rPr>
          <w:i/>
        </w:rPr>
        <w:t>hydrophilus</w:t>
      </w:r>
      <w:proofErr w:type="spellEnd"/>
      <w:r>
        <w:t>).</w:t>
      </w:r>
    </w:p>
    <w:p w:rsidR="005654FB" w:rsidP="005654FB" w:rsidRDefault="005654FB" w14:paraId="7C8F4D5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COSE16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Redosier 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CRRI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Crataegus rivularis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River hawthorn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EQAR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Equisetum arvense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Field horsetail</w:t>
            </w:r>
          </w:p>
        </w:tc>
      </w:tr>
    </w:tbl>
    <w:p>
      <w:r>
        <w:rPr>
          <w:sz w:val="16"/>
        </w:rPr>
        <w:t>Species names are from the NRCS PLANTS database. Check species codes at http://plants.usda.gov.</w:t>
      </w:r>
    </w:p>
    <w:p w:rsidR="005654FB" w:rsidP="005654FB" w:rsidRDefault="005654FB" w14:paraId="3B8AC836" w14:textId="77777777">
      <w:pPr>
        <w:pStyle w:val="InfoPara"/>
      </w:pPr>
      <w:r>
        <w:t>Disturbance Description</w:t>
      </w:r>
    </w:p>
    <w:p w:rsidR="005654FB" w:rsidP="005654FB" w:rsidRDefault="005654FB" w14:paraId="562F824D" w14:textId="20676F8B">
      <w:r>
        <w:t>This system is dependent on a natural hydrologic regime, especially annual to episodic flooding. Flood events of increasing magnitude will cause maintenance to stand</w:t>
      </w:r>
      <w:r w:rsidR="00D46073">
        <w:t>-</w:t>
      </w:r>
      <w:r>
        <w:t xml:space="preserve">replacing disturbances. </w:t>
      </w:r>
    </w:p>
    <w:p w:rsidR="005654FB" w:rsidP="005654FB" w:rsidRDefault="005654FB" w14:paraId="77A6B722" w14:textId="77777777"/>
    <w:p w:rsidR="005654FB" w:rsidP="005654FB" w:rsidRDefault="005654FB" w14:paraId="51CC9A85" w14:textId="3B2EEFF4">
      <w:r>
        <w:t>Beaver (</w:t>
      </w:r>
      <w:r w:rsidRPr="004162CD">
        <w:rPr>
          <w:i/>
        </w:rPr>
        <w:t>Castor canadensis</w:t>
      </w:r>
      <w:r>
        <w:t>) crop younger cottonwoods (</w:t>
      </w:r>
      <w:proofErr w:type="spellStart"/>
      <w:r w:rsidRPr="004162CD">
        <w:rPr>
          <w:i/>
        </w:rPr>
        <w:t>Populus</w:t>
      </w:r>
      <w:proofErr w:type="spellEnd"/>
      <w:r w:rsidRPr="004162CD">
        <w:rPr>
          <w:i/>
        </w:rPr>
        <w:t xml:space="preserve"> </w:t>
      </w:r>
      <w:r>
        <w:t>spp</w:t>
      </w:r>
      <w:r w:rsidR="00D46073">
        <w:t>.</w:t>
      </w:r>
      <w:r>
        <w:t>) and willows (</w:t>
      </w:r>
      <w:r w:rsidRPr="004162CD">
        <w:rPr>
          <w:i/>
        </w:rPr>
        <w:t>Salix</w:t>
      </w:r>
      <w:r>
        <w:t xml:space="preserve"> spp</w:t>
      </w:r>
      <w:r w:rsidR="00D46073">
        <w:t>.</w:t>
      </w:r>
      <w:r>
        <w:t xml:space="preserve">) and frequently influence the hydrologic regime through construction of dams (ponding water and slow release). Beavers show considerable movement along rivers as available trees are felled. </w:t>
      </w:r>
    </w:p>
    <w:p w:rsidR="005654FB" w:rsidP="005654FB" w:rsidRDefault="005654FB" w14:paraId="3150D43B" w14:textId="77777777"/>
    <w:p w:rsidR="005654FB" w:rsidP="005654FB" w:rsidRDefault="005654FB" w14:paraId="04EAB534" w14:textId="5867948F">
      <w:r>
        <w:t xml:space="preserve">Fire is mostly occurring as a result of spread from surrounding uplands. Many of these species, especially shrubs, respond favorably to fire. They are vigorous </w:t>
      </w:r>
      <w:proofErr w:type="spellStart"/>
      <w:r>
        <w:t>sprouters</w:t>
      </w:r>
      <w:proofErr w:type="spellEnd"/>
      <w:r>
        <w:t xml:space="preserve"> and are also shade</w:t>
      </w:r>
      <w:r w:rsidR="00D46073">
        <w:t>-</w:t>
      </w:r>
      <w:r>
        <w:t>intolerant; the absence of fire and shading by conifers will cause a decrease in these communities. Most fires would ignite and move through upland fuel until they reached a riparian zone</w:t>
      </w:r>
      <w:r w:rsidR="00D46073">
        <w:t xml:space="preserve">, </w:t>
      </w:r>
      <w:r>
        <w:t>then go out because of high fuel moisture, continue spreading into dry riparian fuel</w:t>
      </w:r>
      <w:r w:rsidR="00D46073">
        <w:t xml:space="preserve">, </w:t>
      </w:r>
      <w:r>
        <w:t>or leap across damp streams and continue up the hill on the other side. Streams could be a barrier to low</w:t>
      </w:r>
      <w:r w:rsidR="00D46073">
        <w:t>-</w:t>
      </w:r>
      <w:r>
        <w:t>/moderate</w:t>
      </w:r>
      <w:r w:rsidR="00D46073">
        <w:t>-</w:t>
      </w:r>
      <w:r>
        <w:t>intensity fires but would hardly slow down a high</w:t>
      </w:r>
      <w:r w:rsidR="00D46073">
        <w:t>-</w:t>
      </w:r>
      <w:r>
        <w:t>intensity crown fire (Michael Harrington, pers</w:t>
      </w:r>
      <w:r w:rsidR="00D46073">
        <w:t>onal</w:t>
      </w:r>
      <w:r>
        <w:t xml:space="preserve"> comm</w:t>
      </w:r>
      <w:r w:rsidR="00D46073">
        <w:t>unication</w:t>
      </w:r>
      <w:r>
        <w:t>, observations on the Bitterroot 2000). It is thought that the lower</w:t>
      </w:r>
      <w:r w:rsidR="00D46073">
        <w:t>-</w:t>
      </w:r>
      <w:r>
        <w:t>elevation forests (ponderosa</w:t>
      </w:r>
      <w:r w:rsidR="00D46073">
        <w:t>-</w:t>
      </w:r>
      <w:r>
        <w:t>pine</w:t>
      </w:r>
      <w:r w:rsidR="00D46073">
        <w:t>-</w:t>
      </w:r>
      <w:r>
        <w:t xml:space="preserve">dominated) </w:t>
      </w:r>
      <w:proofErr w:type="gramStart"/>
      <w:r>
        <w:t>were capable of burning</w:t>
      </w:r>
      <w:proofErr w:type="gramEnd"/>
      <w:r>
        <w:t xml:space="preserve"> during a large portion of the summer and fall because of the rapid drying of the types of fine fuel that </w:t>
      </w:r>
      <w:r w:rsidR="00D46073">
        <w:t xml:space="preserve">are </w:t>
      </w:r>
      <w:r>
        <w:t>present, whereas intersecting riparian area fuel had a longer seasonal exposure to soil moisture and high humidity. So this indicates a period, especially in early summer</w:t>
      </w:r>
      <w:r w:rsidR="00D46073">
        <w:t>,</w:t>
      </w:r>
      <w:r>
        <w:t xml:space="preserve"> where it seems upland</w:t>
      </w:r>
      <w:r w:rsidR="00D46073">
        <w:t>s</w:t>
      </w:r>
      <w:r>
        <w:t xml:space="preserve"> were burnable and riparian zones were less so. These two zones generally become more similar as summer deepens (Harrington, per</w:t>
      </w:r>
      <w:r w:rsidR="00D46073">
        <w:t xml:space="preserve">sonal </w:t>
      </w:r>
      <w:r>
        <w:t>comm</w:t>
      </w:r>
      <w:r w:rsidR="00D46073">
        <w:t>unication</w:t>
      </w:r>
      <w:r>
        <w:t xml:space="preserve">). </w:t>
      </w:r>
    </w:p>
    <w:p w:rsidR="005654FB" w:rsidP="005654FB" w:rsidRDefault="005654FB" w14:paraId="3B36303B" w14:textId="77777777"/>
    <w:p w:rsidR="005654FB" w:rsidP="005654FB" w:rsidRDefault="005654FB" w14:paraId="28E524F2" w14:textId="5E57ECAB">
      <w:r>
        <w:t xml:space="preserve">Olson (2000) found that riparian Weibull median probability fire return intervals </w:t>
      </w:r>
      <w:r w:rsidR="00653B39">
        <w:t xml:space="preserve">(FRIs) </w:t>
      </w:r>
      <w:r>
        <w:t>for riparian forests (in O</w:t>
      </w:r>
      <w:r w:rsidR="00D46073">
        <w:t>regon</w:t>
      </w:r>
      <w:r>
        <w:t xml:space="preserve">, however) ranged from 10-40yrs. Forest type and slope aspect played a larger role than proximity to a stream when it came to differentiating fire regimes in the study area. Stream channels also did not act as fire barriers during the more extensive fire years (Olson 2000). </w:t>
      </w:r>
    </w:p>
    <w:p w:rsidR="005654FB" w:rsidP="005654FB" w:rsidRDefault="005654FB" w14:paraId="79C725C3" w14:textId="77777777"/>
    <w:p w:rsidR="005654FB" w:rsidP="005654FB" w:rsidRDefault="00C42FE8" w14:paraId="68009F7A"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101</w:t>
            </w:r>
          </w:p>
        </w:tc>
        <w:tc>
          <w:p>
            <w:pPr>
              <w:jc w:val="center"/>
            </w:pPr>
            <w:r>
              <w:t>53</w:t>
            </w:r>
          </w:p>
        </w:tc>
        <w:tc>
          <w:p>
            <w:pPr>
              <w:jc w:val="center"/>
            </w:pPr>
            <w:r>
              <w:t>75</w:t>
            </w:r>
          </w:p>
        </w:tc>
        <w:tc>
          <w:p>
            <w:pPr>
              <w:jc w:val="center"/>
            </w:pPr>
            <w:r>
              <w:t>275</w:t>
            </w:r>
          </w:p>
        </w:tc>
      </w:tr>
      <w:tr>
        <w:tc>
          <w:p>
            <w:pPr>
              <w:jc w:val="center"/>
            </w:pPr>
            <w:r>
              <w:t>Moderate (Mixed)</w:t>
            </w:r>
          </w:p>
        </w:tc>
        <w:tc>
          <w:p>
            <w:pPr>
              <w:jc w:val="center"/>
            </w:pPr>
            <w:r>
              <w:t>115</w:t>
            </w:r>
          </w:p>
        </w:tc>
        <w:tc>
          <w:p>
            <w:pPr>
              <w:jc w:val="center"/>
            </w:pPr>
            <w:r>
              <w:t>47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654FB" w:rsidP="005654FB" w:rsidRDefault="005654FB" w14:paraId="2F4A5F13" w14:textId="77777777">
      <w:pPr>
        <w:pStyle w:val="InfoPara"/>
      </w:pPr>
      <w:r>
        <w:t>Scale Description</w:t>
      </w:r>
    </w:p>
    <w:p w:rsidR="005654FB" w:rsidP="005654FB" w:rsidRDefault="005654FB" w14:paraId="532E2BC6" w14:textId="6E1F4D7C">
      <w:r>
        <w:t>These systems can exist as small to large linear features in the landscape. In larger, low</w:t>
      </w:r>
      <w:r w:rsidR="00D46073">
        <w:t>-</w:t>
      </w:r>
      <w:r>
        <w:t>elevation riverine systems, this system may exist as mid-large patches, as a function of valley bottom width and gradient.</w:t>
      </w:r>
    </w:p>
    <w:p w:rsidR="005654FB" w:rsidP="005654FB" w:rsidRDefault="005654FB" w14:paraId="769E7B58" w14:textId="77777777">
      <w:pPr>
        <w:pStyle w:val="InfoPara"/>
      </w:pPr>
      <w:r>
        <w:t>Adjacency or Identification Concerns</w:t>
      </w:r>
    </w:p>
    <w:p w:rsidR="005654FB" w:rsidP="005654FB" w:rsidRDefault="005654FB" w14:paraId="38EED342" w14:textId="77777777">
      <w:r>
        <w:t>This BpS encompasses the mid</w:t>
      </w:r>
      <w:r w:rsidR="00D46073">
        <w:t>-</w:t>
      </w:r>
      <w:r>
        <w:t xml:space="preserve"> and lower-elevation riparian systems within the northern Rocky Mountains. Higher elevation riparian systems are covered in BpS 1160.</w:t>
      </w:r>
    </w:p>
    <w:p w:rsidR="005654FB" w:rsidP="005654FB" w:rsidRDefault="005654FB" w14:paraId="3D2B6138" w14:textId="77777777"/>
    <w:p w:rsidR="005654FB" w:rsidP="005654FB" w:rsidRDefault="005654FB" w14:paraId="443D7DCE" w14:textId="6C4DD912">
      <w:r>
        <w:t>Absence of recurrent floods and fire as a structuring agent, coupled with shade</w:t>
      </w:r>
      <w:r w:rsidR="00D46073">
        <w:t>-</w:t>
      </w:r>
      <w:r>
        <w:t>tolerant conifer establishment</w:t>
      </w:r>
      <w:r w:rsidR="00D46073">
        <w:t>,</w:t>
      </w:r>
      <w:r>
        <w:t xml:space="preserve"> can lead to loss of shade</w:t>
      </w:r>
      <w:r w:rsidR="00D46073">
        <w:t>-</w:t>
      </w:r>
      <w:r>
        <w:t xml:space="preserve">intolerant deciduous woody species. In addition, grazing and trampling by domestic and wild ungulates can shift the composition toward weedy and/or </w:t>
      </w:r>
      <w:proofErr w:type="spellStart"/>
      <w:r>
        <w:t>nonriparian</w:t>
      </w:r>
      <w:proofErr w:type="spellEnd"/>
      <w:r>
        <w:t xml:space="preserve"> species. Associated bank damage, which results in </w:t>
      </w:r>
      <w:proofErr w:type="spellStart"/>
      <w:r>
        <w:t>headcutting</w:t>
      </w:r>
      <w:proofErr w:type="spellEnd"/>
      <w:r>
        <w:t xml:space="preserve"> and incision, can result when bank</w:t>
      </w:r>
      <w:r w:rsidR="00D46073">
        <w:t>-</w:t>
      </w:r>
      <w:r>
        <w:t xml:space="preserve">stabilizing vegetation is removed and/or damaged by ungulate activity. In addition, loss of beavers can, coupled with heavy ungulate use, shift dominance in these systems to herbaceous species. </w:t>
      </w:r>
    </w:p>
    <w:p w:rsidR="005654FB" w:rsidP="005654FB" w:rsidRDefault="005654FB" w14:paraId="06102739" w14:textId="77777777"/>
    <w:p w:rsidR="005654FB" w:rsidP="005654FB" w:rsidRDefault="005654FB" w14:paraId="34BD71F3" w14:textId="50FBBDA4">
      <w:r>
        <w:t>Exotic trees of Russian olive (</w:t>
      </w:r>
      <w:proofErr w:type="spellStart"/>
      <w:r w:rsidRPr="004162CD">
        <w:rPr>
          <w:i/>
        </w:rPr>
        <w:t>Elaeagnus</w:t>
      </w:r>
      <w:proofErr w:type="spellEnd"/>
      <w:r w:rsidRPr="004162CD">
        <w:rPr>
          <w:i/>
        </w:rPr>
        <w:t xml:space="preserve"> </w:t>
      </w:r>
      <w:proofErr w:type="spellStart"/>
      <w:r w:rsidRPr="004162CD">
        <w:rPr>
          <w:i/>
        </w:rPr>
        <w:t>angustifolia</w:t>
      </w:r>
      <w:proofErr w:type="spellEnd"/>
      <w:r>
        <w:t>), especially in lower</w:t>
      </w:r>
      <w:r w:rsidR="00D46073">
        <w:t>-</w:t>
      </w:r>
      <w:r>
        <w:t>elevation, wide</w:t>
      </w:r>
      <w:r w:rsidR="00D46073">
        <w:t>-</w:t>
      </w:r>
      <w:r>
        <w:t>valley</w:t>
      </w:r>
      <w:r w:rsidR="00D46073">
        <w:t>-</w:t>
      </w:r>
      <w:r>
        <w:t>bottom systems, are common in some stands. Herbaceous noxious weeds, including leafy spurge, tansy</w:t>
      </w:r>
      <w:r w:rsidR="00D46073">
        <w:t>,</w:t>
      </w:r>
      <w:r>
        <w:t xml:space="preserve"> and spotted knapweed</w:t>
      </w:r>
      <w:r w:rsidR="00D46073">
        <w:t>,</w:t>
      </w:r>
      <w:r>
        <w:t xml:space="preserve"> readily invade and persist in these systems today.</w:t>
      </w:r>
    </w:p>
    <w:p w:rsidR="005654FB" w:rsidP="005654FB" w:rsidRDefault="005654FB" w14:paraId="62C9529D" w14:textId="77777777"/>
    <w:p w:rsidR="005654FB" w:rsidP="005654FB" w:rsidRDefault="005654FB" w14:paraId="60733AFB" w14:textId="64A713D5">
      <w:r>
        <w:t>Grazing disturbance could be a disturbance in certain locales. Tamarisk is becoming a concern. Trapping of beaver affects beaver presence</w:t>
      </w:r>
      <w:r w:rsidR="00D46073">
        <w:t xml:space="preserve"> and </w:t>
      </w:r>
      <w:r>
        <w:t xml:space="preserve">thus </w:t>
      </w:r>
      <w:r w:rsidR="00D46073">
        <w:t xml:space="preserve">the </w:t>
      </w:r>
      <w:r>
        <w:t xml:space="preserve">storage of ground water and recharge of the local aquifer. Perennial </w:t>
      </w:r>
      <w:proofErr w:type="spellStart"/>
      <w:r>
        <w:t>pepperweed</w:t>
      </w:r>
      <w:proofErr w:type="spellEnd"/>
      <w:r>
        <w:t xml:space="preserve"> may be an issue as well.</w:t>
      </w:r>
    </w:p>
    <w:p w:rsidR="005654FB" w:rsidP="005654FB" w:rsidRDefault="005654FB" w14:paraId="3FAAA93E" w14:textId="77777777"/>
    <w:p w:rsidR="005654FB" w:rsidP="005654FB" w:rsidRDefault="005654FB" w14:paraId="112B853F" w14:textId="2CEB5098">
      <w:r>
        <w:t>The best guide for mappers to distinguish between floodplain systems v</w:t>
      </w:r>
      <w:r w:rsidR="00D46073">
        <w:t>ersus</w:t>
      </w:r>
      <w:r>
        <w:t xml:space="preserve"> riparian systems is the geographic range/ecoregions. The Great Plains Floodplain systems are in the Northwestern Glaciated Plains and the Northern Great Plains; the Rocky Mountain Montane Riparian systems are in the lower elevations (i</w:t>
      </w:r>
      <w:r w:rsidR="00653B39">
        <w:t>.</w:t>
      </w:r>
      <w:r>
        <w:t>e</w:t>
      </w:r>
      <w:r w:rsidR="00653B39">
        <w:t>.</w:t>
      </w:r>
      <w:r>
        <w:t xml:space="preserve">, not alpine) of the Northern and Middle Rockies, some of which occur as isolated mountain ranges in the Great Plains. Broadly generalized, the Great Plains Floodplain systems typically have broader floodplains and more terrace development. </w:t>
      </w:r>
      <w:proofErr w:type="gramStart"/>
      <w:r>
        <w:t>Also</w:t>
      </w:r>
      <w:proofErr w:type="gramEnd"/>
      <w:r w:rsidR="00653B39">
        <w:t xml:space="preserve"> </w:t>
      </w:r>
      <w:r>
        <w:t xml:space="preserve">montane riparian systems of central Montana and probably the Black Hills too will have steeper gradients, narrower floodplains and be dominated by </w:t>
      </w:r>
      <w:proofErr w:type="spellStart"/>
      <w:r w:rsidRPr="004162CD">
        <w:rPr>
          <w:i/>
        </w:rPr>
        <w:t>Populus</w:t>
      </w:r>
      <w:proofErr w:type="spellEnd"/>
      <w:r w:rsidRPr="004162CD">
        <w:rPr>
          <w:i/>
        </w:rPr>
        <w:t xml:space="preserve"> </w:t>
      </w:r>
      <w:proofErr w:type="spellStart"/>
      <w:r w:rsidRPr="004162CD">
        <w:rPr>
          <w:i/>
        </w:rPr>
        <w:t>angustifolia</w:t>
      </w:r>
      <w:proofErr w:type="spellEnd"/>
      <w:r>
        <w:t xml:space="preserve"> or </w:t>
      </w:r>
      <w:r w:rsidRPr="004162CD">
        <w:rPr>
          <w:i/>
        </w:rPr>
        <w:t xml:space="preserve">P. </w:t>
      </w:r>
      <w:proofErr w:type="spellStart"/>
      <w:r w:rsidRPr="004162CD">
        <w:rPr>
          <w:i/>
        </w:rPr>
        <w:t>alsamifera</w:t>
      </w:r>
      <w:proofErr w:type="spellEnd"/>
      <w:r>
        <w:t xml:space="preserve"> as opposed to </w:t>
      </w:r>
      <w:r w:rsidRPr="004162CD">
        <w:rPr>
          <w:i/>
        </w:rPr>
        <w:t xml:space="preserve">P. </w:t>
      </w:r>
      <w:proofErr w:type="spellStart"/>
      <w:r w:rsidRPr="004162CD">
        <w:rPr>
          <w:i/>
        </w:rPr>
        <w:t>deltoides</w:t>
      </w:r>
      <w:proofErr w:type="spellEnd"/>
      <w:r>
        <w:t xml:space="preserve"> for Great Plains floodplains. Rivers like the Powder, Tongue</w:t>
      </w:r>
      <w:r w:rsidR="00653B39">
        <w:t>,</w:t>
      </w:r>
      <w:r>
        <w:t xml:space="preserve"> and probably Little Missouri start as montane rivers and become Great Plains rivers.</w:t>
      </w:r>
    </w:p>
    <w:p w:rsidR="005654FB" w:rsidP="005654FB" w:rsidRDefault="005654FB" w14:paraId="4DA36D92" w14:textId="77777777">
      <w:pPr>
        <w:pStyle w:val="InfoPara"/>
      </w:pPr>
      <w:r>
        <w:t>Issues or Problems</w:t>
      </w:r>
    </w:p>
    <w:p w:rsidR="005654FB" w:rsidP="005654FB" w:rsidRDefault="005654FB" w14:paraId="11AF4FE9" w14:textId="77777777"/>
    <w:p w:rsidR="005654FB" w:rsidP="005654FB" w:rsidRDefault="005654FB" w14:paraId="0D995745" w14:textId="77777777">
      <w:pPr>
        <w:pStyle w:val="InfoPara"/>
      </w:pPr>
      <w:r>
        <w:t>Native Uncharacteristic Conditions</w:t>
      </w:r>
    </w:p>
    <w:p w:rsidR="005654FB" w:rsidP="005654FB" w:rsidRDefault="005654FB" w14:paraId="4EB59954" w14:textId="77777777"/>
    <w:p w:rsidR="005654FB" w:rsidP="005654FB" w:rsidRDefault="005654FB" w14:paraId="27C80C40" w14:textId="77777777">
      <w:pPr>
        <w:pStyle w:val="InfoPara"/>
      </w:pPr>
      <w:r>
        <w:lastRenderedPageBreak/>
        <w:t>Comments</w:t>
      </w:r>
    </w:p>
    <w:p w:rsidR="005654FB" w:rsidP="005654FB" w:rsidRDefault="00C42FE8" w14:paraId="408AB9D5" w14:textId="77777777">
      <w:r>
        <w:t>For LANDFIRE National</w:t>
      </w:r>
      <w:r w:rsidR="00653B39">
        <w:t>,</w:t>
      </w:r>
      <w:r>
        <w:t xml:space="preserve"> t</w:t>
      </w:r>
      <w:r w:rsidR="005654FB">
        <w:t xml:space="preserve">his model for MZ20 was adapted from the same BpS in MZ21, created by John Simons (john_simons@blm.gov) and Bill Baker (bakerwl@uwyo.edu) and reviewed by Chris Baker (clbaker@fs.fed.us), Jim </w:t>
      </w:r>
      <w:proofErr w:type="spellStart"/>
      <w:r w:rsidR="005654FB">
        <w:t>Ozenberger</w:t>
      </w:r>
      <w:proofErr w:type="spellEnd"/>
      <w:r w:rsidR="005654FB">
        <w:t xml:space="preserve"> (Jozenberger@fs.fed.us), Andy Norman (anorman@fs.fed.us), Sarah </w:t>
      </w:r>
      <w:proofErr w:type="spellStart"/>
      <w:r w:rsidR="005654FB">
        <w:t>Canham</w:t>
      </w:r>
      <w:proofErr w:type="spellEnd"/>
      <w:r w:rsidR="005654FB">
        <w:t xml:space="preserve"> (scanham@fs.fed.us)</w:t>
      </w:r>
      <w:r w:rsidR="00653B39">
        <w:t>,</w:t>
      </w:r>
      <w:r w:rsidR="005654FB">
        <w:t xml:space="preserve"> and Brenda </w:t>
      </w:r>
      <w:proofErr w:type="spellStart"/>
      <w:r w:rsidR="005654FB">
        <w:t>Fiddick</w:t>
      </w:r>
      <w:proofErr w:type="spellEnd"/>
      <w:r w:rsidR="005654FB">
        <w:t xml:space="preserve"> (bfiddick@fs.fed.us). Quantitative and descriptive changes were made, and the model's FRI for MZ20 more closely resembles that for MZs 10 and 19.</w:t>
      </w:r>
    </w:p>
    <w:p w:rsidR="005654FB" w:rsidP="005654FB" w:rsidRDefault="005654FB" w14:paraId="2507FE44" w14:textId="77777777"/>
    <w:p w:rsidR="005654FB" w:rsidP="005654FB" w:rsidRDefault="005654FB" w14:paraId="3EB24108" w14:textId="77777777">
      <w:pPr>
        <w:pStyle w:val="ReportSection"/>
      </w:pPr>
      <w:r>
        <w:t>Succession Classes</w:t>
      </w:r>
    </w:p>
    <w:p w:rsidR="005654FB" w:rsidP="005654FB" w:rsidRDefault="005654FB" w14:paraId="5775B0F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654FB" w:rsidP="005654FB" w:rsidRDefault="005654FB" w14:paraId="5911C9A4" w14:textId="77777777">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654FB" w:rsidP="005654FB" w:rsidRDefault="005654FB" w14:paraId="5A60800E" w14:textId="77777777"/>
    <w:p w:rsidR="005654FB" w:rsidP="005654FB" w:rsidRDefault="005654FB" w14:paraId="431D75D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08"/>
        <w:gridCol w:w="2148"/>
        <w:gridCol w:w="1956"/>
      </w:tblGrid>
      <w:tr w:rsidRPr="005654FB" w:rsidR="005654FB" w:rsidTr="005654FB" w14:paraId="71B277B5" w14:textId="77777777">
        <w:tc>
          <w:tcPr>
            <w:tcW w:w="1212" w:type="dxa"/>
            <w:tcBorders>
              <w:top w:val="single" w:color="auto" w:sz="2" w:space="0"/>
              <w:bottom w:val="single" w:color="000000" w:sz="12" w:space="0"/>
            </w:tcBorders>
            <w:shd w:val="clear" w:color="auto" w:fill="auto"/>
          </w:tcPr>
          <w:p w:rsidRPr="005654FB" w:rsidR="005654FB" w:rsidP="00205315" w:rsidRDefault="005654FB" w14:paraId="5C3EDAB9" w14:textId="77777777">
            <w:pPr>
              <w:rPr>
                <w:b/>
                <w:bCs/>
              </w:rPr>
            </w:pPr>
            <w:r w:rsidRPr="005654FB">
              <w:rPr>
                <w:b/>
                <w:bCs/>
              </w:rPr>
              <w:t>Symbol</w:t>
            </w:r>
          </w:p>
        </w:tc>
        <w:tc>
          <w:tcPr>
            <w:tcW w:w="1908" w:type="dxa"/>
            <w:tcBorders>
              <w:top w:val="single" w:color="auto" w:sz="2" w:space="0"/>
              <w:bottom w:val="single" w:color="000000" w:sz="12" w:space="0"/>
            </w:tcBorders>
            <w:shd w:val="clear" w:color="auto" w:fill="auto"/>
          </w:tcPr>
          <w:p w:rsidRPr="005654FB" w:rsidR="005654FB" w:rsidP="00205315" w:rsidRDefault="005654FB" w14:paraId="7259E3B0" w14:textId="77777777">
            <w:pPr>
              <w:rPr>
                <w:b/>
                <w:bCs/>
              </w:rPr>
            </w:pPr>
            <w:r w:rsidRPr="005654FB">
              <w:rPr>
                <w:b/>
                <w:bCs/>
              </w:rPr>
              <w:t>Scientific Name</w:t>
            </w:r>
          </w:p>
        </w:tc>
        <w:tc>
          <w:tcPr>
            <w:tcW w:w="2148" w:type="dxa"/>
            <w:tcBorders>
              <w:top w:val="single" w:color="auto" w:sz="2" w:space="0"/>
              <w:bottom w:val="single" w:color="000000" w:sz="12" w:space="0"/>
            </w:tcBorders>
            <w:shd w:val="clear" w:color="auto" w:fill="auto"/>
          </w:tcPr>
          <w:p w:rsidRPr="005654FB" w:rsidR="005654FB" w:rsidP="00205315" w:rsidRDefault="005654FB" w14:paraId="7D80DA22" w14:textId="77777777">
            <w:pPr>
              <w:rPr>
                <w:b/>
                <w:bCs/>
              </w:rPr>
            </w:pPr>
            <w:r w:rsidRPr="005654FB">
              <w:rPr>
                <w:b/>
                <w:bCs/>
              </w:rPr>
              <w:t>Common Name</w:t>
            </w:r>
          </w:p>
        </w:tc>
        <w:tc>
          <w:tcPr>
            <w:tcW w:w="1956" w:type="dxa"/>
            <w:tcBorders>
              <w:top w:val="single" w:color="auto" w:sz="2" w:space="0"/>
              <w:bottom w:val="single" w:color="000000" w:sz="12" w:space="0"/>
            </w:tcBorders>
            <w:shd w:val="clear" w:color="auto" w:fill="auto"/>
          </w:tcPr>
          <w:p w:rsidRPr="005654FB" w:rsidR="005654FB" w:rsidP="00205315" w:rsidRDefault="005654FB" w14:paraId="533D4CA7" w14:textId="77777777">
            <w:pPr>
              <w:rPr>
                <w:b/>
                <w:bCs/>
              </w:rPr>
            </w:pPr>
            <w:r w:rsidRPr="005654FB">
              <w:rPr>
                <w:b/>
                <w:bCs/>
              </w:rPr>
              <w:t>Canopy Position</w:t>
            </w:r>
          </w:p>
        </w:tc>
      </w:tr>
      <w:tr w:rsidRPr="005654FB" w:rsidR="005654FB" w:rsidTr="005654FB" w14:paraId="426C97C0" w14:textId="77777777">
        <w:tc>
          <w:tcPr>
            <w:tcW w:w="1212" w:type="dxa"/>
            <w:tcBorders>
              <w:top w:val="single" w:color="000000" w:sz="12" w:space="0"/>
            </w:tcBorders>
            <w:shd w:val="clear" w:color="auto" w:fill="auto"/>
          </w:tcPr>
          <w:p w:rsidRPr="005654FB" w:rsidR="005654FB" w:rsidP="00205315" w:rsidRDefault="005654FB" w14:paraId="66A7612C" w14:textId="77777777">
            <w:pPr>
              <w:rPr>
                <w:bCs/>
              </w:rPr>
            </w:pPr>
            <w:r w:rsidRPr="005654FB">
              <w:rPr>
                <w:bCs/>
              </w:rPr>
              <w:t>POPUL</w:t>
            </w:r>
          </w:p>
        </w:tc>
        <w:tc>
          <w:tcPr>
            <w:tcW w:w="1908" w:type="dxa"/>
            <w:tcBorders>
              <w:top w:val="single" w:color="000000" w:sz="12" w:space="0"/>
            </w:tcBorders>
            <w:shd w:val="clear" w:color="auto" w:fill="auto"/>
          </w:tcPr>
          <w:p w:rsidRPr="005654FB" w:rsidR="005654FB" w:rsidP="00205315" w:rsidRDefault="005654FB" w14:paraId="3E47D018" w14:textId="77777777">
            <w:proofErr w:type="spellStart"/>
            <w:r w:rsidRPr="005654FB">
              <w:t>Populus</w:t>
            </w:r>
            <w:proofErr w:type="spellEnd"/>
          </w:p>
        </w:tc>
        <w:tc>
          <w:tcPr>
            <w:tcW w:w="2148" w:type="dxa"/>
            <w:tcBorders>
              <w:top w:val="single" w:color="000000" w:sz="12" w:space="0"/>
            </w:tcBorders>
            <w:shd w:val="clear" w:color="auto" w:fill="auto"/>
          </w:tcPr>
          <w:p w:rsidRPr="005654FB" w:rsidR="005654FB" w:rsidP="00205315" w:rsidRDefault="005654FB" w14:paraId="6406ECE7" w14:textId="77777777">
            <w:r w:rsidRPr="005654FB">
              <w:t>Cottonwood</w:t>
            </w:r>
          </w:p>
        </w:tc>
        <w:tc>
          <w:tcPr>
            <w:tcW w:w="1956" w:type="dxa"/>
            <w:tcBorders>
              <w:top w:val="single" w:color="000000" w:sz="12" w:space="0"/>
            </w:tcBorders>
            <w:shd w:val="clear" w:color="auto" w:fill="auto"/>
          </w:tcPr>
          <w:p w:rsidRPr="005654FB" w:rsidR="005654FB" w:rsidP="00205315" w:rsidRDefault="005654FB" w14:paraId="78BB3EFE" w14:textId="77777777">
            <w:r w:rsidRPr="005654FB">
              <w:t>Upper</w:t>
            </w:r>
          </w:p>
        </w:tc>
      </w:tr>
      <w:tr w:rsidRPr="005654FB" w:rsidR="005654FB" w:rsidTr="005654FB" w14:paraId="2A1B4D5C" w14:textId="77777777">
        <w:tc>
          <w:tcPr>
            <w:tcW w:w="1212" w:type="dxa"/>
            <w:shd w:val="clear" w:color="auto" w:fill="auto"/>
          </w:tcPr>
          <w:p w:rsidRPr="005654FB" w:rsidR="005654FB" w:rsidP="00205315" w:rsidRDefault="005654FB" w14:paraId="5B0675CB" w14:textId="77777777">
            <w:pPr>
              <w:rPr>
                <w:bCs/>
              </w:rPr>
            </w:pPr>
            <w:r w:rsidRPr="005654FB">
              <w:rPr>
                <w:bCs/>
              </w:rPr>
              <w:t>SALIX</w:t>
            </w:r>
          </w:p>
        </w:tc>
        <w:tc>
          <w:tcPr>
            <w:tcW w:w="1908" w:type="dxa"/>
            <w:shd w:val="clear" w:color="auto" w:fill="auto"/>
          </w:tcPr>
          <w:p w:rsidRPr="005654FB" w:rsidR="005654FB" w:rsidP="00205315" w:rsidRDefault="005654FB" w14:paraId="21E1CCCE" w14:textId="77777777">
            <w:r w:rsidRPr="005654FB">
              <w:t>Salix</w:t>
            </w:r>
          </w:p>
        </w:tc>
        <w:tc>
          <w:tcPr>
            <w:tcW w:w="2148" w:type="dxa"/>
            <w:shd w:val="clear" w:color="auto" w:fill="auto"/>
          </w:tcPr>
          <w:p w:rsidRPr="005654FB" w:rsidR="005654FB" w:rsidP="00205315" w:rsidRDefault="005654FB" w14:paraId="6E7ACF6D" w14:textId="77777777">
            <w:r w:rsidRPr="005654FB">
              <w:t>Willow</w:t>
            </w:r>
          </w:p>
        </w:tc>
        <w:tc>
          <w:tcPr>
            <w:tcW w:w="1956" w:type="dxa"/>
            <w:shd w:val="clear" w:color="auto" w:fill="auto"/>
          </w:tcPr>
          <w:p w:rsidRPr="005654FB" w:rsidR="005654FB" w:rsidP="00205315" w:rsidRDefault="005654FB" w14:paraId="78748B92" w14:textId="77777777">
            <w:r w:rsidRPr="005654FB">
              <w:t>Upper</w:t>
            </w:r>
          </w:p>
        </w:tc>
      </w:tr>
      <w:tr w:rsidRPr="005654FB" w:rsidR="005654FB" w:rsidTr="005654FB" w14:paraId="3A096548" w14:textId="77777777">
        <w:tc>
          <w:tcPr>
            <w:tcW w:w="1212" w:type="dxa"/>
            <w:shd w:val="clear" w:color="auto" w:fill="auto"/>
          </w:tcPr>
          <w:p w:rsidRPr="005654FB" w:rsidR="005654FB" w:rsidP="00205315" w:rsidRDefault="005654FB" w14:paraId="74739CDC" w14:textId="77777777">
            <w:pPr>
              <w:rPr>
                <w:bCs/>
              </w:rPr>
            </w:pPr>
            <w:r w:rsidRPr="005654FB">
              <w:rPr>
                <w:bCs/>
              </w:rPr>
              <w:t>COSE16</w:t>
            </w:r>
          </w:p>
        </w:tc>
        <w:tc>
          <w:tcPr>
            <w:tcW w:w="1908" w:type="dxa"/>
            <w:shd w:val="clear" w:color="auto" w:fill="auto"/>
          </w:tcPr>
          <w:p w:rsidRPr="005654FB" w:rsidR="005654FB" w:rsidP="00205315" w:rsidRDefault="005654FB" w14:paraId="125586FB" w14:textId="77777777">
            <w:proofErr w:type="spellStart"/>
            <w:r w:rsidRPr="005654FB">
              <w:t>Cornus</w:t>
            </w:r>
            <w:proofErr w:type="spellEnd"/>
            <w:r w:rsidRPr="005654FB">
              <w:t xml:space="preserve"> </w:t>
            </w:r>
            <w:proofErr w:type="spellStart"/>
            <w:r w:rsidRPr="005654FB">
              <w:t>sericea</w:t>
            </w:r>
            <w:proofErr w:type="spellEnd"/>
          </w:p>
        </w:tc>
        <w:tc>
          <w:tcPr>
            <w:tcW w:w="2148" w:type="dxa"/>
            <w:shd w:val="clear" w:color="auto" w:fill="auto"/>
          </w:tcPr>
          <w:p w:rsidRPr="005654FB" w:rsidR="005654FB" w:rsidP="00205315" w:rsidRDefault="005654FB" w14:paraId="762803C0" w14:textId="77777777">
            <w:proofErr w:type="spellStart"/>
            <w:r w:rsidRPr="005654FB">
              <w:t>Redosier</w:t>
            </w:r>
            <w:proofErr w:type="spellEnd"/>
            <w:r w:rsidRPr="005654FB">
              <w:t xml:space="preserve"> dogwood</w:t>
            </w:r>
          </w:p>
        </w:tc>
        <w:tc>
          <w:tcPr>
            <w:tcW w:w="1956" w:type="dxa"/>
            <w:shd w:val="clear" w:color="auto" w:fill="auto"/>
          </w:tcPr>
          <w:p w:rsidRPr="005654FB" w:rsidR="005654FB" w:rsidP="00205315" w:rsidRDefault="005654FB" w14:paraId="7824E245" w14:textId="77777777">
            <w:r w:rsidRPr="005654FB">
              <w:t>Middle</w:t>
            </w:r>
          </w:p>
        </w:tc>
      </w:tr>
      <w:tr w:rsidRPr="005654FB" w:rsidR="005654FB" w:rsidTr="005654FB" w14:paraId="4FE58439" w14:textId="77777777">
        <w:tc>
          <w:tcPr>
            <w:tcW w:w="1212" w:type="dxa"/>
            <w:shd w:val="clear" w:color="auto" w:fill="auto"/>
          </w:tcPr>
          <w:p w:rsidRPr="005654FB" w:rsidR="005654FB" w:rsidP="00205315" w:rsidRDefault="005654FB" w14:paraId="157F4A82" w14:textId="77777777">
            <w:pPr>
              <w:rPr>
                <w:bCs/>
              </w:rPr>
            </w:pPr>
            <w:r w:rsidRPr="005654FB">
              <w:rPr>
                <w:bCs/>
              </w:rPr>
              <w:t>CAREX</w:t>
            </w:r>
          </w:p>
        </w:tc>
        <w:tc>
          <w:tcPr>
            <w:tcW w:w="1908" w:type="dxa"/>
            <w:shd w:val="clear" w:color="auto" w:fill="auto"/>
          </w:tcPr>
          <w:p w:rsidRPr="005654FB" w:rsidR="005654FB" w:rsidP="00205315" w:rsidRDefault="005654FB" w14:paraId="4F5A1E6A" w14:textId="77777777">
            <w:proofErr w:type="spellStart"/>
            <w:r w:rsidRPr="005654FB">
              <w:t>Carex</w:t>
            </w:r>
            <w:proofErr w:type="spellEnd"/>
          </w:p>
        </w:tc>
        <w:tc>
          <w:tcPr>
            <w:tcW w:w="2148" w:type="dxa"/>
            <w:shd w:val="clear" w:color="auto" w:fill="auto"/>
          </w:tcPr>
          <w:p w:rsidRPr="005654FB" w:rsidR="005654FB" w:rsidP="00205315" w:rsidRDefault="005654FB" w14:paraId="4F4DA365" w14:textId="77777777">
            <w:r w:rsidRPr="005654FB">
              <w:t>Sedge</w:t>
            </w:r>
          </w:p>
        </w:tc>
        <w:tc>
          <w:tcPr>
            <w:tcW w:w="1956" w:type="dxa"/>
            <w:shd w:val="clear" w:color="auto" w:fill="auto"/>
          </w:tcPr>
          <w:p w:rsidRPr="005654FB" w:rsidR="005654FB" w:rsidP="00205315" w:rsidRDefault="005654FB" w14:paraId="70824031" w14:textId="77777777">
            <w:r w:rsidRPr="005654FB">
              <w:t>Lower</w:t>
            </w:r>
          </w:p>
        </w:tc>
      </w:tr>
    </w:tbl>
    <w:p w:rsidR="005654FB" w:rsidP="005654FB" w:rsidRDefault="005654FB" w14:paraId="330E5241" w14:textId="77777777"/>
    <w:p w:rsidR="005654FB" w:rsidP="005654FB" w:rsidRDefault="005654FB" w14:paraId="47764F65" w14:textId="77777777">
      <w:pPr>
        <w:pStyle w:val="SClassInfoPara"/>
      </w:pPr>
      <w:r>
        <w:t>Description</w:t>
      </w:r>
    </w:p>
    <w:p w:rsidR="005654FB" w:rsidP="005654FB" w:rsidRDefault="005654FB" w14:paraId="20D0AFFB" w14:textId="77777777">
      <w:r>
        <w:t>Immediate post-disturbance responses are dependent on pre-burn vegetation composition. This class is dominated by sprouting shrubs that respond favorably to fire. Species composition is highly variable. Silt, gravel, cobble</w:t>
      </w:r>
      <w:r w:rsidR="00653B39">
        <w:t>,</w:t>
      </w:r>
      <w:r>
        <w:t xml:space="preserve"> and woody debris may be common. </w:t>
      </w:r>
    </w:p>
    <w:p w:rsidR="005654FB" w:rsidP="005654FB" w:rsidRDefault="005654FB" w14:paraId="00FC054E" w14:textId="77777777"/>
    <w:p>
      <w:r>
        <w:rPr>
          <w:i/>
          <w:u w:val="single"/>
        </w:rPr>
        <w:t>Maximum Tree Size Class</w:t>
      </w:r>
      <w:br/>
      <w:r>
        <w:t>None</w:t>
      </w:r>
    </w:p>
    <w:p w:rsidR="005654FB" w:rsidP="005654FB" w:rsidRDefault="005654FB" w14:paraId="5F6441FF" w14:textId="77777777">
      <w:pPr>
        <w:pStyle w:val="InfoPara"/>
        <w:pBdr>
          <w:top w:val="single" w:color="auto" w:sz="4" w:space="1"/>
        </w:pBdr>
      </w:pPr>
      <w:r xmlns:w="http://schemas.openxmlformats.org/wordprocessingml/2006/main">
        <w:t>Class B</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654FB" w:rsidP="005654FB" w:rsidRDefault="005654FB" w14:paraId="0A03B391" w14:textId="77777777"/>
    <w:p w:rsidR="005654FB" w:rsidP="005654FB" w:rsidRDefault="005654FB" w14:paraId="4B0C76C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08"/>
        <w:gridCol w:w="2148"/>
        <w:gridCol w:w="1956"/>
      </w:tblGrid>
      <w:tr w:rsidRPr="005654FB" w:rsidR="005654FB" w:rsidTr="005654FB" w14:paraId="3E38CE0D" w14:textId="77777777">
        <w:tc>
          <w:tcPr>
            <w:tcW w:w="1212" w:type="dxa"/>
            <w:tcBorders>
              <w:top w:val="single" w:color="auto" w:sz="2" w:space="0"/>
              <w:bottom w:val="single" w:color="000000" w:sz="12" w:space="0"/>
            </w:tcBorders>
            <w:shd w:val="clear" w:color="auto" w:fill="auto"/>
          </w:tcPr>
          <w:p w:rsidRPr="005654FB" w:rsidR="005654FB" w:rsidP="005E485A" w:rsidRDefault="005654FB" w14:paraId="383667FF" w14:textId="77777777">
            <w:pPr>
              <w:rPr>
                <w:b/>
                <w:bCs/>
              </w:rPr>
            </w:pPr>
            <w:r w:rsidRPr="005654FB">
              <w:rPr>
                <w:b/>
                <w:bCs/>
              </w:rPr>
              <w:t>Symbol</w:t>
            </w:r>
          </w:p>
        </w:tc>
        <w:tc>
          <w:tcPr>
            <w:tcW w:w="1908" w:type="dxa"/>
            <w:tcBorders>
              <w:top w:val="single" w:color="auto" w:sz="2" w:space="0"/>
              <w:bottom w:val="single" w:color="000000" w:sz="12" w:space="0"/>
            </w:tcBorders>
            <w:shd w:val="clear" w:color="auto" w:fill="auto"/>
          </w:tcPr>
          <w:p w:rsidRPr="005654FB" w:rsidR="005654FB" w:rsidP="005E485A" w:rsidRDefault="005654FB" w14:paraId="1A406D18" w14:textId="77777777">
            <w:pPr>
              <w:rPr>
                <w:b/>
                <w:bCs/>
              </w:rPr>
            </w:pPr>
            <w:r w:rsidRPr="005654FB">
              <w:rPr>
                <w:b/>
                <w:bCs/>
              </w:rPr>
              <w:t>Scientific Name</w:t>
            </w:r>
          </w:p>
        </w:tc>
        <w:tc>
          <w:tcPr>
            <w:tcW w:w="2148" w:type="dxa"/>
            <w:tcBorders>
              <w:top w:val="single" w:color="auto" w:sz="2" w:space="0"/>
              <w:bottom w:val="single" w:color="000000" w:sz="12" w:space="0"/>
            </w:tcBorders>
            <w:shd w:val="clear" w:color="auto" w:fill="auto"/>
          </w:tcPr>
          <w:p w:rsidRPr="005654FB" w:rsidR="005654FB" w:rsidP="005E485A" w:rsidRDefault="005654FB" w14:paraId="34A5E1D3" w14:textId="77777777">
            <w:pPr>
              <w:rPr>
                <w:b/>
                <w:bCs/>
              </w:rPr>
            </w:pPr>
            <w:r w:rsidRPr="005654FB">
              <w:rPr>
                <w:b/>
                <w:bCs/>
              </w:rPr>
              <w:t>Common Name</w:t>
            </w:r>
          </w:p>
        </w:tc>
        <w:tc>
          <w:tcPr>
            <w:tcW w:w="1956" w:type="dxa"/>
            <w:tcBorders>
              <w:top w:val="single" w:color="auto" w:sz="2" w:space="0"/>
              <w:bottom w:val="single" w:color="000000" w:sz="12" w:space="0"/>
            </w:tcBorders>
            <w:shd w:val="clear" w:color="auto" w:fill="auto"/>
          </w:tcPr>
          <w:p w:rsidRPr="005654FB" w:rsidR="005654FB" w:rsidP="005E485A" w:rsidRDefault="005654FB" w14:paraId="5AD526A7" w14:textId="77777777">
            <w:pPr>
              <w:rPr>
                <w:b/>
                <w:bCs/>
              </w:rPr>
            </w:pPr>
            <w:r w:rsidRPr="005654FB">
              <w:rPr>
                <w:b/>
                <w:bCs/>
              </w:rPr>
              <w:t>Canopy Position</w:t>
            </w:r>
          </w:p>
        </w:tc>
      </w:tr>
      <w:tr w:rsidRPr="005654FB" w:rsidR="005654FB" w:rsidTr="005654FB" w14:paraId="468502F8" w14:textId="77777777">
        <w:tc>
          <w:tcPr>
            <w:tcW w:w="1212" w:type="dxa"/>
            <w:tcBorders>
              <w:top w:val="single" w:color="000000" w:sz="12" w:space="0"/>
            </w:tcBorders>
            <w:shd w:val="clear" w:color="auto" w:fill="auto"/>
          </w:tcPr>
          <w:p w:rsidRPr="005654FB" w:rsidR="005654FB" w:rsidP="005E485A" w:rsidRDefault="005654FB" w14:paraId="2445AC74" w14:textId="77777777">
            <w:pPr>
              <w:rPr>
                <w:bCs/>
              </w:rPr>
            </w:pPr>
            <w:r w:rsidRPr="005654FB">
              <w:rPr>
                <w:bCs/>
              </w:rPr>
              <w:t>POPUL</w:t>
            </w:r>
          </w:p>
        </w:tc>
        <w:tc>
          <w:tcPr>
            <w:tcW w:w="1908" w:type="dxa"/>
            <w:tcBorders>
              <w:top w:val="single" w:color="000000" w:sz="12" w:space="0"/>
            </w:tcBorders>
            <w:shd w:val="clear" w:color="auto" w:fill="auto"/>
          </w:tcPr>
          <w:p w:rsidRPr="005654FB" w:rsidR="005654FB" w:rsidP="005E485A" w:rsidRDefault="005654FB" w14:paraId="1FF5AEEA" w14:textId="77777777">
            <w:proofErr w:type="spellStart"/>
            <w:r w:rsidRPr="005654FB">
              <w:t>Populus</w:t>
            </w:r>
            <w:proofErr w:type="spellEnd"/>
          </w:p>
        </w:tc>
        <w:tc>
          <w:tcPr>
            <w:tcW w:w="2148" w:type="dxa"/>
            <w:tcBorders>
              <w:top w:val="single" w:color="000000" w:sz="12" w:space="0"/>
            </w:tcBorders>
            <w:shd w:val="clear" w:color="auto" w:fill="auto"/>
          </w:tcPr>
          <w:p w:rsidRPr="005654FB" w:rsidR="005654FB" w:rsidP="005E485A" w:rsidRDefault="005654FB" w14:paraId="2F441981" w14:textId="77777777">
            <w:r w:rsidRPr="005654FB">
              <w:t>Cottonwood</w:t>
            </w:r>
          </w:p>
        </w:tc>
        <w:tc>
          <w:tcPr>
            <w:tcW w:w="1956" w:type="dxa"/>
            <w:tcBorders>
              <w:top w:val="single" w:color="000000" w:sz="12" w:space="0"/>
            </w:tcBorders>
            <w:shd w:val="clear" w:color="auto" w:fill="auto"/>
          </w:tcPr>
          <w:p w:rsidRPr="005654FB" w:rsidR="005654FB" w:rsidP="005E485A" w:rsidRDefault="005654FB" w14:paraId="6293432D" w14:textId="77777777">
            <w:r w:rsidRPr="005654FB">
              <w:t>Upper</w:t>
            </w:r>
          </w:p>
        </w:tc>
      </w:tr>
      <w:tr w:rsidRPr="005654FB" w:rsidR="005654FB" w:rsidTr="005654FB" w14:paraId="2072ED82" w14:textId="77777777">
        <w:tc>
          <w:tcPr>
            <w:tcW w:w="1212" w:type="dxa"/>
            <w:shd w:val="clear" w:color="auto" w:fill="auto"/>
          </w:tcPr>
          <w:p w:rsidRPr="005654FB" w:rsidR="005654FB" w:rsidP="005E485A" w:rsidRDefault="005654FB" w14:paraId="77CFB3F7" w14:textId="77777777">
            <w:pPr>
              <w:rPr>
                <w:bCs/>
              </w:rPr>
            </w:pPr>
            <w:r w:rsidRPr="005654FB">
              <w:rPr>
                <w:bCs/>
              </w:rPr>
              <w:t>SALIX</w:t>
            </w:r>
          </w:p>
        </w:tc>
        <w:tc>
          <w:tcPr>
            <w:tcW w:w="1908" w:type="dxa"/>
            <w:shd w:val="clear" w:color="auto" w:fill="auto"/>
          </w:tcPr>
          <w:p w:rsidRPr="005654FB" w:rsidR="005654FB" w:rsidP="005E485A" w:rsidRDefault="005654FB" w14:paraId="7637FCB2" w14:textId="77777777">
            <w:r w:rsidRPr="005654FB">
              <w:t>Salix</w:t>
            </w:r>
          </w:p>
        </w:tc>
        <w:tc>
          <w:tcPr>
            <w:tcW w:w="2148" w:type="dxa"/>
            <w:shd w:val="clear" w:color="auto" w:fill="auto"/>
          </w:tcPr>
          <w:p w:rsidRPr="005654FB" w:rsidR="005654FB" w:rsidP="005E485A" w:rsidRDefault="005654FB" w14:paraId="5CE61D24" w14:textId="77777777">
            <w:r w:rsidRPr="005654FB">
              <w:t>Willow</w:t>
            </w:r>
          </w:p>
        </w:tc>
        <w:tc>
          <w:tcPr>
            <w:tcW w:w="1956" w:type="dxa"/>
            <w:shd w:val="clear" w:color="auto" w:fill="auto"/>
          </w:tcPr>
          <w:p w:rsidRPr="005654FB" w:rsidR="005654FB" w:rsidP="005E485A" w:rsidRDefault="005654FB" w14:paraId="02F8DE40" w14:textId="77777777">
            <w:r w:rsidRPr="005654FB">
              <w:t>Mid-Upper</w:t>
            </w:r>
          </w:p>
        </w:tc>
      </w:tr>
      <w:tr w:rsidRPr="005654FB" w:rsidR="005654FB" w:rsidTr="005654FB" w14:paraId="6296C45C" w14:textId="77777777">
        <w:tc>
          <w:tcPr>
            <w:tcW w:w="1212" w:type="dxa"/>
            <w:shd w:val="clear" w:color="auto" w:fill="auto"/>
          </w:tcPr>
          <w:p w:rsidRPr="005654FB" w:rsidR="005654FB" w:rsidP="005E485A" w:rsidRDefault="005654FB" w14:paraId="740E46CD" w14:textId="77777777">
            <w:pPr>
              <w:rPr>
                <w:bCs/>
              </w:rPr>
            </w:pPr>
            <w:r w:rsidRPr="005654FB">
              <w:rPr>
                <w:bCs/>
              </w:rPr>
              <w:t>COSE16</w:t>
            </w:r>
          </w:p>
        </w:tc>
        <w:tc>
          <w:tcPr>
            <w:tcW w:w="1908" w:type="dxa"/>
            <w:shd w:val="clear" w:color="auto" w:fill="auto"/>
          </w:tcPr>
          <w:p w:rsidRPr="005654FB" w:rsidR="005654FB" w:rsidP="005E485A" w:rsidRDefault="005654FB" w14:paraId="62BF2E9E" w14:textId="77777777">
            <w:proofErr w:type="spellStart"/>
            <w:r w:rsidRPr="005654FB">
              <w:t>Cornus</w:t>
            </w:r>
            <w:proofErr w:type="spellEnd"/>
            <w:r w:rsidRPr="005654FB">
              <w:t xml:space="preserve"> </w:t>
            </w:r>
            <w:proofErr w:type="spellStart"/>
            <w:r w:rsidRPr="005654FB">
              <w:t>sericea</w:t>
            </w:r>
            <w:proofErr w:type="spellEnd"/>
          </w:p>
        </w:tc>
        <w:tc>
          <w:tcPr>
            <w:tcW w:w="2148" w:type="dxa"/>
            <w:shd w:val="clear" w:color="auto" w:fill="auto"/>
          </w:tcPr>
          <w:p w:rsidRPr="005654FB" w:rsidR="005654FB" w:rsidP="005E485A" w:rsidRDefault="005654FB" w14:paraId="5B6C3EE2" w14:textId="77777777">
            <w:proofErr w:type="spellStart"/>
            <w:r w:rsidRPr="005654FB">
              <w:t>Redosier</w:t>
            </w:r>
            <w:proofErr w:type="spellEnd"/>
            <w:r w:rsidRPr="005654FB">
              <w:t xml:space="preserve"> dogwood</w:t>
            </w:r>
          </w:p>
        </w:tc>
        <w:tc>
          <w:tcPr>
            <w:tcW w:w="1956" w:type="dxa"/>
            <w:shd w:val="clear" w:color="auto" w:fill="auto"/>
          </w:tcPr>
          <w:p w:rsidRPr="005654FB" w:rsidR="005654FB" w:rsidP="005E485A" w:rsidRDefault="005654FB" w14:paraId="62B55BFC" w14:textId="77777777">
            <w:r w:rsidRPr="005654FB">
              <w:t>Middle</w:t>
            </w:r>
          </w:p>
        </w:tc>
      </w:tr>
    </w:tbl>
    <w:p w:rsidR="005654FB" w:rsidP="005654FB" w:rsidRDefault="005654FB" w14:paraId="4CF7FA40" w14:textId="77777777"/>
    <w:p w:rsidR="005654FB" w:rsidP="005654FB" w:rsidRDefault="005654FB" w14:paraId="60485A9D" w14:textId="77777777">
      <w:pPr>
        <w:pStyle w:val="SClassInfoPara"/>
      </w:pPr>
      <w:r>
        <w:t>Description</w:t>
      </w:r>
    </w:p>
    <w:p w:rsidR="005654FB" w:rsidP="005654FB" w:rsidRDefault="005654FB" w14:paraId="52C9326B" w14:textId="5A7FA9B7">
      <w:r>
        <w:t>Highly dependent on the hydrologic regime. Vegetation composition includes tall shrubs and small trees (cottonwood, aspen</w:t>
      </w:r>
      <w:r w:rsidR="00653B39">
        <w:t>,</w:t>
      </w:r>
      <w:r>
        <w:t xml:space="preserve"> and conifers). This class persists for </w:t>
      </w:r>
      <w:r w:rsidR="00653B39">
        <w:t>~</w:t>
      </w:r>
      <w:r>
        <w:t>20-25yrs.</w:t>
      </w:r>
    </w:p>
    <w:p w:rsidR="005654FB" w:rsidP="005654FB" w:rsidRDefault="005654FB" w14:paraId="0BA0169B" w14:textId="77777777"/>
    <w:p>
      <w:r>
        <w:rPr>
          <w:i/>
          <w:u w:val="single"/>
        </w:rPr>
        <w:t>Maximum Tree Size Class</w:t>
      </w:r>
      <w:br/>
      <w:r>
        <w:t>Sapling &gt;4.5ft; &lt;5"DBH</w:t>
      </w:r>
    </w:p>
    <w:p w:rsidR="005654FB" w:rsidP="005654FB" w:rsidRDefault="005654FB" w14:paraId="178FE2B9" w14:textId="77777777">
      <w:pPr>
        <w:pStyle w:val="InfoPara"/>
        <w:pBdr>
          <w:top w:val="single" w:color="auto" w:sz="4" w:space="1"/>
        </w:pBdr>
      </w:pPr>
      <w:r xmlns:w="http://schemas.openxmlformats.org/wordprocessingml/2006/main">
        <w:t>Class C</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654FB" w:rsidP="005654FB" w:rsidRDefault="005654FB" w14:paraId="6FCAF5FD" w14:textId="77777777"/>
    <w:p w:rsidR="005654FB" w:rsidP="005654FB" w:rsidRDefault="005654FB" w14:paraId="584BE12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84"/>
        <w:gridCol w:w="2700"/>
        <w:gridCol w:w="1956"/>
      </w:tblGrid>
      <w:tr w:rsidRPr="005654FB" w:rsidR="005654FB" w:rsidTr="005654FB" w14:paraId="53B1AAD0" w14:textId="77777777">
        <w:tc>
          <w:tcPr>
            <w:tcW w:w="1128" w:type="dxa"/>
            <w:tcBorders>
              <w:top w:val="single" w:color="auto" w:sz="2" w:space="0"/>
              <w:bottom w:val="single" w:color="000000" w:sz="12" w:space="0"/>
            </w:tcBorders>
            <w:shd w:val="clear" w:color="auto" w:fill="auto"/>
          </w:tcPr>
          <w:p w:rsidRPr="005654FB" w:rsidR="005654FB" w:rsidP="00573E73" w:rsidRDefault="005654FB" w14:paraId="72093A8E" w14:textId="77777777">
            <w:pPr>
              <w:rPr>
                <w:b/>
                <w:bCs/>
              </w:rPr>
            </w:pPr>
            <w:r w:rsidRPr="005654FB">
              <w:rPr>
                <w:b/>
                <w:bCs/>
              </w:rPr>
              <w:t>Symbol</w:t>
            </w:r>
          </w:p>
        </w:tc>
        <w:tc>
          <w:tcPr>
            <w:tcW w:w="2484" w:type="dxa"/>
            <w:tcBorders>
              <w:top w:val="single" w:color="auto" w:sz="2" w:space="0"/>
              <w:bottom w:val="single" w:color="000000" w:sz="12" w:space="0"/>
            </w:tcBorders>
            <w:shd w:val="clear" w:color="auto" w:fill="auto"/>
          </w:tcPr>
          <w:p w:rsidRPr="005654FB" w:rsidR="005654FB" w:rsidP="00573E73" w:rsidRDefault="005654FB" w14:paraId="67184BED" w14:textId="77777777">
            <w:pPr>
              <w:rPr>
                <w:b/>
                <w:bCs/>
              </w:rPr>
            </w:pPr>
            <w:r w:rsidRPr="005654FB">
              <w:rPr>
                <w:b/>
                <w:bCs/>
              </w:rPr>
              <w:t>Scientific Name</w:t>
            </w:r>
          </w:p>
        </w:tc>
        <w:tc>
          <w:tcPr>
            <w:tcW w:w="2700" w:type="dxa"/>
            <w:tcBorders>
              <w:top w:val="single" w:color="auto" w:sz="2" w:space="0"/>
              <w:bottom w:val="single" w:color="000000" w:sz="12" w:space="0"/>
            </w:tcBorders>
            <w:shd w:val="clear" w:color="auto" w:fill="auto"/>
          </w:tcPr>
          <w:p w:rsidRPr="005654FB" w:rsidR="005654FB" w:rsidP="00573E73" w:rsidRDefault="005654FB" w14:paraId="2A25A422" w14:textId="77777777">
            <w:pPr>
              <w:rPr>
                <w:b/>
                <w:bCs/>
              </w:rPr>
            </w:pPr>
            <w:r w:rsidRPr="005654FB">
              <w:rPr>
                <w:b/>
                <w:bCs/>
              </w:rPr>
              <w:t>Common Name</w:t>
            </w:r>
          </w:p>
        </w:tc>
        <w:tc>
          <w:tcPr>
            <w:tcW w:w="1956" w:type="dxa"/>
            <w:tcBorders>
              <w:top w:val="single" w:color="auto" w:sz="2" w:space="0"/>
              <w:bottom w:val="single" w:color="000000" w:sz="12" w:space="0"/>
            </w:tcBorders>
            <w:shd w:val="clear" w:color="auto" w:fill="auto"/>
          </w:tcPr>
          <w:p w:rsidRPr="005654FB" w:rsidR="005654FB" w:rsidP="00573E73" w:rsidRDefault="005654FB" w14:paraId="01166873" w14:textId="77777777">
            <w:pPr>
              <w:rPr>
                <w:b/>
                <w:bCs/>
              </w:rPr>
            </w:pPr>
            <w:r w:rsidRPr="005654FB">
              <w:rPr>
                <w:b/>
                <w:bCs/>
              </w:rPr>
              <w:t>Canopy Position</w:t>
            </w:r>
          </w:p>
        </w:tc>
      </w:tr>
      <w:tr w:rsidRPr="005654FB" w:rsidR="005654FB" w:rsidTr="005654FB" w14:paraId="70F0E4BB" w14:textId="77777777">
        <w:tc>
          <w:tcPr>
            <w:tcW w:w="1128" w:type="dxa"/>
            <w:tcBorders>
              <w:top w:val="single" w:color="000000" w:sz="12" w:space="0"/>
            </w:tcBorders>
            <w:shd w:val="clear" w:color="auto" w:fill="auto"/>
          </w:tcPr>
          <w:p w:rsidRPr="005654FB" w:rsidR="005654FB" w:rsidP="00573E73" w:rsidRDefault="005654FB" w14:paraId="61F2DFC1" w14:textId="77777777">
            <w:pPr>
              <w:rPr>
                <w:bCs/>
              </w:rPr>
            </w:pPr>
            <w:r w:rsidRPr="005654FB">
              <w:rPr>
                <w:bCs/>
              </w:rPr>
              <w:t>POPUL</w:t>
            </w:r>
          </w:p>
        </w:tc>
        <w:tc>
          <w:tcPr>
            <w:tcW w:w="2484" w:type="dxa"/>
            <w:tcBorders>
              <w:top w:val="single" w:color="000000" w:sz="12" w:space="0"/>
            </w:tcBorders>
            <w:shd w:val="clear" w:color="auto" w:fill="auto"/>
          </w:tcPr>
          <w:p w:rsidRPr="005654FB" w:rsidR="005654FB" w:rsidP="00573E73" w:rsidRDefault="005654FB" w14:paraId="3D7ECD86" w14:textId="77777777">
            <w:proofErr w:type="spellStart"/>
            <w:r w:rsidRPr="005654FB">
              <w:t>Populus</w:t>
            </w:r>
            <w:proofErr w:type="spellEnd"/>
          </w:p>
        </w:tc>
        <w:tc>
          <w:tcPr>
            <w:tcW w:w="2700" w:type="dxa"/>
            <w:tcBorders>
              <w:top w:val="single" w:color="000000" w:sz="12" w:space="0"/>
            </w:tcBorders>
            <w:shd w:val="clear" w:color="auto" w:fill="auto"/>
          </w:tcPr>
          <w:p w:rsidRPr="005654FB" w:rsidR="005654FB" w:rsidP="00573E73" w:rsidRDefault="005654FB" w14:paraId="449F626C" w14:textId="77777777">
            <w:r w:rsidRPr="005654FB">
              <w:t>Cottonwood</w:t>
            </w:r>
          </w:p>
        </w:tc>
        <w:tc>
          <w:tcPr>
            <w:tcW w:w="1956" w:type="dxa"/>
            <w:tcBorders>
              <w:top w:val="single" w:color="000000" w:sz="12" w:space="0"/>
            </w:tcBorders>
            <w:shd w:val="clear" w:color="auto" w:fill="auto"/>
          </w:tcPr>
          <w:p w:rsidRPr="005654FB" w:rsidR="005654FB" w:rsidP="00573E73" w:rsidRDefault="005654FB" w14:paraId="318FB3C9" w14:textId="77777777">
            <w:r w:rsidRPr="005654FB">
              <w:t>Upper</w:t>
            </w:r>
          </w:p>
        </w:tc>
      </w:tr>
      <w:tr w:rsidRPr="005654FB" w:rsidR="005654FB" w:rsidTr="005654FB" w14:paraId="4B4BC78B" w14:textId="77777777">
        <w:tc>
          <w:tcPr>
            <w:tcW w:w="1128" w:type="dxa"/>
            <w:shd w:val="clear" w:color="auto" w:fill="auto"/>
          </w:tcPr>
          <w:p w:rsidRPr="005654FB" w:rsidR="005654FB" w:rsidP="00573E73" w:rsidRDefault="005654FB" w14:paraId="6483DB68" w14:textId="77777777">
            <w:pPr>
              <w:rPr>
                <w:bCs/>
              </w:rPr>
            </w:pPr>
            <w:r w:rsidRPr="005654FB">
              <w:rPr>
                <w:bCs/>
              </w:rPr>
              <w:t>PINUS</w:t>
            </w:r>
          </w:p>
        </w:tc>
        <w:tc>
          <w:tcPr>
            <w:tcW w:w="2484" w:type="dxa"/>
            <w:shd w:val="clear" w:color="auto" w:fill="auto"/>
          </w:tcPr>
          <w:p w:rsidRPr="005654FB" w:rsidR="005654FB" w:rsidP="00573E73" w:rsidRDefault="005654FB" w14:paraId="31852030" w14:textId="77777777">
            <w:r w:rsidRPr="005654FB">
              <w:t>Pinus</w:t>
            </w:r>
          </w:p>
        </w:tc>
        <w:tc>
          <w:tcPr>
            <w:tcW w:w="2700" w:type="dxa"/>
            <w:shd w:val="clear" w:color="auto" w:fill="auto"/>
          </w:tcPr>
          <w:p w:rsidRPr="005654FB" w:rsidR="005654FB" w:rsidP="00573E73" w:rsidRDefault="005654FB" w14:paraId="5B30B17F" w14:textId="77777777">
            <w:r w:rsidRPr="005654FB">
              <w:t>Pine</w:t>
            </w:r>
          </w:p>
        </w:tc>
        <w:tc>
          <w:tcPr>
            <w:tcW w:w="1956" w:type="dxa"/>
            <w:shd w:val="clear" w:color="auto" w:fill="auto"/>
          </w:tcPr>
          <w:p w:rsidRPr="005654FB" w:rsidR="005654FB" w:rsidP="00573E73" w:rsidRDefault="005654FB" w14:paraId="761629BA" w14:textId="77777777">
            <w:r w:rsidRPr="005654FB">
              <w:t>Upper</w:t>
            </w:r>
          </w:p>
        </w:tc>
      </w:tr>
      <w:tr w:rsidRPr="005654FB" w:rsidR="005654FB" w:rsidTr="005654FB" w14:paraId="325E4AED" w14:textId="77777777">
        <w:tc>
          <w:tcPr>
            <w:tcW w:w="1128" w:type="dxa"/>
            <w:shd w:val="clear" w:color="auto" w:fill="auto"/>
          </w:tcPr>
          <w:p w:rsidRPr="005654FB" w:rsidR="005654FB" w:rsidP="00573E73" w:rsidRDefault="005654FB" w14:paraId="35330CD1" w14:textId="77777777">
            <w:pPr>
              <w:rPr>
                <w:bCs/>
              </w:rPr>
            </w:pPr>
            <w:r w:rsidRPr="005654FB">
              <w:rPr>
                <w:bCs/>
              </w:rPr>
              <w:t>SALIX</w:t>
            </w:r>
          </w:p>
        </w:tc>
        <w:tc>
          <w:tcPr>
            <w:tcW w:w="2484" w:type="dxa"/>
            <w:shd w:val="clear" w:color="auto" w:fill="auto"/>
          </w:tcPr>
          <w:p w:rsidRPr="005654FB" w:rsidR="005654FB" w:rsidP="00573E73" w:rsidRDefault="005654FB" w14:paraId="027F884B" w14:textId="77777777">
            <w:r w:rsidRPr="005654FB">
              <w:t>Salix</w:t>
            </w:r>
          </w:p>
        </w:tc>
        <w:tc>
          <w:tcPr>
            <w:tcW w:w="2700" w:type="dxa"/>
            <w:shd w:val="clear" w:color="auto" w:fill="auto"/>
          </w:tcPr>
          <w:p w:rsidRPr="005654FB" w:rsidR="005654FB" w:rsidP="00573E73" w:rsidRDefault="005654FB" w14:paraId="719C5AF8" w14:textId="77777777">
            <w:r w:rsidRPr="005654FB">
              <w:t>Willow</w:t>
            </w:r>
          </w:p>
        </w:tc>
        <w:tc>
          <w:tcPr>
            <w:tcW w:w="1956" w:type="dxa"/>
            <w:shd w:val="clear" w:color="auto" w:fill="auto"/>
          </w:tcPr>
          <w:p w:rsidRPr="005654FB" w:rsidR="005654FB" w:rsidP="00573E73" w:rsidRDefault="005654FB" w14:paraId="165ABF01" w14:textId="77777777">
            <w:r w:rsidRPr="005654FB">
              <w:t>Mid-Upper</w:t>
            </w:r>
          </w:p>
        </w:tc>
      </w:tr>
      <w:tr w:rsidRPr="005654FB" w:rsidR="005654FB" w:rsidTr="005654FB" w14:paraId="4F834E75" w14:textId="77777777">
        <w:tc>
          <w:tcPr>
            <w:tcW w:w="1128" w:type="dxa"/>
            <w:shd w:val="clear" w:color="auto" w:fill="auto"/>
          </w:tcPr>
          <w:p w:rsidRPr="005654FB" w:rsidR="005654FB" w:rsidP="00573E73" w:rsidRDefault="005654FB" w14:paraId="666D3D76" w14:textId="77777777">
            <w:pPr>
              <w:rPr>
                <w:bCs/>
              </w:rPr>
            </w:pPr>
            <w:r w:rsidRPr="005654FB">
              <w:rPr>
                <w:bCs/>
              </w:rPr>
              <w:t>JUSC2</w:t>
            </w:r>
          </w:p>
        </w:tc>
        <w:tc>
          <w:tcPr>
            <w:tcW w:w="2484" w:type="dxa"/>
            <w:shd w:val="clear" w:color="auto" w:fill="auto"/>
          </w:tcPr>
          <w:p w:rsidRPr="005654FB" w:rsidR="005654FB" w:rsidP="00573E73" w:rsidRDefault="005654FB" w14:paraId="07DBD021" w14:textId="77777777">
            <w:proofErr w:type="spellStart"/>
            <w:r w:rsidRPr="005654FB">
              <w:t>Juniperus</w:t>
            </w:r>
            <w:proofErr w:type="spellEnd"/>
            <w:r w:rsidRPr="005654FB">
              <w:t xml:space="preserve"> </w:t>
            </w:r>
            <w:proofErr w:type="spellStart"/>
            <w:r w:rsidRPr="005654FB">
              <w:t>scopulorum</w:t>
            </w:r>
            <w:proofErr w:type="spellEnd"/>
          </w:p>
        </w:tc>
        <w:tc>
          <w:tcPr>
            <w:tcW w:w="2700" w:type="dxa"/>
            <w:shd w:val="clear" w:color="auto" w:fill="auto"/>
          </w:tcPr>
          <w:p w:rsidRPr="005654FB" w:rsidR="005654FB" w:rsidP="00573E73" w:rsidRDefault="005654FB" w14:paraId="16CC49EC" w14:textId="77777777">
            <w:r w:rsidRPr="005654FB">
              <w:t>Rocky mountain juniper</w:t>
            </w:r>
          </w:p>
        </w:tc>
        <w:tc>
          <w:tcPr>
            <w:tcW w:w="1956" w:type="dxa"/>
            <w:shd w:val="clear" w:color="auto" w:fill="auto"/>
          </w:tcPr>
          <w:p w:rsidRPr="005654FB" w:rsidR="005654FB" w:rsidP="00573E73" w:rsidRDefault="005654FB" w14:paraId="363CA499" w14:textId="77777777">
            <w:r w:rsidRPr="005654FB">
              <w:t>Mid-Upper</w:t>
            </w:r>
          </w:p>
        </w:tc>
      </w:tr>
    </w:tbl>
    <w:p w:rsidR="005654FB" w:rsidP="005654FB" w:rsidRDefault="005654FB" w14:paraId="7B65C647" w14:textId="77777777"/>
    <w:p w:rsidR="005654FB" w:rsidP="005654FB" w:rsidRDefault="005654FB" w14:paraId="0A748197" w14:textId="77777777">
      <w:pPr>
        <w:pStyle w:val="SClassInfoPara"/>
      </w:pPr>
      <w:r>
        <w:t>Description</w:t>
      </w:r>
    </w:p>
    <w:p w:rsidR="005654FB" w:rsidP="005654FB" w:rsidRDefault="005654FB" w14:paraId="329C31A2" w14:textId="3D25B519">
      <w:r>
        <w:t>This class represents the mature, large cottonwood, conifer, etc.</w:t>
      </w:r>
      <w:r w:rsidR="00653B39">
        <w:t>,</w:t>
      </w:r>
      <w:r>
        <w:t xml:space="preserve"> woodlands. In M</w:t>
      </w:r>
      <w:r w:rsidR="00653B39">
        <w:t>ontana,</w:t>
      </w:r>
      <w:r>
        <w:t xml:space="preserve"> these closed late systems can also be dominated by Rocky Mountain juniper or spruce at higher elevations and green ash at lower elevations. Ponderosa pine is only one possible dominant. Red osier dogwood is an indicator in all of these, with a range of 10-60% cover depending on overstory species. Other dominant and indicator species are interior Douglas-fir in the upland areas, PICEA, FRAPEN</w:t>
      </w:r>
      <w:r w:rsidR="00653B39">
        <w:t>,</w:t>
      </w:r>
      <w:r>
        <w:t xml:space="preserve"> and COSE16.</w:t>
      </w:r>
    </w:p>
    <w:p w:rsidR="005654FB" w:rsidP="005654FB" w:rsidRDefault="005654FB" w14:paraId="2D28DB09" w14:textId="77777777"/>
    <w:p w:rsidR="005654FB" w:rsidP="005654FB" w:rsidRDefault="005654FB" w14:paraId="1367B12E" w14:textId="77777777">
      <w:r>
        <w:t>Replacement fire is caused by importation from surrounding systems. Ice scour oc</w:t>
      </w:r>
      <w:r w:rsidR="001D3609">
        <w:t>curs often</w:t>
      </w:r>
      <w:r>
        <w:t xml:space="preserve"> but rarely k</w:t>
      </w:r>
      <w:r w:rsidR="00C42FE8">
        <w:t>ills large patches of trees.</w:t>
      </w:r>
    </w:p>
    <w:p w:rsidR="005654FB" w:rsidP="005654FB" w:rsidRDefault="005654FB" w14:paraId="0C04DB13"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Late1:CLS</w:t>
            </w:r>
          </w:p>
        </w:tc>
        <w:tc>
          <w:p>
            <w:pPr>
              <w:jc w:val="center"/>
            </w:pPr>
            <w:r>
              <w:rPr>
                <w:sz w:val="20"/>
              </w:rPr>
              <w:t>29</w:t>
            </w:r>
          </w:p>
        </w:tc>
      </w:tr>
      <w:tr>
        <w:tc>
          <w:p>
            <w:pPr>
              <w:jc w:val="center"/>
            </w:pPr>
            <w:r>
              <w:rPr>
                <w:sz w:val="20"/>
              </w:rPr>
              <w:t>Late1:CLS</w:t>
            </w:r>
          </w:p>
        </w:tc>
        <w:tc>
          <w:p>
            <w:pPr>
              <w:jc w:val="center"/>
            </w:pPr>
            <w:r>
              <w:rPr>
                <w:sz w:val="20"/>
              </w:rPr>
              <w:t>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w:pStyle w:val="InfoPara"/>
      </w:pPr>
      <w:r>
        <w:t>Optional Disturbances</w:t>
      </w:r>
    </w:p>
    <w:p>
      <w:r>
        <w:t>Optional 1: Beaver</w:t>
      </w:r>
    </w:p>
    <w:p>
      <w:r>
        <w:t>Optional 2: ice scour</w:t>
      </w:r>
    </w:p>
    <w:p>
      <w:r>
        <w:t/>
      </w:r>
    </w:p>
    <w:p>
      <w:pPr xmlns:w="http://schemas.openxmlformats.org/wordprocessingml/2006/main">
        <w:pStyle w:val="ReportSection"/>
      </w:pPr>
      <w:r xmlns:w="http://schemas.openxmlformats.org/wordprocessingml/2006/main">
        <w:t>References</w:t>
      </w:r>
    </w:p>
    <w:p>
      <w:r>
        <w:t/>
      </w:r>
    </w:p>
    <w:p w:rsidR="005654FB" w:rsidP="005654FB" w:rsidRDefault="005654FB" w14:paraId="2A8F1853" w14:textId="77777777">
      <w:r>
        <w:t>Baker, W.L. 1988. Size-class structure of contiguous riparian woodlands along a Rocky Mountain river. Physical Geography 9(1): 1-14.</w:t>
      </w:r>
    </w:p>
    <w:p w:rsidR="005654FB" w:rsidP="005654FB" w:rsidRDefault="005654FB" w14:paraId="4EA4EA2A" w14:textId="77777777"/>
    <w:p w:rsidR="005654FB" w:rsidP="005654FB" w:rsidRDefault="005654FB" w14:paraId="27B82813" w14:textId="77777777">
      <w:r>
        <w:t>Baker, W.L. 1989. Classification of the riparian vegetation of the montane and subalpine zones in western Colorado. Great Basin Naturalist 49(2): 214-228.</w:t>
      </w:r>
    </w:p>
    <w:p w:rsidR="005654FB" w:rsidP="005654FB" w:rsidRDefault="005654FB" w14:paraId="5EE61A12" w14:textId="77777777"/>
    <w:p w:rsidR="005654FB" w:rsidP="005654FB" w:rsidRDefault="005654FB" w14:paraId="3C831515"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5654FB" w:rsidP="005654FB" w:rsidRDefault="005654FB" w14:paraId="0BCC99BA" w14:textId="77777777"/>
    <w:p w:rsidR="005654FB" w:rsidP="005654FB" w:rsidRDefault="005654FB" w14:paraId="433238E8"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proofErr w:type="spellStart"/>
      <w:r>
        <w:t>Ecoystems</w:t>
      </w:r>
      <w:proofErr w:type="spellEnd"/>
      <w:r>
        <w:t xml:space="preserve"> and Buffers: Multi-scale structure, function, and management. AWRA Summer Specialty Conference, Olympic Valley, California. 28-30 June 2004. </w:t>
      </w:r>
    </w:p>
    <w:p w:rsidR="005654FB" w:rsidP="005654FB" w:rsidRDefault="005654FB" w14:paraId="78BDE8EE" w14:textId="77777777"/>
    <w:p w:rsidR="005654FB" w:rsidP="005654FB" w:rsidRDefault="005654FB" w14:paraId="289DEBB2" w14:textId="77777777">
      <w:r>
        <w:t>Hansen, P.L., R.D. Pfister, K. Boggs, B.J. Cook, J. Joy and D.K. Hinckley. 1996. Classification and management of Montana's riparian and wetland sites. Montana Forest and Conservation Experiment Station. Missoula, Montana. Miscellaneous publication no. 54. 485 pp. plus appendices.</w:t>
      </w:r>
    </w:p>
    <w:p w:rsidR="005654FB" w:rsidP="005654FB" w:rsidRDefault="005654FB" w14:paraId="4D67E19B" w14:textId="77777777"/>
    <w:p w:rsidR="005654FB" w:rsidP="005654FB" w:rsidRDefault="005654FB" w14:paraId="2546DE43" w14:textId="77777777">
      <w:r>
        <w:t xml:space="preserve">Kittel, G., E. Van </w:t>
      </w:r>
      <w:proofErr w:type="spellStart"/>
      <w:r>
        <w:t>Wie</w:t>
      </w:r>
      <w:proofErr w:type="spellEnd"/>
      <w:r>
        <w:t xml:space="preserve">, M. </w:t>
      </w:r>
      <w:proofErr w:type="spellStart"/>
      <w:r>
        <w:t>Damm</w:t>
      </w:r>
      <w:proofErr w:type="spellEnd"/>
      <w:r>
        <w:t xml:space="preserve">, R. Rondeau, S. Kettler, A. McMullen and J. Sanderson. 1999b. A classification of riparian and wetland plant associations of Colorado: A user's guide to </w:t>
      </w:r>
      <w:r>
        <w:lastRenderedPageBreak/>
        <w:t>the classification project. Colorado Natural Heritage Program, Colorado State University, Fort Collins CO. 70 pp. plus appendices.</w:t>
      </w:r>
    </w:p>
    <w:p w:rsidR="005654FB" w:rsidP="005654FB" w:rsidRDefault="005654FB" w14:paraId="2AC979D9" w14:textId="77777777"/>
    <w:p w:rsidR="005654FB" w:rsidP="005654FB" w:rsidRDefault="005654FB" w14:paraId="0E543494" w14:textId="77777777">
      <w:proofErr w:type="spellStart"/>
      <w:r>
        <w:t>Lesica</w:t>
      </w:r>
      <w:proofErr w:type="spellEnd"/>
      <w:r>
        <w:t>, P. and S. Miles. 1999. Russian olive invasion into cottonwood forests along a regulated river in north-central Montana. Can. J. Bot. 77: 1077-1083.</w:t>
      </w:r>
    </w:p>
    <w:p w:rsidR="005654FB" w:rsidP="005654FB" w:rsidRDefault="005654FB" w14:paraId="4F71D4D3" w14:textId="77777777"/>
    <w:p w:rsidR="005654FB" w:rsidP="005654FB" w:rsidRDefault="005654FB" w14:paraId="5CFE924B" w14:textId="77777777">
      <w:proofErr w:type="spellStart"/>
      <w:r>
        <w:t>Lesica</w:t>
      </w:r>
      <w:proofErr w:type="spellEnd"/>
      <w:r>
        <w:t>, P. and S. Miles. 2004. Beavers indirectly enhance the growth of Russian olive and tamarisk along eastern Montana rivers. Western North American Naturalist 64(1): 93-100.</w:t>
      </w:r>
    </w:p>
    <w:p w:rsidR="005654FB" w:rsidP="005654FB" w:rsidRDefault="005654FB" w14:paraId="2D3F39D0" w14:textId="77777777"/>
    <w:p w:rsidR="005654FB" w:rsidP="005654FB" w:rsidRDefault="005654FB" w14:paraId="6D99AFFC" w14:textId="77777777">
      <w:r>
        <w:t>NatureServe. 2007. International Ecological Classification Standard: Terrestrial Ecological Classifications. NatureServe Central Databases. Arlington, VA. Data current as of 10 February 2007.</w:t>
      </w:r>
    </w:p>
    <w:p w:rsidR="005654FB" w:rsidP="005654FB" w:rsidRDefault="005654FB" w14:paraId="3C014511" w14:textId="77777777"/>
    <w:p w:rsidR="005654FB" w:rsidP="005654FB" w:rsidRDefault="005654FB" w14:paraId="17C37405"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proofErr w:type="spellStart"/>
      <w:r>
        <w:t>form</w:t>
      </w:r>
      <w:proofErr w:type="spellEnd"/>
      <w:r>
        <w:t xml:space="preserve"> the USDA Forest Service, Rocky Mountain Region, Colorado Division of Wildlife, and Bureau of Land Management.</w:t>
      </w:r>
    </w:p>
    <w:p w:rsidR="005654FB" w:rsidP="005654FB" w:rsidRDefault="005654FB" w14:paraId="4046AB4C" w14:textId="77777777"/>
    <w:p w:rsidR="005654FB" w:rsidP="005654FB" w:rsidRDefault="005654FB" w14:paraId="72266763" w14:textId="77777777">
      <w:r>
        <w:t xml:space="preserve">Olson, D.L. 2000. Fire in riparian zones: a comparison of historical fire occurrence in riparian and upslope forests in the Blue Mountains and southern Cascades of Oregon. Seattle: university of Washington, M.S. Thesis. 274 pp. </w:t>
      </w:r>
    </w:p>
    <w:p w:rsidR="005654FB" w:rsidP="005654FB" w:rsidRDefault="005654FB" w14:paraId="46592691" w14:textId="77777777"/>
    <w:p w:rsidR="005654FB" w:rsidP="005654FB" w:rsidRDefault="005654FB" w14:paraId="65296E34"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005654FB" w:rsidP="005654FB" w:rsidRDefault="005654FB" w14:paraId="01759F74" w14:textId="77777777"/>
    <w:p w:rsidR="005654FB" w:rsidP="005654FB" w:rsidRDefault="005654FB" w14:paraId="1872E176" w14:textId="77777777">
      <w:r>
        <w:t xml:space="preserve">Walford, G., G. Jones, W. </w:t>
      </w:r>
      <w:proofErr w:type="spellStart"/>
      <w:r>
        <w:t>Fertig</w:t>
      </w:r>
      <w:proofErr w:type="spellEnd"/>
      <w:r>
        <w:t xml:space="preserve">, S. </w:t>
      </w:r>
      <w:proofErr w:type="spellStart"/>
      <w:r>
        <w:t>Mellman</w:t>
      </w:r>
      <w:proofErr w:type="spellEnd"/>
      <w:r>
        <w:t>-Brown and K. Houston. 2001. Riparian and wetland plant community types of the Shoshone National Forest. General Technical Report RMRS-GTR-85. USDA Forest Service, Rocky Mountain Research Station, Fort Collins, CO. 122 pp.</w:t>
      </w:r>
    </w:p>
    <w:p w:rsidR="005654FB" w:rsidP="005654FB" w:rsidRDefault="005654FB" w14:paraId="0A4027D1" w14:textId="77777777"/>
    <w:p w:rsidR="005654FB" w:rsidP="005654FB" w:rsidRDefault="005654FB" w14:paraId="5A442187" w14:textId="77777777">
      <w:r>
        <w:t xml:space="preserve">Walford, G., G. Jones, W. </w:t>
      </w:r>
      <w:proofErr w:type="spellStart"/>
      <w:r>
        <w:t>Fertig</w:t>
      </w:r>
      <w:proofErr w:type="spellEnd"/>
      <w:r>
        <w:t xml:space="preserve"> and K. Houston. 1997. Riparian and wetland plant community types of the Shoshone National Forest. Unpublished report. Wyoming Natural Diversity Database for The Nature Conservancy, and the USDA Forest Service. Wyoming Natural Diversity Database, Laramie. 227 pp.</w:t>
      </w:r>
    </w:p>
    <w:p w:rsidRPr="00A43E41" w:rsidR="004D5F12" w:rsidP="005654FB" w:rsidRDefault="004D5F12" w14:paraId="02C71AC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1B224" w14:textId="77777777" w:rsidR="00DF0B32" w:rsidRDefault="00DF0B32">
      <w:r>
        <w:separator/>
      </w:r>
    </w:p>
  </w:endnote>
  <w:endnote w:type="continuationSeparator" w:id="0">
    <w:p w14:paraId="54E09CAE" w14:textId="77777777" w:rsidR="00DF0B32" w:rsidRDefault="00DF0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08026" w14:textId="77777777" w:rsidR="005654FB" w:rsidRDefault="005654FB" w:rsidP="005654F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9E732" w14:textId="77777777" w:rsidR="00DF0B32" w:rsidRDefault="00DF0B32">
      <w:r>
        <w:separator/>
      </w:r>
    </w:p>
  </w:footnote>
  <w:footnote w:type="continuationSeparator" w:id="0">
    <w:p w14:paraId="2A00382A" w14:textId="77777777" w:rsidR="00DF0B32" w:rsidRDefault="00DF0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A9A6A" w14:textId="77777777" w:rsidR="00A43E41" w:rsidRDefault="00A43E41" w:rsidP="005654F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FB"/>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26637"/>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3609"/>
    <w:rsid w:val="001D4BA1"/>
    <w:rsid w:val="001D5A3C"/>
    <w:rsid w:val="001D6A01"/>
    <w:rsid w:val="001D6AB0"/>
    <w:rsid w:val="001E1533"/>
    <w:rsid w:val="001E398B"/>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162CD"/>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953"/>
    <w:rsid w:val="00555A6B"/>
    <w:rsid w:val="005563FC"/>
    <w:rsid w:val="00560514"/>
    <w:rsid w:val="00560E93"/>
    <w:rsid w:val="005654FB"/>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3B39"/>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3E67"/>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2FE8"/>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A2E6D"/>
    <w:rsid w:val="00CB0E67"/>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726A"/>
    <w:rsid w:val="00D21167"/>
    <w:rsid w:val="00D2240A"/>
    <w:rsid w:val="00D27019"/>
    <w:rsid w:val="00D3113E"/>
    <w:rsid w:val="00D335C9"/>
    <w:rsid w:val="00D34939"/>
    <w:rsid w:val="00D37B60"/>
    <w:rsid w:val="00D4454D"/>
    <w:rsid w:val="00D46073"/>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0B32"/>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9BA19"/>
  <w15:docId w15:val="{B107D7B6-89F0-4171-868F-63E22F67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D3609"/>
    <w:pPr>
      <w:ind w:left="720"/>
    </w:pPr>
    <w:rPr>
      <w:rFonts w:ascii="Calibri" w:eastAsia="Calibri" w:hAnsi="Calibri"/>
      <w:sz w:val="22"/>
      <w:szCs w:val="22"/>
    </w:rPr>
  </w:style>
  <w:style w:type="character" w:styleId="Hyperlink">
    <w:name w:val="Hyperlink"/>
    <w:rsid w:val="001D3609"/>
    <w:rPr>
      <w:color w:val="0000FF"/>
      <w:u w:val="single"/>
    </w:rPr>
  </w:style>
  <w:style w:type="paragraph" w:styleId="BalloonText">
    <w:name w:val="Balloon Text"/>
    <w:basedOn w:val="Normal"/>
    <w:link w:val="BalloonTextChar"/>
    <w:uiPriority w:val="99"/>
    <w:semiHidden/>
    <w:unhideWhenUsed/>
    <w:rsid w:val="00D460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0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12813">
      <w:bodyDiv w:val="1"/>
      <w:marLeft w:val="0"/>
      <w:marRight w:val="0"/>
      <w:marTop w:val="0"/>
      <w:marBottom w:val="0"/>
      <w:divBdr>
        <w:top w:val="none" w:sz="0" w:space="0" w:color="auto"/>
        <w:left w:val="none" w:sz="0" w:space="0" w:color="auto"/>
        <w:bottom w:val="none" w:sz="0" w:space="0" w:color="auto"/>
        <w:right w:val="none" w:sz="0" w:space="0" w:color="auto"/>
      </w:divBdr>
    </w:div>
    <w:div w:id="158009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2014-08-21T14:25:00Z</cp:lastPrinted>
  <dcterms:created xsi:type="dcterms:W3CDTF">2017-10-26T23:16:00Z</dcterms:created>
  <dcterms:modified xsi:type="dcterms:W3CDTF">2018-06-12T21:55:00Z</dcterms:modified>
</cp:coreProperties>
</file>