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AC3" w:rsidP="00277AC3" w:rsidRDefault="5F932511" w14:paraId="57A18DC0" w14:textId="77777777">
      <w:pPr>
        <w:pStyle w:val="BpSTitle"/>
      </w:pPr>
      <w:bookmarkStart w:name="_GoBack" w:id="0"/>
      <w:bookmarkEnd w:id="0"/>
      <w:r>
        <w:t>11600</w:t>
      </w:r>
    </w:p>
    <w:p w:rsidR="00277AC3" w:rsidP="00277AC3" w:rsidRDefault="5F932511" w14:paraId="7CBF07EB" w14:textId="77777777">
      <w:pPr>
        <w:pStyle w:val="BpSTitle"/>
      </w:pPr>
      <w:r>
        <w:t>Rocky Mountain Subalpine/Upper Montane Riparian Systems</w:t>
      </w:r>
    </w:p>
    <w:p w:rsidR="00277AC3" w:rsidP="00277AC3" w:rsidRDefault="00277AC3" w14:paraId="4A8CB10F" w14:textId="5EDA9C80">
      <w:r>
        <w:t xmlns:w="http://schemas.openxmlformats.org/wordprocessingml/2006/main">BpS Model/Description Version: Aug. 2020</w:t>
      </w:r>
      <w:r>
        <w:tab/>
      </w:r>
      <w:r>
        <w:tab/>
      </w:r>
      <w:r>
        <w:tab/>
      </w:r>
      <w:r>
        <w:tab/>
      </w:r>
      <w:r>
        <w:tab/>
      </w:r>
      <w:r>
        <w:tab/>
      </w:r>
      <w:r>
        <w:tab/>
      </w:r>
    </w:p>
    <w:p w:rsidR="00277AC3" w:rsidP="00277AC3" w:rsidRDefault="00277AC3" w14:paraId="1F7DF6D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604"/>
        <w:gridCol w:w="1884"/>
        <w:gridCol w:w="2532"/>
      </w:tblGrid>
      <w:tr w:rsidRPr="00277AC3" w:rsidR="00277AC3" w:rsidTr="5F932511" w14:paraId="046D66B8" w14:textId="77777777">
        <w:tc>
          <w:tcPr>
            <w:tcW w:w="1572" w:type="dxa"/>
            <w:tcBorders>
              <w:top w:val="single" w:color="auto" w:sz="2" w:space="0"/>
              <w:left w:val="single" w:color="auto" w:sz="12" w:space="0"/>
              <w:bottom w:val="single" w:color="000000" w:themeColor="text1" w:sz="12" w:space="0"/>
            </w:tcBorders>
            <w:shd w:val="clear" w:color="auto" w:fill="auto"/>
          </w:tcPr>
          <w:p w:rsidRPr="00277AC3" w:rsidR="00277AC3" w:rsidP="5F932511" w:rsidRDefault="5F932511" w14:paraId="2D4801FF" w14:textId="77777777">
            <w:pPr>
              <w:rPr>
                <w:b/>
                <w:bCs/>
              </w:rPr>
            </w:pPr>
            <w:r w:rsidRPr="5F932511">
              <w:rPr>
                <w:b/>
                <w:bCs/>
              </w:rPr>
              <w:t>Modelers</w:t>
            </w:r>
          </w:p>
        </w:tc>
        <w:tc>
          <w:tcPr>
            <w:tcW w:w="2604" w:type="dxa"/>
            <w:tcBorders>
              <w:top w:val="single" w:color="auto" w:sz="2" w:space="0"/>
              <w:bottom w:val="single" w:color="000000" w:themeColor="text1" w:sz="12" w:space="0"/>
              <w:right w:val="single" w:color="000000" w:themeColor="text1" w:sz="12" w:space="0"/>
            </w:tcBorders>
            <w:shd w:val="clear" w:color="auto" w:fill="auto"/>
          </w:tcPr>
          <w:p w:rsidRPr="00277AC3" w:rsidR="00277AC3" w:rsidP="001A1331" w:rsidRDefault="00277AC3" w14:paraId="611A788B" w14:textId="77777777">
            <w:pPr>
              <w:rPr>
                <w:b/>
                <w:bCs/>
              </w:rPr>
            </w:pPr>
          </w:p>
        </w:tc>
        <w:tc>
          <w:tcPr>
            <w:tcW w:w="1884" w:type="dxa"/>
            <w:tcBorders>
              <w:top w:val="single" w:color="auto" w:sz="2" w:space="0"/>
              <w:left w:val="single" w:color="000000" w:themeColor="text1" w:sz="12" w:space="0"/>
              <w:bottom w:val="single" w:color="000000" w:themeColor="text1" w:sz="12" w:space="0"/>
            </w:tcBorders>
            <w:shd w:val="clear" w:color="auto" w:fill="auto"/>
          </w:tcPr>
          <w:p w:rsidRPr="00277AC3" w:rsidR="00277AC3" w:rsidP="5F932511" w:rsidRDefault="5F932511" w14:paraId="3E233D55" w14:textId="77777777">
            <w:pPr>
              <w:rPr>
                <w:b/>
                <w:bCs/>
              </w:rPr>
            </w:pPr>
            <w:r w:rsidRPr="5F932511">
              <w:rPr>
                <w:b/>
                <w:bCs/>
              </w:rPr>
              <w:t>Reviewers</w:t>
            </w:r>
          </w:p>
        </w:tc>
        <w:tc>
          <w:tcPr>
            <w:tcW w:w="2532" w:type="dxa"/>
            <w:tcBorders>
              <w:top w:val="single" w:color="auto" w:sz="2" w:space="0"/>
              <w:bottom w:val="single" w:color="000000" w:themeColor="text1" w:sz="12" w:space="0"/>
            </w:tcBorders>
            <w:shd w:val="clear" w:color="auto" w:fill="auto"/>
          </w:tcPr>
          <w:p w:rsidRPr="00277AC3" w:rsidR="00277AC3" w:rsidP="001A1331" w:rsidRDefault="00277AC3" w14:paraId="1497F249" w14:textId="77777777">
            <w:pPr>
              <w:rPr>
                <w:b/>
                <w:bCs/>
              </w:rPr>
            </w:pPr>
          </w:p>
        </w:tc>
      </w:tr>
      <w:tr w:rsidRPr="00277AC3" w:rsidR="00277AC3" w:rsidTr="5F932511" w14:paraId="1F064C06" w14:textId="77777777">
        <w:tc>
          <w:tcPr>
            <w:tcW w:w="1572" w:type="dxa"/>
            <w:tcBorders>
              <w:top w:val="single" w:color="000000" w:themeColor="text1" w:sz="12" w:space="0"/>
              <w:left w:val="single" w:color="auto" w:sz="12" w:space="0"/>
            </w:tcBorders>
            <w:shd w:val="clear" w:color="auto" w:fill="auto"/>
          </w:tcPr>
          <w:p w:rsidRPr="00277AC3" w:rsidR="00277AC3" w:rsidP="001A1331" w:rsidRDefault="5F932511" w14:paraId="1E59153E" w14:textId="77777777">
            <w:pPr>
              <w:rPr>
                <w:bCs/>
              </w:rPr>
            </w:pPr>
            <w:r>
              <w:t xml:space="preserve">Tim </w:t>
            </w:r>
            <w:proofErr w:type="spellStart"/>
            <w:r>
              <w:t>Klukas</w:t>
            </w:r>
            <w:proofErr w:type="spellEnd"/>
          </w:p>
        </w:tc>
        <w:tc>
          <w:tcPr>
            <w:tcW w:w="2604" w:type="dxa"/>
            <w:tcBorders>
              <w:top w:val="single" w:color="000000" w:themeColor="text1" w:sz="12" w:space="0"/>
              <w:right w:val="single" w:color="000000" w:themeColor="text1" w:sz="12" w:space="0"/>
            </w:tcBorders>
            <w:shd w:val="clear" w:color="auto" w:fill="auto"/>
          </w:tcPr>
          <w:p w:rsidRPr="00277AC3" w:rsidR="00277AC3" w:rsidP="001A1331" w:rsidRDefault="5F932511" w14:paraId="4AF9DD4A" w14:textId="77777777">
            <w:r>
              <w:t>tim_klukas@nps.gov</w:t>
            </w:r>
          </w:p>
        </w:tc>
        <w:tc>
          <w:tcPr>
            <w:tcW w:w="1884" w:type="dxa"/>
            <w:tcBorders>
              <w:top w:val="single" w:color="000000" w:themeColor="text1" w:sz="12" w:space="0"/>
              <w:left w:val="single" w:color="000000" w:themeColor="text1" w:sz="12" w:space="0"/>
            </w:tcBorders>
            <w:shd w:val="clear" w:color="auto" w:fill="auto"/>
          </w:tcPr>
          <w:p w:rsidRPr="00277AC3" w:rsidR="00277AC3" w:rsidP="001A1331" w:rsidRDefault="5F932511" w14:paraId="6604BDF1" w14:textId="77777777">
            <w:r>
              <w:t xml:space="preserve">Jim </w:t>
            </w:r>
            <w:proofErr w:type="spellStart"/>
            <w:r>
              <w:t>Ozenberger</w:t>
            </w:r>
            <w:proofErr w:type="spellEnd"/>
          </w:p>
        </w:tc>
        <w:tc>
          <w:tcPr>
            <w:tcW w:w="2532" w:type="dxa"/>
            <w:tcBorders>
              <w:top w:val="single" w:color="000000" w:themeColor="text1" w:sz="12" w:space="0"/>
            </w:tcBorders>
            <w:shd w:val="clear" w:color="auto" w:fill="auto"/>
          </w:tcPr>
          <w:p w:rsidRPr="00277AC3" w:rsidR="00277AC3" w:rsidP="001A1331" w:rsidRDefault="5F932511" w14:paraId="33564E6B" w14:textId="77777777">
            <w:r>
              <w:t>jozenberger@fs.fed.us</w:t>
            </w:r>
          </w:p>
        </w:tc>
      </w:tr>
      <w:tr w:rsidRPr="00277AC3" w:rsidR="00277AC3" w:rsidTr="5F932511" w14:paraId="791E7FB2" w14:textId="77777777">
        <w:tc>
          <w:tcPr>
            <w:tcW w:w="1572" w:type="dxa"/>
            <w:tcBorders>
              <w:left w:val="single" w:color="auto" w:sz="12" w:space="0"/>
            </w:tcBorders>
            <w:shd w:val="clear" w:color="auto" w:fill="auto"/>
          </w:tcPr>
          <w:p w:rsidRPr="00277AC3" w:rsidR="00277AC3" w:rsidP="001A1331" w:rsidRDefault="5F932511" w14:paraId="504B9EAF" w14:textId="77777777">
            <w:pPr>
              <w:rPr>
                <w:bCs/>
              </w:rPr>
            </w:pPr>
            <w:r>
              <w:t>John Simons</w:t>
            </w:r>
          </w:p>
        </w:tc>
        <w:tc>
          <w:tcPr>
            <w:tcW w:w="2604" w:type="dxa"/>
            <w:tcBorders>
              <w:right w:val="single" w:color="000000" w:themeColor="text1" w:sz="12" w:space="0"/>
            </w:tcBorders>
            <w:shd w:val="clear" w:color="auto" w:fill="auto"/>
          </w:tcPr>
          <w:p w:rsidRPr="00277AC3" w:rsidR="00277AC3" w:rsidP="001A1331" w:rsidRDefault="5F932511" w14:paraId="70DE58E2" w14:textId="77777777">
            <w:r>
              <w:t>john_simons@blm.gov</w:t>
            </w:r>
          </w:p>
        </w:tc>
        <w:tc>
          <w:tcPr>
            <w:tcW w:w="1884" w:type="dxa"/>
            <w:tcBorders>
              <w:left w:val="single" w:color="000000" w:themeColor="text1" w:sz="12" w:space="0"/>
            </w:tcBorders>
            <w:shd w:val="clear" w:color="auto" w:fill="auto"/>
          </w:tcPr>
          <w:p w:rsidRPr="00277AC3" w:rsidR="00277AC3" w:rsidP="001A1331" w:rsidRDefault="5F932511" w14:paraId="2F5C8BC5" w14:textId="77777777">
            <w:r>
              <w:t>Andy Norman</w:t>
            </w:r>
          </w:p>
        </w:tc>
        <w:tc>
          <w:tcPr>
            <w:tcW w:w="2532" w:type="dxa"/>
            <w:shd w:val="clear" w:color="auto" w:fill="auto"/>
          </w:tcPr>
          <w:p w:rsidRPr="00277AC3" w:rsidR="00277AC3" w:rsidP="001A1331" w:rsidRDefault="5F932511" w14:paraId="0D90DD3F" w14:textId="77777777">
            <w:r>
              <w:t>anorman@fs.fed.us</w:t>
            </w:r>
          </w:p>
        </w:tc>
      </w:tr>
      <w:tr w:rsidRPr="00277AC3" w:rsidR="00277AC3" w:rsidTr="5F932511" w14:paraId="79F35014" w14:textId="77777777">
        <w:tc>
          <w:tcPr>
            <w:tcW w:w="1572" w:type="dxa"/>
            <w:tcBorders>
              <w:left w:val="single" w:color="auto" w:sz="12" w:space="0"/>
              <w:bottom w:val="single" w:color="auto" w:sz="2" w:space="0"/>
            </w:tcBorders>
            <w:shd w:val="clear" w:color="auto" w:fill="auto"/>
          </w:tcPr>
          <w:p w:rsidRPr="00277AC3" w:rsidR="00277AC3" w:rsidP="001A1331" w:rsidRDefault="5F932511" w14:paraId="336AC64F" w14:textId="77777777">
            <w:pPr>
              <w:rPr>
                <w:bCs/>
              </w:rPr>
            </w:pPr>
            <w:r>
              <w:t>anonymous</w:t>
            </w:r>
          </w:p>
        </w:tc>
        <w:tc>
          <w:tcPr>
            <w:tcW w:w="2604" w:type="dxa"/>
            <w:tcBorders>
              <w:right w:val="single" w:color="000000" w:themeColor="text1" w:sz="12" w:space="0"/>
            </w:tcBorders>
            <w:shd w:val="clear" w:color="auto" w:fill="auto"/>
          </w:tcPr>
          <w:p w:rsidRPr="00277AC3" w:rsidR="00277AC3" w:rsidP="001A1331" w:rsidRDefault="5F932511" w14:paraId="05911AD1" w14:textId="77777777">
            <w:r>
              <w:t>None</w:t>
            </w:r>
          </w:p>
        </w:tc>
        <w:tc>
          <w:tcPr>
            <w:tcW w:w="1884" w:type="dxa"/>
            <w:tcBorders>
              <w:left w:val="single" w:color="000000" w:themeColor="text1" w:sz="12" w:space="0"/>
              <w:bottom w:val="single" w:color="auto" w:sz="2" w:space="0"/>
            </w:tcBorders>
            <w:shd w:val="clear" w:color="auto" w:fill="auto"/>
          </w:tcPr>
          <w:p w:rsidRPr="00277AC3" w:rsidR="00277AC3" w:rsidP="001A1331" w:rsidRDefault="5F932511" w14:paraId="5699980B" w14:textId="77777777">
            <w:r>
              <w:t xml:space="preserve">Sarah </w:t>
            </w:r>
            <w:proofErr w:type="spellStart"/>
            <w:r>
              <w:t>Canham</w:t>
            </w:r>
            <w:proofErr w:type="spellEnd"/>
          </w:p>
        </w:tc>
        <w:tc>
          <w:tcPr>
            <w:tcW w:w="2532" w:type="dxa"/>
            <w:shd w:val="clear" w:color="auto" w:fill="auto"/>
          </w:tcPr>
          <w:p w:rsidRPr="00277AC3" w:rsidR="00277AC3" w:rsidP="001A1331" w:rsidRDefault="5F932511" w14:paraId="4AEA6313" w14:textId="77777777">
            <w:r>
              <w:t>scanham@fs.fed.us</w:t>
            </w:r>
          </w:p>
        </w:tc>
      </w:tr>
    </w:tbl>
    <w:p w:rsidR="00277AC3" w:rsidP="00277AC3" w:rsidRDefault="00277AC3" w14:paraId="59A29209" w14:textId="77777777"/>
    <w:p w:rsidR="00277AC3" w:rsidP="00277AC3" w:rsidRDefault="5F932511" w14:paraId="38D7B4FE" w14:textId="77777777">
      <w:pPr>
        <w:pStyle w:val="InfoPara"/>
      </w:pPr>
      <w:r>
        <w:t>Vegetation Type</w:t>
      </w:r>
    </w:p>
    <w:p w:rsidR="00277AC3" w:rsidP="00277AC3" w:rsidRDefault="00AC60E2" w14:paraId="6C5DD513" w14:textId="5107F1D9">
      <w:r w:rsidRPr="00AC60E2">
        <w:t>Woody Wetland</w:t>
      </w:r>
    </w:p>
    <w:p w:rsidR="00277AC3" w:rsidP="00277AC3" w:rsidRDefault="5F932511" w14:paraId="6449C04A" w14:textId="07CC5D7C">
      <w:pPr>
        <w:pStyle w:val="InfoPara"/>
      </w:pPr>
      <w:r>
        <w:t>Map Zone</w:t>
      </w:r>
    </w:p>
    <w:p w:rsidR="00277AC3" w:rsidP="00277AC3" w:rsidRDefault="5F932511" w14:paraId="55B89574" w14:textId="77777777">
      <w:r>
        <w:t>21</w:t>
      </w:r>
    </w:p>
    <w:p w:rsidR="00277AC3" w:rsidP="00277AC3" w:rsidRDefault="5F932511" w14:paraId="01A2E112" w14:textId="77777777">
      <w:pPr>
        <w:pStyle w:val="InfoPara"/>
      </w:pPr>
      <w:r>
        <w:t>Geographic Range</w:t>
      </w:r>
    </w:p>
    <w:p w:rsidR="00277AC3" w:rsidP="00277AC3" w:rsidRDefault="5F932511" w14:paraId="6C4EA1BC" w14:textId="324A9EE7">
      <w:r>
        <w:t>Higher elevations in the zone down to valley river bottoms.</w:t>
      </w:r>
    </w:p>
    <w:p w:rsidR="00277AC3" w:rsidP="00277AC3" w:rsidRDefault="5F932511" w14:paraId="567322C5" w14:textId="77777777">
      <w:pPr>
        <w:pStyle w:val="InfoPara"/>
      </w:pPr>
      <w:r>
        <w:t>Biophysical Site Description</w:t>
      </w:r>
    </w:p>
    <w:p w:rsidR="00277AC3" w:rsidP="00277AC3" w:rsidRDefault="5F932511" w14:paraId="4130163F" w14:textId="7AB9D0F7">
      <w:r>
        <w:t>This ecological system represents the combination of numerous riparian types occurring in the upper montane/subalpine zones. Found at 900-3</w:t>
      </w:r>
      <w:r w:rsidR="001C7C7A">
        <w:t>,</w:t>
      </w:r>
      <w:r>
        <w:t>000m (3</w:t>
      </w:r>
      <w:r w:rsidR="001C7C7A">
        <w:t>,</w:t>
      </w:r>
      <w:r>
        <w:t>000-10</w:t>
      </w:r>
      <w:r w:rsidR="001C7C7A">
        <w:t>,</w:t>
      </w:r>
      <w:r>
        <w:t xml:space="preserve">000ft). This ecological system typically exists as relatively small linear stringers but can occupy relatively wide and flat valleys. This is a widely dispersed type in </w:t>
      </w:r>
      <w:r w:rsidR="001C7C7A">
        <w:t>map zone (</w:t>
      </w:r>
      <w:r>
        <w:t>MZ</w:t>
      </w:r>
      <w:r w:rsidR="001C7C7A">
        <w:t xml:space="preserve">) </w:t>
      </w:r>
      <w:r>
        <w:t>21 generally adjacent to live water.</w:t>
      </w:r>
    </w:p>
    <w:p w:rsidR="00277AC3" w:rsidP="00277AC3" w:rsidRDefault="00277AC3" w14:paraId="39DBCCF6" w14:textId="77777777"/>
    <w:p w:rsidR="00277AC3" w:rsidP="00277AC3" w:rsidRDefault="5F932511" w14:paraId="79C10F79" w14:textId="57489F27">
      <w:r>
        <w:t xml:space="preserve">Although reviewers recommended that the descriptions be made less broad </w:t>
      </w:r>
      <w:proofErr w:type="gramStart"/>
      <w:r>
        <w:t>so as to</w:t>
      </w:r>
      <w:proofErr w:type="gramEnd"/>
      <w:r>
        <w:t xml:space="preserve"> adhere more to high elevation, it was decided that this type included both montane to subalpine and alpine elevations</w:t>
      </w:r>
      <w:r w:rsidR="001C7C7A">
        <w:t>,</w:t>
      </w:r>
      <w:r>
        <w:t xml:space="preserve"> and therefore descriptions were kept broad.</w:t>
      </w:r>
    </w:p>
    <w:p w:rsidR="00277AC3" w:rsidP="00277AC3" w:rsidRDefault="00277AC3" w14:paraId="71F6CFEB" w14:textId="77777777"/>
    <w:p w:rsidR="00277AC3" w:rsidP="00277AC3" w:rsidRDefault="5F932511" w14:paraId="6C1054BF" w14:textId="011B37D4">
      <w:r>
        <w:t>Although reviewers recommended a minimum altitude of 8</w:t>
      </w:r>
      <w:r w:rsidR="001C7C7A">
        <w:t>,</w:t>
      </w:r>
      <w:r>
        <w:t>000ft, it was decided that the minimum of 3</w:t>
      </w:r>
      <w:r w:rsidR="001C7C7A">
        <w:t>,</w:t>
      </w:r>
      <w:r>
        <w:t xml:space="preserve">000ft would be kept </w:t>
      </w:r>
      <w:proofErr w:type="gramStart"/>
      <w:r>
        <w:t>in order to</w:t>
      </w:r>
      <w:proofErr w:type="gramEnd"/>
      <w:r>
        <w:t xml:space="preserve"> adhere to the original ecological system description and to encompass a broader range of elevational types, not only subalpine.</w:t>
      </w:r>
    </w:p>
    <w:p w:rsidR="00277AC3" w:rsidP="00277AC3" w:rsidRDefault="00277AC3" w14:paraId="4F3AD2E6" w14:textId="77777777"/>
    <w:p w:rsidR="00277AC3" w:rsidP="00277AC3" w:rsidRDefault="5F932511" w14:paraId="6ABDE1E9" w14:textId="77777777">
      <w:r>
        <w:t>These wetlands typically are in small upper-elevation watersheds that periodically experience high rainfall in short periods from convective thunderstorms.</w:t>
      </w:r>
    </w:p>
    <w:p w:rsidR="00277AC3" w:rsidP="00277AC3" w:rsidRDefault="5F932511" w14:paraId="3DBC6A93" w14:textId="77777777">
      <w:pPr>
        <w:pStyle w:val="InfoPara"/>
      </w:pPr>
      <w:r>
        <w:t>Vegetation Description</w:t>
      </w:r>
    </w:p>
    <w:p w:rsidR="00277AC3" w:rsidP="00277AC3" w:rsidRDefault="5F932511" w14:paraId="42121574" w14:textId="5369DF98">
      <w:r>
        <w:t>This ecological system encompasses a broad array of riparian species. These systems are highly variable and generally consist of willows and other shrubs, sedges and other herbaceous vegetation, or conifers (primarily spruce and subalpine fir). Shrubs include bog birch, bog blueberry</w:t>
      </w:r>
      <w:r w:rsidR="001C7C7A">
        <w:t xml:space="preserve">, </w:t>
      </w:r>
      <w:r>
        <w:t>and willows (e</w:t>
      </w:r>
      <w:r w:rsidR="001C7C7A">
        <w:t xml:space="preserve">.g., </w:t>
      </w:r>
      <w:r w:rsidRPr="5F932511">
        <w:rPr>
          <w:i/>
          <w:iCs/>
        </w:rPr>
        <w:t xml:space="preserve">Salix </w:t>
      </w:r>
      <w:proofErr w:type="spellStart"/>
      <w:r w:rsidRPr="5F932511">
        <w:rPr>
          <w:i/>
          <w:iCs/>
        </w:rPr>
        <w:t>planifolia</w:t>
      </w:r>
      <w:proofErr w:type="spellEnd"/>
      <w:r>
        <w:t xml:space="preserve">, </w:t>
      </w:r>
      <w:r w:rsidRPr="5F932511">
        <w:rPr>
          <w:i/>
          <w:iCs/>
        </w:rPr>
        <w:t xml:space="preserve">S. </w:t>
      </w:r>
      <w:proofErr w:type="spellStart"/>
      <w:r w:rsidRPr="5F932511">
        <w:rPr>
          <w:i/>
          <w:iCs/>
        </w:rPr>
        <w:t>wolfii</w:t>
      </w:r>
      <w:proofErr w:type="spellEnd"/>
      <w:r>
        <w:t xml:space="preserve">, </w:t>
      </w:r>
      <w:r w:rsidRPr="5F932511">
        <w:rPr>
          <w:i/>
          <w:iCs/>
        </w:rPr>
        <w:t xml:space="preserve">S. </w:t>
      </w:r>
      <w:proofErr w:type="spellStart"/>
      <w:r w:rsidRPr="5F932511">
        <w:rPr>
          <w:i/>
          <w:iCs/>
        </w:rPr>
        <w:t>boothii</w:t>
      </w:r>
      <w:proofErr w:type="spellEnd"/>
      <w:r>
        <w:t xml:space="preserve">, </w:t>
      </w:r>
      <w:r w:rsidRPr="5F932511">
        <w:rPr>
          <w:i/>
          <w:iCs/>
        </w:rPr>
        <w:t xml:space="preserve">S. </w:t>
      </w:r>
      <w:proofErr w:type="spellStart"/>
      <w:r w:rsidRPr="5F932511">
        <w:rPr>
          <w:i/>
          <w:iCs/>
        </w:rPr>
        <w:t>drummondii</w:t>
      </w:r>
      <w:proofErr w:type="spellEnd"/>
      <w:r>
        <w:t xml:space="preserve">, </w:t>
      </w:r>
      <w:r w:rsidRPr="5F932511">
        <w:rPr>
          <w:i/>
          <w:iCs/>
        </w:rPr>
        <w:t xml:space="preserve">S. </w:t>
      </w:r>
      <w:proofErr w:type="spellStart"/>
      <w:r w:rsidRPr="5F932511">
        <w:rPr>
          <w:i/>
          <w:iCs/>
        </w:rPr>
        <w:t>geyeriana</w:t>
      </w:r>
      <w:proofErr w:type="spellEnd"/>
      <w:r>
        <w:t xml:space="preserve">, and </w:t>
      </w:r>
      <w:r w:rsidRPr="5F932511">
        <w:rPr>
          <w:i/>
          <w:iCs/>
        </w:rPr>
        <w:t xml:space="preserve">S. </w:t>
      </w:r>
      <w:proofErr w:type="spellStart"/>
      <w:r w:rsidRPr="5F932511">
        <w:rPr>
          <w:i/>
          <w:iCs/>
        </w:rPr>
        <w:t>bebbiana</w:t>
      </w:r>
      <w:proofErr w:type="spellEnd"/>
      <w:r>
        <w:t>)</w:t>
      </w:r>
      <w:r w:rsidR="001C7C7A">
        <w:t>,</w:t>
      </w:r>
      <w:r>
        <w:t xml:space="preserve"> among others. Graminoids include tufted hairgrass, </w:t>
      </w:r>
      <w:proofErr w:type="spellStart"/>
      <w:r>
        <w:t>bluejoint</w:t>
      </w:r>
      <w:proofErr w:type="spellEnd"/>
      <w:r>
        <w:t xml:space="preserve"> </w:t>
      </w:r>
      <w:proofErr w:type="spellStart"/>
      <w:r>
        <w:t>reedgrass</w:t>
      </w:r>
      <w:proofErr w:type="spellEnd"/>
      <w:r>
        <w:t>, beaked sedge</w:t>
      </w:r>
      <w:r w:rsidR="001C7C7A">
        <w:t>,</w:t>
      </w:r>
      <w:r>
        <w:t xml:space="preserve"> and water sedge, among others. </w:t>
      </w:r>
    </w:p>
    <w:p w:rsidR="00277AC3" w:rsidP="00277AC3" w:rsidRDefault="00277AC3" w14:paraId="48CF07BF" w14:textId="77777777"/>
    <w:p w:rsidR="00277AC3" w:rsidP="00277AC3" w:rsidRDefault="5F932511" w14:paraId="32EB6924" w14:textId="503599A9">
      <w:r>
        <w:t xml:space="preserve">Other species for MZ21 include </w:t>
      </w:r>
      <w:r w:rsidRPr="5F932511">
        <w:rPr>
          <w:i/>
          <w:iCs/>
        </w:rPr>
        <w:t xml:space="preserve">Salix </w:t>
      </w:r>
      <w:proofErr w:type="spellStart"/>
      <w:r w:rsidRPr="5F932511">
        <w:rPr>
          <w:i/>
          <w:iCs/>
        </w:rPr>
        <w:t>eastwoodiae</w:t>
      </w:r>
      <w:proofErr w:type="spellEnd"/>
      <w:r>
        <w:t xml:space="preserve">, </w:t>
      </w:r>
      <w:r w:rsidRPr="5F932511">
        <w:rPr>
          <w:i/>
          <w:iCs/>
        </w:rPr>
        <w:t xml:space="preserve">S. </w:t>
      </w:r>
      <w:proofErr w:type="spellStart"/>
      <w:r w:rsidRPr="5F932511">
        <w:rPr>
          <w:i/>
          <w:iCs/>
        </w:rPr>
        <w:t>glauca</w:t>
      </w:r>
      <w:proofErr w:type="spellEnd"/>
      <w:r>
        <w:t xml:space="preserve">, </w:t>
      </w:r>
      <w:r w:rsidRPr="5F932511">
        <w:rPr>
          <w:i/>
          <w:iCs/>
        </w:rPr>
        <w:t xml:space="preserve">S. </w:t>
      </w:r>
      <w:proofErr w:type="spellStart"/>
      <w:r w:rsidRPr="5F932511">
        <w:rPr>
          <w:i/>
          <w:iCs/>
        </w:rPr>
        <w:t>tweedyi</w:t>
      </w:r>
      <w:proofErr w:type="spellEnd"/>
      <w:r>
        <w:t xml:space="preserve">, </w:t>
      </w:r>
      <w:proofErr w:type="spellStart"/>
      <w:r w:rsidRPr="5F932511">
        <w:rPr>
          <w:i/>
          <w:iCs/>
        </w:rPr>
        <w:t>Carex</w:t>
      </w:r>
      <w:proofErr w:type="spellEnd"/>
      <w:r w:rsidRPr="5F932511">
        <w:rPr>
          <w:i/>
          <w:iCs/>
        </w:rPr>
        <w:t xml:space="preserve"> </w:t>
      </w:r>
      <w:proofErr w:type="spellStart"/>
      <w:r w:rsidRPr="5F932511">
        <w:rPr>
          <w:i/>
          <w:iCs/>
        </w:rPr>
        <w:t>brunnscens</w:t>
      </w:r>
      <w:proofErr w:type="spellEnd"/>
      <w:r>
        <w:t xml:space="preserve">, </w:t>
      </w:r>
      <w:r w:rsidRPr="5F932511">
        <w:rPr>
          <w:i/>
          <w:iCs/>
        </w:rPr>
        <w:t xml:space="preserve">C. </w:t>
      </w:r>
      <w:proofErr w:type="spellStart"/>
      <w:r w:rsidRPr="5F932511">
        <w:rPr>
          <w:i/>
          <w:iCs/>
        </w:rPr>
        <w:t>canescens</w:t>
      </w:r>
      <w:proofErr w:type="spellEnd"/>
      <w:r>
        <w:t xml:space="preserve">, </w:t>
      </w:r>
      <w:r w:rsidRPr="5F932511">
        <w:rPr>
          <w:i/>
          <w:iCs/>
        </w:rPr>
        <w:t xml:space="preserve">C. </w:t>
      </w:r>
      <w:proofErr w:type="spellStart"/>
      <w:r w:rsidRPr="5F932511">
        <w:rPr>
          <w:i/>
          <w:iCs/>
        </w:rPr>
        <w:t>aurea</w:t>
      </w:r>
      <w:proofErr w:type="spellEnd"/>
      <w:r>
        <w:t xml:space="preserve">, </w:t>
      </w:r>
      <w:r w:rsidRPr="5F932511">
        <w:rPr>
          <w:i/>
          <w:iCs/>
        </w:rPr>
        <w:t xml:space="preserve">C. </w:t>
      </w:r>
      <w:proofErr w:type="spellStart"/>
      <w:r w:rsidRPr="5F932511">
        <w:rPr>
          <w:i/>
          <w:iCs/>
        </w:rPr>
        <w:t>hoodii</w:t>
      </w:r>
      <w:proofErr w:type="spellEnd"/>
      <w:r>
        <w:t xml:space="preserve">, </w:t>
      </w:r>
      <w:r w:rsidRPr="5F932511">
        <w:rPr>
          <w:i/>
          <w:iCs/>
        </w:rPr>
        <w:t xml:space="preserve">C. </w:t>
      </w:r>
      <w:proofErr w:type="spellStart"/>
      <w:r w:rsidRPr="5F932511">
        <w:rPr>
          <w:i/>
          <w:iCs/>
        </w:rPr>
        <w:t>illota</w:t>
      </w:r>
      <w:proofErr w:type="spellEnd"/>
      <w:r>
        <w:t xml:space="preserve">, </w:t>
      </w:r>
      <w:r w:rsidRPr="5F932511">
        <w:rPr>
          <w:i/>
          <w:iCs/>
        </w:rPr>
        <w:t xml:space="preserve">C. </w:t>
      </w:r>
      <w:proofErr w:type="spellStart"/>
      <w:r w:rsidRPr="5F932511">
        <w:rPr>
          <w:i/>
          <w:iCs/>
        </w:rPr>
        <w:t>luzulina</w:t>
      </w:r>
      <w:proofErr w:type="spellEnd"/>
      <w:r>
        <w:t xml:space="preserve">, </w:t>
      </w:r>
      <w:r w:rsidRPr="5F932511">
        <w:rPr>
          <w:i/>
          <w:iCs/>
        </w:rPr>
        <w:t>C. nigricans</w:t>
      </w:r>
      <w:r>
        <w:t xml:space="preserve">, </w:t>
      </w:r>
      <w:r w:rsidRPr="5F932511">
        <w:rPr>
          <w:i/>
          <w:iCs/>
        </w:rPr>
        <w:t xml:space="preserve">C. </w:t>
      </w:r>
      <w:proofErr w:type="spellStart"/>
      <w:r w:rsidRPr="5F932511">
        <w:rPr>
          <w:i/>
          <w:iCs/>
        </w:rPr>
        <w:t>norvegica</w:t>
      </w:r>
      <w:proofErr w:type="spellEnd"/>
      <w:r>
        <w:t xml:space="preserve">, </w:t>
      </w:r>
      <w:r w:rsidRPr="5F932511">
        <w:rPr>
          <w:i/>
          <w:iCs/>
        </w:rPr>
        <w:t xml:space="preserve">C. </w:t>
      </w:r>
      <w:proofErr w:type="spellStart"/>
      <w:r w:rsidRPr="5F932511">
        <w:rPr>
          <w:i/>
          <w:iCs/>
        </w:rPr>
        <w:t>podocarpa</w:t>
      </w:r>
      <w:proofErr w:type="spellEnd"/>
      <w:r>
        <w:t xml:space="preserve">, </w:t>
      </w:r>
      <w:r w:rsidRPr="5F932511">
        <w:rPr>
          <w:i/>
          <w:iCs/>
        </w:rPr>
        <w:t xml:space="preserve">C. </w:t>
      </w:r>
      <w:proofErr w:type="spellStart"/>
      <w:r w:rsidRPr="5F932511">
        <w:rPr>
          <w:i/>
          <w:iCs/>
        </w:rPr>
        <w:t>praticola</w:t>
      </w:r>
      <w:proofErr w:type="spellEnd"/>
      <w:r>
        <w:t xml:space="preserve">, </w:t>
      </w:r>
      <w:r w:rsidRPr="5F932511">
        <w:rPr>
          <w:i/>
          <w:iCs/>
        </w:rPr>
        <w:t xml:space="preserve">C. </w:t>
      </w:r>
      <w:proofErr w:type="spellStart"/>
      <w:r w:rsidRPr="5F932511">
        <w:rPr>
          <w:i/>
          <w:iCs/>
        </w:rPr>
        <w:t>scopulorum</w:t>
      </w:r>
      <w:proofErr w:type="spellEnd"/>
      <w:r>
        <w:t xml:space="preserve">, </w:t>
      </w:r>
      <w:proofErr w:type="spellStart"/>
      <w:r w:rsidRPr="5F932511">
        <w:rPr>
          <w:i/>
          <w:iCs/>
        </w:rPr>
        <w:t>Mertensia</w:t>
      </w:r>
      <w:proofErr w:type="spellEnd"/>
      <w:r w:rsidRPr="5F932511">
        <w:rPr>
          <w:i/>
          <w:iCs/>
        </w:rPr>
        <w:t xml:space="preserve"> </w:t>
      </w:r>
      <w:proofErr w:type="spellStart"/>
      <w:r w:rsidRPr="5F932511">
        <w:rPr>
          <w:i/>
          <w:iCs/>
        </w:rPr>
        <w:t>ciliata</w:t>
      </w:r>
      <w:proofErr w:type="spellEnd"/>
      <w:r>
        <w:t xml:space="preserve">, and </w:t>
      </w:r>
      <w:proofErr w:type="spellStart"/>
      <w:r w:rsidRPr="5F932511">
        <w:rPr>
          <w:i/>
          <w:iCs/>
        </w:rPr>
        <w:t>Saxifraga</w:t>
      </w:r>
      <w:proofErr w:type="spellEnd"/>
      <w:r w:rsidRPr="5F932511">
        <w:rPr>
          <w:i/>
          <w:iCs/>
        </w:rPr>
        <w:t xml:space="preserve"> </w:t>
      </w:r>
      <w:proofErr w:type="spellStart"/>
      <w:r w:rsidRPr="5F932511">
        <w:rPr>
          <w:i/>
          <w:iCs/>
        </w:rPr>
        <w:t>odontoloma</w:t>
      </w:r>
      <w:proofErr w:type="spellEnd"/>
      <w:r>
        <w:t>.</w:t>
      </w:r>
    </w:p>
    <w:p w:rsidR="00277AC3" w:rsidP="00277AC3" w:rsidRDefault="00277AC3" w14:paraId="47DBCDF3" w14:textId="77777777"/>
    <w:p w:rsidR="00277AC3" w:rsidP="00277AC3" w:rsidRDefault="5F932511" w14:paraId="42299DF3" w14:textId="1FB3BC7D">
      <w:r>
        <w:t>Unlike the lower elevation riparian types (1159, Rocky Mountain Subalpine Lower Montane Riparian Systems), this type does not typically include cottonwood species but may include paper birch and aspen. (On the Bridger-Teton NF, there is no paper birch.)</w:t>
      </w:r>
    </w:p>
    <w:p w:rsidR="00277AC3" w:rsidP="00277AC3" w:rsidRDefault="00277AC3" w14:paraId="37A76FF1" w14:textId="77777777"/>
    <w:p w:rsidR="00277AC3" w:rsidP="00277AC3" w:rsidRDefault="5F932511" w14:paraId="36CCFB7C" w14:textId="4D52BAF6">
      <w:r>
        <w:t>In MZ21, high</w:t>
      </w:r>
      <w:r w:rsidR="001C7C7A">
        <w:t>-</w:t>
      </w:r>
      <w:r>
        <w:t xml:space="preserve">elevation meadows in the Greater Yellowstone Ecosystem also have the spruce-fir component interspersed in the wetlands along with the addition of lodgepole pine. This is primarily in low-gradient, alluvial settings. In the case of Yellowstone National Park, the setting occurs in the </w:t>
      </w:r>
      <w:proofErr w:type="spellStart"/>
      <w:r>
        <w:t>Bechler</w:t>
      </w:r>
      <w:proofErr w:type="spellEnd"/>
      <w:r>
        <w:t xml:space="preserve"> Meadows, Gibbon Meadows, Pelican Valley, Indian Creek</w:t>
      </w:r>
      <w:r w:rsidR="001C7C7A">
        <w:t>,</w:t>
      </w:r>
      <w:r>
        <w:t xml:space="preserve"> and </w:t>
      </w:r>
      <w:proofErr w:type="spellStart"/>
      <w:r>
        <w:t>Thorofare</w:t>
      </w:r>
      <w:proofErr w:type="spellEnd"/>
      <w:r>
        <w:t>. Habitat in the Bridger Teton is also part of the system.</w:t>
      </w:r>
    </w:p>
    <w:p w:rsidR="00277AC3" w:rsidP="00277AC3" w:rsidRDefault="5F932511" w14:paraId="23B4C98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277AC3" w:rsidP="00277AC3" w:rsidRDefault="5F932511" w14:paraId="40EA2CEB" w14:textId="77777777">
      <w:pPr>
        <w:pStyle w:val="InfoPara"/>
      </w:pPr>
      <w:r>
        <w:t>Disturbance Description</w:t>
      </w:r>
    </w:p>
    <w:p w:rsidR="00277AC3" w:rsidP="00277AC3" w:rsidRDefault="5F932511" w14:paraId="7CD0B840" w14:textId="77777777">
      <w:r>
        <w:t xml:space="preserve">Flooding events and availability of water during drier periods are the major influences </w:t>
      </w:r>
      <w:proofErr w:type="gramStart"/>
      <w:r>
        <w:t>to</w:t>
      </w:r>
      <w:proofErr w:type="gramEnd"/>
      <w:r>
        <w:t xml:space="preserve"> this system, as a function of slope. Frequent flood events maintain vegetation but do not scour it, whereas larger, infrequent flood events scour and reset succession to early development, depending on vegetation.</w:t>
      </w:r>
    </w:p>
    <w:p w:rsidR="00277AC3" w:rsidP="00277AC3" w:rsidRDefault="00277AC3" w14:paraId="686AA7E0" w14:textId="77777777"/>
    <w:p w:rsidR="00277AC3" w:rsidP="00277AC3" w:rsidRDefault="5F932511" w14:paraId="12F51137" w14:textId="2B318A63">
      <w:r>
        <w:t xml:space="preserve">Reviewers felt that this </w:t>
      </w:r>
      <w:r w:rsidR="001C7C7A">
        <w:t>Biophysical Setting (</w:t>
      </w:r>
      <w:proofErr w:type="spellStart"/>
      <w:r>
        <w:t>BpS</w:t>
      </w:r>
      <w:proofErr w:type="spellEnd"/>
      <w:r w:rsidR="001C7C7A">
        <w:t>)</w:t>
      </w:r>
      <w:r>
        <w:t xml:space="preserve"> 1160 is more consistently wet with deep root systems, deep bogs, springs</w:t>
      </w:r>
      <w:r w:rsidR="001C7C7A">
        <w:t>,</w:t>
      </w:r>
      <w:r>
        <w:t xml:space="preserve"> and small streams so that flooding events wouldn't be the major influence. Short growing season, temperature, radiation, avalanches, snow events, ice and scouring, herbivory</w:t>
      </w:r>
      <w:r w:rsidR="001C7C7A">
        <w:t>,</w:t>
      </w:r>
      <w:r>
        <w:t xml:space="preserve"> and possibly long-interval fire regimes are major disturbances, but more data </w:t>
      </w:r>
      <w:r w:rsidR="001C7C7A">
        <w:t>are</w:t>
      </w:r>
      <w:r>
        <w:t xml:space="preserve"> still needed (</w:t>
      </w:r>
      <w:proofErr w:type="spellStart"/>
      <w:r>
        <w:t>Ozenberger</w:t>
      </w:r>
      <w:proofErr w:type="spellEnd"/>
      <w:r>
        <w:t xml:space="preserve"> personal communication). </w:t>
      </w:r>
    </w:p>
    <w:p w:rsidR="00277AC3" w:rsidP="00277AC3" w:rsidRDefault="00277AC3" w14:paraId="32B7AA49" w14:textId="77777777"/>
    <w:p w:rsidR="00277AC3" w:rsidP="00277AC3" w:rsidRDefault="5F932511" w14:paraId="47E5F278" w14:textId="5CA282DD">
      <w:r>
        <w:t>These wetlands typically are in small upper-elevation watersheds that periodically experience high rainfall in short periods from convective thunderstorms, leading to rapid runoff and mobilization of the fine alluvium in willow-dominated areas and even some of the rocks in conifer-dominated riparian on steeper gradients. Floods in willow-dominated alluvium may not show up as rushing streams scouring banks</w:t>
      </w:r>
      <w:r w:rsidR="001C7C7A">
        <w:t xml:space="preserve"> </w:t>
      </w:r>
      <w:r>
        <w:t>bu</w:t>
      </w:r>
      <w:r w:rsidR="001C7C7A">
        <w:t>t</w:t>
      </w:r>
      <w:r>
        <w:t xml:space="preserve"> more as a rising bathtub type of flood. Alluvium does get moved and willows get </w:t>
      </w:r>
      <w:proofErr w:type="spellStart"/>
      <w:r>
        <w:t>topkilled</w:t>
      </w:r>
      <w:proofErr w:type="spellEnd"/>
      <w:r>
        <w:t xml:space="preserve"> by inundation or by deposition or removal of alluvium (anonymous contributor, personal correspondence).</w:t>
      </w:r>
    </w:p>
    <w:p w:rsidR="00277AC3" w:rsidP="00277AC3" w:rsidRDefault="00277AC3" w14:paraId="09C9C70B" w14:textId="77777777"/>
    <w:p w:rsidR="00277AC3" w:rsidP="00277AC3" w:rsidRDefault="5F932511" w14:paraId="2C28F0FB" w14:textId="61833AE4">
      <w:r>
        <w:t xml:space="preserve">Sites are probably </w:t>
      </w:r>
      <w:proofErr w:type="gramStart"/>
      <w:r>
        <w:t>fairly lush</w:t>
      </w:r>
      <w:proofErr w:type="gramEnd"/>
      <w:r>
        <w:t xml:space="preserve">, so fires may skip over them. This would be a patchy replacement fire, </w:t>
      </w:r>
      <w:proofErr w:type="spellStart"/>
      <w:r>
        <w:t>topkilling</w:t>
      </w:r>
      <w:proofErr w:type="spellEnd"/>
      <w:r>
        <w:t xml:space="preserve"> all the vegetation.</w:t>
      </w:r>
    </w:p>
    <w:p w:rsidR="00277AC3" w:rsidP="00277AC3" w:rsidRDefault="00277AC3" w14:paraId="39953EF1" w14:textId="77777777"/>
    <w:p w:rsidR="00277AC3" w:rsidP="00277AC3" w:rsidRDefault="5F932511" w14:paraId="0727AFC7" w14:textId="02772F2C">
      <w:r>
        <w:t xml:space="preserve">Fire intervals for MZ21 are modeled at 3x longer than those in MZ10 and </w:t>
      </w:r>
      <w:r w:rsidR="001C7C7A">
        <w:t>MZ</w:t>
      </w:r>
      <w:r>
        <w:t>19.</w:t>
      </w:r>
    </w:p>
    <w:p w:rsidR="00277AC3" w:rsidP="00277AC3" w:rsidRDefault="00277AC3" w14:paraId="643B49EF" w14:textId="77777777"/>
    <w:p w:rsidR="00277AC3" w:rsidP="00277AC3" w:rsidRDefault="5F932511" w14:paraId="21A385FC" w14:textId="31596581">
      <w:r>
        <w:t xml:space="preserve">Outside reviewer for MZ21 commented that the fire return intervals </w:t>
      </w:r>
      <w:r w:rsidR="001C7C7A">
        <w:t xml:space="preserve">(FRIs) </w:t>
      </w:r>
      <w:r>
        <w:t>are modeled at too</w:t>
      </w:r>
      <w:r w:rsidR="001C7C7A">
        <w:t>-</w:t>
      </w:r>
      <w:r>
        <w:t>long intervals.</w:t>
      </w:r>
    </w:p>
    <w:p w:rsidR="00277AC3" w:rsidP="00277AC3" w:rsidRDefault="00AC60E2" w14:paraId="449EA9DB" w14:textId="46BD6F9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335</w:t>
            </w:r>
          </w:p>
        </w:tc>
        <w:tc>
          <w:p>
            <w:pPr>
              <w:jc w:val="center"/>
            </w:pPr>
            <w:r>
              <w:t>89</w:t>
            </w:r>
          </w:p>
        </w:tc>
        <w:tc>
          <w:p>
            <w:pPr>
              <w:jc w:val="center"/>
            </w:pPr>
            <w:r>
              <w:t>100</w:t>
            </w:r>
          </w:p>
        </w:tc>
        <w:tc>
          <w:p>
            <w:pPr>
              <w:jc w:val="center"/>
            </w:pPr>
            <w:r>
              <w:t>500</w:t>
            </w:r>
          </w:p>
        </w:tc>
      </w:tr>
      <w:tr>
        <w:tc>
          <w:p>
            <w:pPr>
              <w:jc w:val="center"/>
            </w:pPr>
            <w:r>
              <w:t>Moderate (Mixed)</w:t>
            </w:r>
          </w:p>
        </w:tc>
        <w:tc>
          <w:p>
            <w:pPr>
              <w:jc w:val="center"/>
            </w:pPr>
            <w:r>
              <w:t>2765</w:t>
            </w:r>
          </w:p>
        </w:tc>
        <w:tc>
          <w:p>
            <w:pPr>
              <w:jc w:val="center"/>
            </w:pPr>
            <w:r>
              <w:t>11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299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77AC3" w:rsidP="00277AC3" w:rsidRDefault="5F932511" w14:paraId="030F44F1" w14:textId="77777777">
      <w:pPr>
        <w:pStyle w:val="InfoPara"/>
      </w:pPr>
      <w:r>
        <w:t>Scale Description</w:t>
      </w:r>
    </w:p>
    <w:p w:rsidR="00277AC3" w:rsidP="00277AC3" w:rsidRDefault="5F932511" w14:paraId="1DD78A70" w14:textId="77777777">
      <w:r>
        <w:t>These systems are small linear or relatively wide features in the landscape.</w:t>
      </w:r>
    </w:p>
    <w:p w:rsidR="00277AC3" w:rsidP="00277AC3" w:rsidRDefault="00277AC3" w14:paraId="73953037" w14:textId="77777777"/>
    <w:p w:rsidR="00277AC3" w:rsidP="00277AC3" w:rsidRDefault="5F932511" w14:paraId="46F3BE45" w14:textId="77777777">
      <w:r>
        <w:t>Per NatureServe, these are montane to subalpine riparian shrublands occurring as narrow bands of shrubs lining streambanks and alluvial terraces in narrow to wide, low-gradient valley bottoms and floodplains with sinuous stream channels.</w:t>
      </w:r>
    </w:p>
    <w:p w:rsidR="00277AC3" w:rsidP="00277AC3" w:rsidRDefault="5F932511" w14:paraId="76E188DB" w14:textId="77777777">
      <w:pPr>
        <w:pStyle w:val="InfoPara"/>
      </w:pPr>
      <w:r>
        <w:t>Adjacency or Identification Concerns</w:t>
      </w:r>
    </w:p>
    <w:p w:rsidR="00277AC3" w:rsidP="00277AC3" w:rsidRDefault="5F932511" w14:paraId="23E042B4" w14:textId="10DCB3B5">
      <w:r>
        <w:t xml:space="preserve">This </w:t>
      </w:r>
      <w:proofErr w:type="spellStart"/>
      <w:r>
        <w:t>BpS</w:t>
      </w:r>
      <w:proofErr w:type="spellEnd"/>
      <w:r>
        <w:t xml:space="preserve"> includes narrow to moderately wide meadows, shrublands</w:t>
      </w:r>
      <w:r w:rsidR="001C7C7A">
        <w:t>,</w:t>
      </w:r>
      <w:r>
        <w:t xml:space="preserve"> and woodlands of conifers and aspen.</w:t>
      </w:r>
    </w:p>
    <w:p w:rsidR="00277AC3" w:rsidP="00277AC3" w:rsidRDefault="00277AC3" w14:paraId="498AF837" w14:textId="77777777"/>
    <w:p w:rsidR="00277AC3" w:rsidP="00277AC3" w:rsidRDefault="5F932511" w14:paraId="7841215C" w14:textId="7DE6EBAF">
      <w:r>
        <w:t xml:space="preserve">Over-grazing and irrigation use have had major impacts on some of these systems. Exotics in this setting are primarily Kentucky bluegrass, timothy, </w:t>
      </w:r>
      <w:proofErr w:type="spellStart"/>
      <w:r>
        <w:t>orchardgrass</w:t>
      </w:r>
      <w:proofErr w:type="spellEnd"/>
      <w:r w:rsidR="001C7C7A">
        <w:t>,</w:t>
      </w:r>
      <w:r>
        <w:t xml:space="preserve"> and dandelion.</w:t>
      </w:r>
    </w:p>
    <w:p w:rsidR="00277AC3" w:rsidP="00277AC3" w:rsidRDefault="00277AC3" w14:paraId="22BDECAE" w14:textId="77777777"/>
    <w:p w:rsidR="00277AC3" w:rsidP="00277AC3" w:rsidRDefault="5F932511" w14:paraId="14C4E6CC" w14:textId="3B722F43">
      <w:r>
        <w:t xml:space="preserve">Reviewers for MZ21 felt that the above information did not apply significantly to this MZ21. However, the statements were not removed </w:t>
      </w:r>
      <w:proofErr w:type="gramStart"/>
      <w:r>
        <w:t>in order to</w:t>
      </w:r>
      <w:proofErr w:type="gramEnd"/>
      <w:r>
        <w:t xml:space="preserve"> retain consistency between models.</w:t>
      </w:r>
    </w:p>
    <w:p w:rsidR="00277AC3" w:rsidP="00277AC3" w:rsidRDefault="5F932511" w14:paraId="268AE659" w14:textId="77777777">
      <w:pPr>
        <w:pStyle w:val="InfoPara"/>
      </w:pPr>
      <w:r>
        <w:t>Issues or Problems</w:t>
      </w:r>
    </w:p>
    <w:p w:rsidR="00277AC3" w:rsidP="00277AC3" w:rsidRDefault="5F932511" w14:paraId="51FB70AD" w14:textId="268BF828">
      <w:r>
        <w:t>There is a paucity of fire information on this system</w:t>
      </w:r>
      <w:r w:rsidR="001C7C7A">
        <w:t>,</w:t>
      </w:r>
      <w:r>
        <w:t xml:space="preserve"> and the very heterogeneous nature of the systems is challenging for model</w:t>
      </w:r>
      <w:r w:rsidR="001C7C7A">
        <w:t>-</w:t>
      </w:r>
      <w:r>
        <w:t xml:space="preserve">building. However, most of the shrubs and graminoids respond favorably to fire by </w:t>
      </w:r>
      <w:proofErr w:type="spellStart"/>
      <w:r>
        <w:t>resprouting</w:t>
      </w:r>
      <w:proofErr w:type="spellEnd"/>
      <w:r>
        <w:t xml:space="preserve"> from the root crown.</w:t>
      </w:r>
    </w:p>
    <w:p w:rsidR="00277AC3" w:rsidP="00277AC3" w:rsidRDefault="00277AC3" w14:paraId="0D2DAEA3" w14:textId="77777777"/>
    <w:p w:rsidR="00277AC3" w:rsidP="00277AC3" w:rsidRDefault="5F932511" w14:paraId="63CEEBEB" w14:textId="62BBCFB3">
      <w:r>
        <w:t xml:space="preserve">Reviewers state that sites are probably </w:t>
      </w:r>
      <w:proofErr w:type="gramStart"/>
      <w:r>
        <w:t>fairly lush</w:t>
      </w:r>
      <w:proofErr w:type="gramEnd"/>
      <w:r>
        <w:t xml:space="preserve">, so fires may skip over them. Domestic sheep may be an issue in the Wyoming and Wind River </w:t>
      </w:r>
      <w:r w:rsidR="001C7C7A">
        <w:t>r</w:t>
      </w:r>
      <w:r>
        <w:t>anges. Global warming and acid rain may affect vegetation.</w:t>
      </w:r>
    </w:p>
    <w:p w:rsidR="00277AC3" w:rsidP="00277AC3" w:rsidRDefault="5F932511" w14:paraId="4C34C3F8" w14:textId="77777777">
      <w:pPr>
        <w:pStyle w:val="InfoPara"/>
      </w:pPr>
      <w:r>
        <w:t>Native Uncharacteristic Conditions</w:t>
      </w:r>
    </w:p>
    <w:p w:rsidR="00277AC3" w:rsidP="00277AC3" w:rsidRDefault="00277AC3" w14:paraId="11E4A267" w14:textId="77777777"/>
    <w:p w:rsidR="00277AC3" w:rsidP="00277AC3" w:rsidRDefault="5F932511" w14:paraId="3B564FBB" w14:textId="77777777">
      <w:pPr>
        <w:pStyle w:val="InfoPara"/>
      </w:pPr>
      <w:r>
        <w:t>Comments</w:t>
      </w:r>
    </w:p>
    <w:p w:rsidR="00277AC3" w:rsidP="00277AC3" w:rsidRDefault="5F932511" w14:paraId="77CD432B" w14:textId="2CDF9844">
      <w:r>
        <w:t xml:space="preserve">This model for MZ21 was adapted from the LANDFIRE models for the same </w:t>
      </w:r>
      <w:proofErr w:type="spellStart"/>
      <w:r>
        <w:t>BpS</w:t>
      </w:r>
      <w:proofErr w:type="spellEnd"/>
      <w:r>
        <w:t xml:space="preserve"> 1160 from MZ10, </w:t>
      </w:r>
      <w:r w:rsidR="001C7C7A">
        <w:t>MZ</w:t>
      </w:r>
      <w:r>
        <w:t xml:space="preserve">19, </w:t>
      </w:r>
      <w:r w:rsidR="001C7C7A">
        <w:t>MZ</w:t>
      </w:r>
      <w:r>
        <w:t xml:space="preserve">12, </w:t>
      </w:r>
      <w:r w:rsidR="001C7C7A">
        <w:t>MZ</w:t>
      </w:r>
      <w:r>
        <w:t>17</w:t>
      </w:r>
      <w:r w:rsidR="001C7C7A">
        <w:t>,</w:t>
      </w:r>
      <w:r>
        <w:t xml:space="preserve"> and </w:t>
      </w:r>
      <w:r w:rsidR="001C7C7A">
        <w:t>MZ</w:t>
      </w:r>
      <w:r>
        <w:t xml:space="preserve">16; models for MZ10 and </w:t>
      </w:r>
      <w:r w:rsidR="001C7C7A">
        <w:t>MZ</w:t>
      </w:r>
      <w:r>
        <w:t xml:space="preserve">19 created by Don Major (dmajor@tnc.org) and Mary Manning (mmanning@fs.fed.us) and reviewed by Carly Gibson (cgibson@fs.fed.us), Cathy Stewart (cstewart@fs.fed.us), John </w:t>
      </w:r>
      <w:proofErr w:type="spellStart"/>
      <w:r>
        <w:t>DiBari</w:t>
      </w:r>
      <w:proofErr w:type="spellEnd"/>
      <w:r>
        <w:t xml:space="preserve"> (jndibari@yahoo.com)</w:t>
      </w:r>
      <w:r w:rsidR="001C7C7A">
        <w:t xml:space="preserve">, </w:t>
      </w:r>
      <w:r>
        <w:t xml:space="preserve">and Steve Barrett (sbarrett@mtdig.net). For MZ21, descriptions were modified and fire intervals were changed/increased (less fire). Additional reviewer for MZ21 was Brenda </w:t>
      </w:r>
      <w:proofErr w:type="spellStart"/>
      <w:r>
        <w:t>Fiddick</w:t>
      </w:r>
      <w:proofErr w:type="spellEnd"/>
      <w:r>
        <w:t xml:space="preserve"> (bfiddick@fs.fed.us). Even though this MZ21 model varied from other </w:t>
      </w:r>
      <w:r w:rsidR="001C7C7A">
        <w:t>MZ</w:t>
      </w:r>
      <w:r>
        <w:t xml:space="preserve"> models in FRI, L</w:t>
      </w:r>
      <w:r w:rsidR="001C7C7A">
        <w:t>ANDFIRE</w:t>
      </w:r>
      <w:r>
        <w:t xml:space="preserve"> leadership guidance to modify intervals based on majority literature and expert opinion was not applied here, as no experts raised issue with this model or FRI. Also</w:t>
      </w:r>
      <w:r w:rsidR="001C7C7A">
        <w:t xml:space="preserve">, </w:t>
      </w:r>
      <w:r>
        <w:t xml:space="preserve">riparian system modeling has varied between </w:t>
      </w:r>
      <w:r w:rsidR="001C7C7A">
        <w:t>MZs</w:t>
      </w:r>
      <w:r>
        <w:t>.</w:t>
      </w:r>
    </w:p>
    <w:p w:rsidR="00301075" w:rsidP="00277AC3" w:rsidRDefault="00301075" w14:paraId="184417E2" w14:textId="77777777"/>
    <w:p w:rsidR="00277AC3" w:rsidP="00277AC3" w:rsidRDefault="5F932511" w14:paraId="63979CCF" w14:textId="77777777">
      <w:pPr>
        <w:pStyle w:val="ReportSection"/>
      </w:pPr>
      <w:r>
        <w:t>Succession Classes</w:t>
      </w:r>
    </w:p>
    <w:p w:rsidR="00277AC3" w:rsidP="00277AC3" w:rsidRDefault="00277AC3" w14:paraId="7953626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77AC3" w:rsidP="00277AC3" w:rsidRDefault="00277AC3" w14:paraId="51EF1CB3"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77AC3" w:rsidP="00277AC3" w:rsidRDefault="00277AC3" w14:paraId="17B277C1" w14:textId="77777777"/>
    <w:p w:rsidR="00277AC3" w:rsidP="00277AC3" w:rsidRDefault="5F932511" w14:paraId="4E7E31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277AC3" w:rsidR="00277AC3" w:rsidTr="5F932511" w14:paraId="6BFA6D5F" w14:textId="77777777">
        <w:tc>
          <w:tcPr>
            <w:tcW w:w="1140" w:type="dxa"/>
            <w:tcBorders>
              <w:top w:val="single" w:color="auto" w:sz="2" w:space="0"/>
              <w:bottom w:val="single" w:color="000000" w:themeColor="text1" w:sz="12" w:space="0"/>
            </w:tcBorders>
            <w:shd w:val="clear" w:color="auto" w:fill="auto"/>
          </w:tcPr>
          <w:p w:rsidRPr="00277AC3" w:rsidR="00277AC3" w:rsidP="5F932511" w:rsidRDefault="5F932511" w14:paraId="74F7B676" w14:textId="77777777">
            <w:pPr>
              <w:rPr>
                <w:b/>
                <w:bCs/>
              </w:rPr>
            </w:pPr>
            <w:r w:rsidRPr="5F932511">
              <w:rPr>
                <w:b/>
                <w:bCs/>
              </w:rPr>
              <w:t>Symbol</w:t>
            </w:r>
          </w:p>
        </w:tc>
        <w:tc>
          <w:tcPr>
            <w:tcW w:w="1908" w:type="dxa"/>
            <w:tcBorders>
              <w:top w:val="single" w:color="auto" w:sz="2" w:space="0"/>
              <w:bottom w:val="single" w:color="000000" w:themeColor="text1" w:sz="12" w:space="0"/>
            </w:tcBorders>
            <w:shd w:val="clear" w:color="auto" w:fill="auto"/>
          </w:tcPr>
          <w:p w:rsidRPr="00277AC3" w:rsidR="00277AC3" w:rsidP="5F932511" w:rsidRDefault="5F932511" w14:paraId="26A733D4" w14:textId="77777777">
            <w:pPr>
              <w:rPr>
                <w:b/>
                <w:bCs/>
              </w:rPr>
            </w:pPr>
            <w:r w:rsidRPr="5F932511">
              <w:rPr>
                <w:b/>
                <w:bCs/>
              </w:rPr>
              <w:t>Scientific Name</w:t>
            </w:r>
          </w:p>
        </w:tc>
        <w:tc>
          <w:tcPr>
            <w:tcW w:w="1860" w:type="dxa"/>
            <w:tcBorders>
              <w:top w:val="single" w:color="auto" w:sz="2" w:space="0"/>
              <w:bottom w:val="single" w:color="000000" w:themeColor="text1" w:sz="12" w:space="0"/>
            </w:tcBorders>
            <w:shd w:val="clear" w:color="auto" w:fill="auto"/>
          </w:tcPr>
          <w:p w:rsidRPr="00277AC3" w:rsidR="00277AC3" w:rsidP="5F932511" w:rsidRDefault="5F932511" w14:paraId="4B7A81C7" w14:textId="77777777">
            <w:pPr>
              <w:rPr>
                <w:b/>
                <w:bCs/>
              </w:rPr>
            </w:pPr>
            <w:r w:rsidRPr="5F932511">
              <w:rPr>
                <w:b/>
                <w:bCs/>
              </w:rPr>
              <w:t>Common Name</w:t>
            </w:r>
          </w:p>
        </w:tc>
        <w:tc>
          <w:tcPr>
            <w:tcW w:w="1956" w:type="dxa"/>
            <w:tcBorders>
              <w:top w:val="single" w:color="auto" w:sz="2" w:space="0"/>
              <w:bottom w:val="single" w:color="000000" w:themeColor="text1" w:sz="12" w:space="0"/>
            </w:tcBorders>
            <w:shd w:val="clear" w:color="auto" w:fill="auto"/>
          </w:tcPr>
          <w:p w:rsidRPr="00277AC3" w:rsidR="00277AC3" w:rsidP="5F932511" w:rsidRDefault="5F932511" w14:paraId="315B0161" w14:textId="77777777">
            <w:pPr>
              <w:rPr>
                <w:b/>
                <w:bCs/>
              </w:rPr>
            </w:pPr>
            <w:r w:rsidRPr="5F932511">
              <w:rPr>
                <w:b/>
                <w:bCs/>
              </w:rPr>
              <w:t>Canopy Position</w:t>
            </w:r>
          </w:p>
        </w:tc>
      </w:tr>
      <w:tr w:rsidRPr="00277AC3" w:rsidR="00277AC3" w:rsidTr="5F932511" w14:paraId="65172BD7" w14:textId="77777777">
        <w:tc>
          <w:tcPr>
            <w:tcW w:w="1140" w:type="dxa"/>
            <w:tcBorders>
              <w:top w:val="single" w:color="000000" w:themeColor="text1" w:sz="12" w:space="0"/>
            </w:tcBorders>
            <w:shd w:val="clear" w:color="auto" w:fill="auto"/>
          </w:tcPr>
          <w:p w:rsidRPr="00277AC3" w:rsidR="00277AC3" w:rsidP="002D43FF" w:rsidRDefault="5F932511" w14:paraId="4812F46B" w14:textId="77777777">
            <w:pPr>
              <w:rPr>
                <w:bCs/>
              </w:rPr>
            </w:pPr>
            <w:r>
              <w:t>SALIX</w:t>
            </w:r>
          </w:p>
        </w:tc>
        <w:tc>
          <w:tcPr>
            <w:tcW w:w="1908" w:type="dxa"/>
            <w:tcBorders>
              <w:top w:val="single" w:color="000000" w:themeColor="text1" w:sz="12" w:space="0"/>
            </w:tcBorders>
            <w:shd w:val="clear" w:color="auto" w:fill="auto"/>
          </w:tcPr>
          <w:p w:rsidRPr="00277AC3" w:rsidR="00277AC3" w:rsidP="002D43FF" w:rsidRDefault="5F932511" w14:paraId="2F3EAF00" w14:textId="77777777">
            <w:r>
              <w:t>Salix</w:t>
            </w:r>
          </w:p>
        </w:tc>
        <w:tc>
          <w:tcPr>
            <w:tcW w:w="1860" w:type="dxa"/>
            <w:tcBorders>
              <w:top w:val="single" w:color="000000" w:themeColor="text1" w:sz="12" w:space="0"/>
            </w:tcBorders>
            <w:shd w:val="clear" w:color="auto" w:fill="auto"/>
          </w:tcPr>
          <w:p w:rsidRPr="00277AC3" w:rsidR="00277AC3" w:rsidP="002D43FF" w:rsidRDefault="5F932511" w14:paraId="462ABC47" w14:textId="77777777">
            <w:r>
              <w:t>Willow</w:t>
            </w:r>
          </w:p>
        </w:tc>
        <w:tc>
          <w:tcPr>
            <w:tcW w:w="1956" w:type="dxa"/>
            <w:tcBorders>
              <w:top w:val="single" w:color="000000" w:themeColor="text1" w:sz="12" w:space="0"/>
            </w:tcBorders>
            <w:shd w:val="clear" w:color="auto" w:fill="auto"/>
          </w:tcPr>
          <w:p w:rsidRPr="00277AC3" w:rsidR="00277AC3" w:rsidP="002D43FF" w:rsidRDefault="5F932511" w14:paraId="30085498" w14:textId="77777777">
            <w:r>
              <w:t>Upper</w:t>
            </w:r>
          </w:p>
        </w:tc>
      </w:tr>
      <w:tr w:rsidRPr="00277AC3" w:rsidR="00277AC3" w:rsidTr="5F932511" w14:paraId="6A4C0E03" w14:textId="77777777">
        <w:tc>
          <w:tcPr>
            <w:tcW w:w="1140" w:type="dxa"/>
            <w:shd w:val="clear" w:color="auto" w:fill="auto"/>
          </w:tcPr>
          <w:p w:rsidRPr="00277AC3" w:rsidR="00277AC3" w:rsidP="002D43FF" w:rsidRDefault="5F932511" w14:paraId="57707454" w14:textId="77777777">
            <w:pPr>
              <w:rPr>
                <w:bCs/>
              </w:rPr>
            </w:pPr>
            <w:r>
              <w:t>CAREX</w:t>
            </w:r>
          </w:p>
        </w:tc>
        <w:tc>
          <w:tcPr>
            <w:tcW w:w="1908" w:type="dxa"/>
            <w:shd w:val="clear" w:color="auto" w:fill="auto"/>
          </w:tcPr>
          <w:p w:rsidRPr="00277AC3" w:rsidR="00277AC3" w:rsidP="002D43FF" w:rsidRDefault="5F932511" w14:paraId="1A5935D8" w14:textId="77777777">
            <w:proofErr w:type="spellStart"/>
            <w:r>
              <w:t>Carex</w:t>
            </w:r>
            <w:proofErr w:type="spellEnd"/>
          </w:p>
        </w:tc>
        <w:tc>
          <w:tcPr>
            <w:tcW w:w="1860" w:type="dxa"/>
            <w:shd w:val="clear" w:color="auto" w:fill="auto"/>
          </w:tcPr>
          <w:p w:rsidRPr="00277AC3" w:rsidR="00277AC3" w:rsidP="002D43FF" w:rsidRDefault="5F932511" w14:paraId="1D760823" w14:textId="77777777">
            <w:r>
              <w:t>Sedge</w:t>
            </w:r>
          </w:p>
        </w:tc>
        <w:tc>
          <w:tcPr>
            <w:tcW w:w="1956" w:type="dxa"/>
            <w:shd w:val="clear" w:color="auto" w:fill="auto"/>
          </w:tcPr>
          <w:p w:rsidRPr="00277AC3" w:rsidR="00277AC3" w:rsidP="002D43FF" w:rsidRDefault="5F932511" w14:paraId="3B837C7D" w14:textId="77777777">
            <w:r>
              <w:t>Upper</w:t>
            </w:r>
          </w:p>
        </w:tc>
      </w:tr>
    </w:tbl>
    <w:p w:rsidR="00277AC3" w:rsidP="00277AC3" w:rsidRDefault="00277AC3" w14:paraId="4B0DFF09" w14:textId="77777777"/>
    <w:p w:rsidR="00277AC3" w:rsidP="00277AC3" w:rsidRDefault="5F932511" w14:paraId="264BEF03" w14:textId="77777777">
      <w:pPr>
        <w:pStyle w:val="SClassInfoPara"/>
      </w:pPr>
      <w:r>
        <w:t>Description</w:t>
      </w:r>
    </w:p>
    <w:p w:rsidR="00277AC3" w:rsidP="00277AC3" w:rsidRDefault="5F932511" w14:paraId="59B151EE" w14:textId="106A4939">
      <w:r>
        <w:t>Immediate post-fire responses in this ecological system are dependent on pre-burn vegetation form. Post-burn condition sensitive to scouring and blowout from floods. This class is shrub</w:t>
      </w:r>
      <w:r w:rsidR="001C7C7A">
        <w:t>-</w:t>
      </w:r>
      <w:r>
        <w:t xml:space="preserve"> or grass</w:t>
      </w:r>
      <w:r w:rsidR="001C7C7A">
        <w:t>-</w:t>
      </w:r>
      <w:r>
        <w:t xml:space="preserve">dominated. Composition varies both within/among reaches. </w:t>
      </w:r>
    </w:p>
    <w:p w:rsidR="00277AC3" w:rsidP="00277AC3" w:rsidRDefault="00277AC3" w14:paraId="12EA1EC1" w14:textId="77777777"/>
    <w:p w:rsidR="00277AC3" w:rsidP="00277AC3" w:rsidRDefault="5F932511" w14:paraId="6087CDB0" w14:textId="5887CF9F">
      <w:r>
        <w:t xml:space="preserve">Flooding disturbances (modeled as weather-related stress) include events that do not scour frequently and events that reset the vegetation to age </w:t>
      </w:r>
      <w:r w:rsidR="001C7C7A">
        <w:t>0</w:t>
      </w:r>
      <w:r>
        <w:t xml:space="preserve"> infrequently (Option 2). </w:t>
      </w:r>
    </w:p>
    <w:p w:rsidR="00277AC3" w:rsidP="00277AC3" w:rsidRDefault="00277AC3" w14:paraId="507B852E" w14:textId="77777777"/>
    <w:p w:rsidR="00277AC3" w:rsidP="00277AC3" w:rsidRDefault="5F932511" w14:paraId="2EB0CB6D" w14:textId="4F268D33">
      <w:r>
        <w:t>Beaver (Option 1) reset succession by moving along the river with tree depletion. Replacement fire was typically rare</w:t>
      </w:r>
      <w:r w:rsidR="001C7C7A">
        <w:t>,</w:t>
      </w:r>
      <w:r>
        <w:t xml:space="preserve"> and mixed fire occurs more frequently.</w:t>
      </w:r>
    </w:p>
    <w:p w:rsidR="00277AC3" w:rsidP="00277AC3" w:rsidRDefault="00277AC3" w14:paraId="2B83A140" w14:textId="77777777"/>
    <w:p w:rsidR="00277AC3" w:rsidP="00277AC3" w:rsidRDefault="5F932511" w14:paraId="274453BC" w14:textId="4C8D4F8F">
      <w:r>
        <w:t>Native grazing occurs very infrequently.</w:t>
      </w:r>
    </w:p>
    <w:p w:rsidR="00277AC3" w:rsidP="00277AC3" w:rsidRDefault="00277AC3" w14:paraId="548D8060" w14:textId="77777777"/>
    <w:p>
      <w:r>
        <w:rPr>
          <w:i/>
          <w:u w:val="single"/>
        </w:rPr>
        <w:t>Maximum Tree Size Class</w:t>
      </w:r>
      <w:br/>
      <w:r>
        <w:t>None</w:t>
      </w:r>
    </w:p>
    <w:p w:rsidR="00277AC3" w:rsidP="00277AC3" w:rsidRDefault="00277AC3" w14:paraId="25E91D0D" w14:textId="77777777">
      <w:pPr>
        <w:pStyle w:val="InfoPara"/>
        <w:pBdr>
          <w:top w:val="single" w:color="auto" w:sz="4" w:space="1"/>
        </w:pBdr>
      </w:pPr>
      <w:r xmlns:w="http://schemas.openxmlformats.org/wordprocessingml/2006/main">
        <w:t>Class B</w:t>
      </w:r>
      <w:r xmlns:w="http://schemas.openxmlformats.org/wordprocessingml/2006/main">
        <w:tab/>
        <w:t>95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77AC3" w:rsidP="00277AC3" w:rsidRDefault="00277AC3" w14:paraId="6DF1A2F1" w14:textId="77777777"/>
    <w:p w:rsidR="00277AC3" w:rsidP="00277AC3" w:rsidRDefault="5F932511" w14:paraId="6338536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277AC3" w:rsidR="00277AC3" w:rsidTr="5F932511" w14:paraId="1B3A52EC" w14:textId="77777777">
        <w:tc>
          <w:tcPr>
            <w:tcW w:w="1140" w:type="dxa"/>
            <w:tcBorders>
              <w:top w:val="single" w:color="auto" w:sz="2" w:space="0"/>
              <w:bottom w:val="single" w:color="000000" w:themeColor="text1" w:sz="12" w:space="0"/>
            </w:tcBorders>
            <w:shd w:val="clear" w:color="auto" w:fill="auto"/>
          </w:tcPr>
          <w:p w:rsidRPr="00277AC3" w:rsidR="00277AC3" w:rsidP="5F932511" w:rsidRDefault="5F932511" w14:paraId="19408AC7" w14:textId="77777777">
            <w:pPr>
              <w:rPr>
                <w:b/>
                <w:bCs/>
              </w:rPr>
            </w:pPr>
            <w:r w:rsidRPr="5F932511">
              <w:rPr>
                <w:b/>
                <w:bCs/>
              </w:rPr>
              <w:t>Symbol</w:t>
            </w:r>
          </w:p>
        </w:tc>
        <w:tc>
          <w:tcPr>
            <w:tcW w:w="1908" w:type="dxa"/>
            <w:tcBorders>
              <w:top w:val="single" w:color="auto" w:sz="2" w:space="0"/>
              <w:bottom w:val="single" w:color="000000" w:themeColor="text1" w:sz="12" w:space="0"/>
            </w:tcBorders>
            <w:shd w:val="clear" w:color="auto" w:fill="auto"/>
          </w:tcPr>
          <w:p w:rsidRPr="00277AC3" w:rsidR="00277AC3" w:rsidP="5F932511" w:rsidRDefault="5F932511" w14:paraId="5CF3B4FA" w14:textId="77777777">
            <w:pPr>
              <w:rPr>
                <w:b/>
                <w:bCs/>
              </w:rPr>
            </w:pPr>
            <w:r w:rsidRPr="5F932511">
              <w:rPr>
                <w:b/>
                <w:bCs/>
              </w:rPr>
              <w:t>Scientific Name</w:t>
            </w:r>
          </w:p>
        </w:tc>
        <w:tc>
          <w:tcPr>
            <w:tcW w:w="1860" w:type="dxa"/>
            <w:tcBorders>
              <w:top w:val="single" w:color="auto" w:sz="2" w:space="0"/>
              <w:bottom w:val="single" w:color="000000" w:themeColor="text1" w:sz="12" w:space="0"/>
            </w:tcBorders>
            <w:shd w:val="clear" w:color="auto" w:fill="auto"/>
          </w:tcPr>
          <w:p w:rsidRPr="00277AC3" w:rsidR="00277AC3" w:rsidP="5F932511" w:rsidRDefault="5F932511" w14:paraId="1DDA585E" w14:textId="77777777">
            <w:pPr>
              <w:rPr>
                <w:b/>
                <w:bCs/>
              </w:rPr>
            </w:pPr>
            <w:r w:rsidRPr="5F932511">
              <w:rPr>
                <w:b/>
                <w:bCs/>
              </w:rPr>
              <w:t>Common Name</w:t>
            </w:r>
          </w:p>
        </w:tc>
        <w:tc>
          <w:tcPr>
            <w:tcW w:w="1956" w:type="dxa"/>
            <w:tcBorders>
              <w:top w:val="single" w:color="auto" w:sz="2" w:space="0"/>
              <w:bottom w:val="single" w:color="000000" w:themeColor="text1" w:sz="12" w:space="0"/>
            </w:tcBorders>
            <w:shd w:val="clear" w:color="auto" w:fill="auto"/>
          </w:tcPr>
          <w:p w:rsidRPr="00277AC3" w:rsidR="00277AC3" w:rsidP="5F932511" w:rsidRDefault="5F932511" w14:paraId="6AE18395" w14:textId="77777777">
            <w:pPr>
              <w:rPr>
                <w:b/>
                <w:bCs/>
              </w:rPr>
            </w:pPr>
            <w:r w:rsidRPr="5F932511">
              <w:rPr>
                <w:b/>
                <w:bCs/>
              </w:rPr>
              <w:t>Canopy Position</w:t>
            </w:r>
          </w:p>
        </w:tc>
      </w:tr>
      <w:tr w:rsidRPr="00277AC3" w:rsidR="00277AC3" w:rsidTr="5F932511" w14:paraId="46015EF0" w14:textId="77777777">
        <w:tc>
          <w:tcPr>
            <w:tcW w:w="1140" w:type="dxa"/>
            <w:tcBorders>
              <w:top w:val="single" w:color="000000" w:themeColor="text1" w:sz="12" w:space="0"/>
            </w:tcBorders>
            <w:shd w:val="clear" w:color="auto" w:fill="auto"/>
          </w:tcPr>
          <w:p w:rsidRPr="00277AC3" w:rsidR="00277AC3" w:rsidP="00C16F63" w:rsidRDefault="5F932511" w14:paraId="41122B8E" w14:textId="77777777">
            <w:pPr>
              <w:rPr>
                <w:bCs/>
              </w:rPr>
            </w:pPr>
            <w:r>
              <w:t>SALIX</w:t>
            </w:r>
          </w:p>
        </w:tc>
        <w:tc>
          <w:tcPr>
            <w:tcW w:w="1908" w:type="dxa"/>
            <w:tcBorders>
              <w:top w:val="single" w:color="000000" w:themeColor="text1" w:sz="12" w:space="0"/>
            </w:tcBorders>
            <w:shd w:val="clear" w:color="auto" w:fill="auto"/>
          </w:tcPr>
          <w:p w:rsidRPr="00277AC3" w:rsidR="00277AC3" w:rsidP="00C16F63" w:rsidRDefault="5F932511" w14:paraId="2EEDFA4B" w14:textId="77777777">
            <w:r>
              <w:t>Salix</w:t>
            </w:r>
          </w:p>
        </w:tc>
        <w:tc>
          <w:tcPr>
            <w:tcW w:w="1860" w:type="dxa"/>
            <w:tcBorders>
              <w:top w:val="single" w:color="000000" w:themeColor="text1" w:sz="12" w:space="0"/>
            </w:tcBorders>
            <w:shd w:val="clear" w:color="auto" w:fill="auto"/>
          </w:tcPr>
          <w:p w:rsidRPr="00277AC3" w:rsidR="00277AC3" w:rsidP="00C16F63" w:rsidRDefault="5F932511" w14:paraId="4D003600" w14:textId="77777777">
            <w:r>
              <w:t>Willow</w:t>
            </w:r>
          </w:p>
        </w:tc>
        <w:tc>
          <w:tcPr>
            <w:tcW w:w="1956" w:type="dxa"/>
            <w:tcBorders>
              <w:top w:val="single" w:color="000000" w:themeColor="text1" w:sz="12" w:space="0"/>
            </w:tcBorders>
            <w:shd w:val="clear" w:color="auto" w:fill="auto"/>
          </w:tcPr>
          <w:p w:rsidRPr="00277AC3" w:rsidR="00277AC3" w:rsidP="00C16F63" w:rsidRDefault="5F932511" w14:paraId="621444EC" w14:textId="77777777">
            <w:r>
              <w:t>Upper</w:t>
            </w:r>
          </w:p>
        </w:tc>
      </w:tr>
      <w:tr w:rsidRPr="00277AC3" w:rsidR="00277AC3" w:rsidTr="5F932511" w14:paraId="0C27287B" w14:textId="77777777">
        <w:tc>
          <w:tcPr>
            <w:tcW w:w="1140" w:type="dxa"/>
            <w:shd w:val="clear" w:color="auto" w:fill="auto"/>
          </w:tcPr>
          <w:p w:rsidRPr="00277AC3" w:rsidR="00277AC3" w:rsidP="00C16F63" w:rsidRDefault="5F932511" w14:paraId="5EFA2C96" w14:textId="77777777">
            <w:pPr>
              <w:rPr>
                <w:bCs/>
              </w:rPr>
            </w:pPr>
            <w:r>
              <w:t>CAREX</w:t>
            </w:r>
          </w:p>
        </w:tc>
        <w:tc>
          <w:tcPr>
            <w:tcW w:w="1908" w:type="dxa"/>
            <w:shd w:val="clear" w:color="auto" w:fill="auto"/>
          </w:tcPr>
          <w:p w:rsidRPr="00277AC3" w:rsidR="00277AC3" w:rsidP="00C16F63" w:rsidRDefault="5F932511" w14:paraId="34791490" w14:textId="77777777">
            <w:proofErr w:type="spellStart"/>
            <w:r>
              <w:t>Carex</w:t>
            </w:r>
            <w:proofErr w:type="spellEnd"/>
          </w:p>
        </w:tc>
        <w:tc>
          <w:tcPr>
            <w:tcW w:w="1860" w:type="dxa"/>
            <w:shd w:val="clear" w:color="auto" w:fill="auto"/>
          </w:tcPr>
          <w:p w:rsidRPr="00277AC3" w:rsidR="00277AC3" w:rsidP="00C16F63" w:rsidRDefault="5F932511" w14:paraId="320AE5CD" w14:textId="77777777">
            <w:r>
              <w:t>Sedge</w:t>
            </w:r>
          </w:p>
        </w:tc>
        <w:tc>
          <w:tcPr>
            <w:tcW w:w="1956" w:type="dxa"/>
            <w:shd w:val="clear" w:color="auto" w:fill="auto"/>
          </w:tcPr>
          <w:p w:rsidRPr="00277AC3" w:rsidR="00277AC3" w:rsidP="00C16F63" w:rsidRDefault="5F932511" w14:paraId="606D36C2" w14:textId="77777777">
            <w:r>
              <w:t>Upper</w:t>
            </w:r>
          </w:p>
        </w:tc>
      </w:tr>
    </w:tbl>
    <w:p w:rsidR="00277AC3" w:rsidP="00277AC3" w:rsidRDefault="00277AC3" w14:paraId="2C610804" w14:textId="77777777"/>
    <w:p w:rsidR="00277AC3" w:rsidP="00277AC3" w:rsidRDefault="5F932511" w14:paraId="2776BE9A" w14:textId="77777777">
      <w:pPr>
        <w:pStyle w:val="SClassInfoPara"/>
      </w:pPr>
      <w:r>
        <w:t>Description</w:t>
      </w:r>
    </w:p>
    <w:p w:rsidR="00277AC3" w:rsidP="00277AC3" w:rsidRDefault="5F932511" w14:paraId="432A7B88" w14:textId="77777777">
      <w:r>
        <w:t>Highly dependent on the hydrologic regime. For example, could include any combination of the five vegetation forms described above. Composition of adjacent uplands is the determining factor for future fire events.</w:t>
      </w:r>
    </w:p>
    <w:p w:rsidR="00277AC3" w:rsidP="00277AC3" w:rsidRDefault="00277AC3" w14:paraId="372AAA10" w14:textId="77777777"/>
    <w:p w:rsidR="00277AC3" w:rsidP="00277AC3" w:rsidRDefault="5F932511" w14:paraId="7E02AC7F" w14:textId="77777777">
      <w:r>
        <w:t>Replacement fire occurs rarely. Major flood events reset vegetation to early class. Beavers and non-scouring flooding occur but have no effect on succession classes.</w:t>
      </w:r>
    </w:p>
    <w:p w:rsidR="00277AC3" w:rsidP="00277AC3" w:rsidRDefault="00277AC3" w14:paraId="3D49A1F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100yr flood events</w:t>
      </w:r>
    </w:p>
    <w:p>
      <w:r>
        <w:t/>
      </w:r>
    </w:p>
    <w:p>
      <w:pPr xmlns:w="http://schemas.openxmlformats.org/wordprocessingml/2006/main">
        <w:pStyle w:val="ReportSection"/>
      </w:pPr>
      <w:r xmlns:w="http://schemas.openxmlformats.org/wordprocessingml/2006/main">
        <w:t>References</w:t>
      </w:r>
    </w:p>
    <w:p>
      <w:r>
        <w:t/>
      </w:r>
    </w:p>
    <w:p w:rsidR="00277AC3" w:rsidP="00277AC3" w:rsidRDefault="5F932511" w14:paraId="216383DD" w14:textId="77777777">
      <w:r>
        <w:t>Baker, W.L. 1988. Size-class structure of contiguous riparian woodlands along a Rocky Mountain river. Physical Geography 9(1): 1-14.</w:t>
      </w:r>
    </w:p>
    <w:p w:rsidR="00277AC3" w:rsidP="00277AC3" w:rsidRDefault="00277AC3" w14:paraId="049F000F" w14:textId="77777777"/>
    <w:p w:rsidR="00277AC3" w:rsidP="00277AC3" w:rsidRDefault="5F932511" w14:paraId="0A16ADA5" w14:textId="77777777">
      <w:r>
        <w:t>Baker, W.L. 1989. Classification of the riparian vegetation of the montane and subalpine zones in western Colorado. Great Basin Naturalist 49(2): 214-228.</w:t>
      </w:r>
    </w:p>
    <w:p w:rsidR="00277AC3" w:rsidP="00277AC3" w:rsidRDefault="00277AC3" w14:paraId="1089AB77" w14:textId="77777777"/>
    <w:p w:rsidR="00277AC3" w:rsidP="00277AC3" w:rsidRDefault="5F932511" w14:paraId="2229D75E"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277AC3" w:rsidP="00277AC3" w:rsidRDefault="00277AC3" w14:paraId="735CD8E3" w14:textId="77777777"/>
    <w:p w:rsidR="00277AC3" w:rsidP="00277AC3" w:rsidRDefault="5F932511" w14:paraId="51DA60E5"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277AC3" w:rsidP="00277AC3" w:rsidRDefault="00277AC3" w14:paraId="2B7C57D6" w14:textId="77777777"/>
    <w:p w:rsidR="00277AC3" w:rsidP="00277AC3" w:rsidRDefault="5F932511" w14:paraId="2733C78F" w14:textId="77777777">
      <w:r>
        <w:t>Kittel, G.M. 1994. Montane vegetation in relation to elevation and geomorphology along the Cache la Poudre River, Colorado. Unpublished thesis, University of Wyoming, Laramie.</w:t>
      </w:r>
    </w:p>
    <w:p w:rsidR="00277AC3" w:rsidP="00277AC3" w:rsidRDefault="00277AC3" w14:paraId="5BB9E481" w14:textId="77777777"/>
    <w:p w:rsidR="00277AC3" w:rsidP="00277AC3" w:rsidRDefault="5F932511" w14:paraId="2C6792E6"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277AC3" w:rsidP="00277AC3" w:rsidRDefault="00277AC3" w14:paraId="3A3DB4BB" w14:textId="77777777"/>
    <w:p w:rsidR="00277AC3" w:rsidP="00277AC3" w:rsidRDefault="5F932511" w14:paraId="20492991"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 CO.</w:t>
      </w:r>
    </w:p>
    <w:p w:rsidR="00277AC3" w:rsidP="00277AC3" w:rsidRDefault="00277AC3" w14:paraId="31CD7442" w14:textId="77777777"/>
    <w:p w:rsidR="00277AC3" w:rsidP="00277AC3" w:rsidRDefault="5F932511" w14:paraId="49583A08"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277AC3" w:rsidP="00277AC3" w:rsidRDefault="00277AC3" w14:paraId="3BD6F990" w14:textId="77777777"/>
    <w:p w:rsidR="00277AC3" w:rsidP="00277AC3" w:rsidRDefault="5F932511" w14:paraId="28089B2B" w14:textId="77777777">
      <w:proofErr w:type="spellStart"/>
      <w:r>
        <w:t>Nachlinger</w:t>
      </w:r>
      <w:proofErr w:type="spellEnd"/>
      <w:r>
        <w:t>, J., K. Sochi, P. Comer, G. Kittel and D. Dorfman. 2001. Great Basin: An ecoregion-based conservation blueprint. The Nature Conservancy, Reno, NV. 160 pp. plus appendices.</w:t>
      </w:r>
    </w:p>
    <w:p w:rsidR="00277AC3" w:rsidP="00277AC3" w:rsidRDefault="00277AC3" w14:paraId="1A866EC0" w14:textId="77777777"/>
    <w:p w:rsidR="00277AC3" w:rsidP="00277AC3" w:rsidRDefault="5F932511" w14:paraId="0F6959A0" w14:textId="77777777">
      <w:r>
        <w:t>NatureServe. 2007. International Ecological Classification Standard: Terrestrial Ecological Classifications. NatureServe Central Databases. Arlington, VA. Data current as of 10 February 2007.</w:t>
      </w:r>
    </w:p>
    <w:p w:rsidR="00277AC3" w:rsidP="00277AC3" w:rsidRDefault="00277AC3" w14:paraId="7FC2D121" w14:textId="77777777"/>
    <w:p w:rsidR="00277AC3" w:rsidP="00277AC3" w:rsidRDefault="5F932511" w14:paraId="5E836B3F"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277AC3" w:rsidP="00277AC3" w:rsidRDefault="00277AC3" w14:paraId="232F6B0A" w14:textId="77777777"/>
    <w:p w:rsidR="00277AC3" w:rsidP="00277AC3" w:rsidRDefault="5F932511" w14:paraId="3AB4593D"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277AC3" w:rsidP="00277AC3" w:rsidRDefault="00277AC3" w14:paraId="484A2725" w14:textId="77777777"/>
    <w:p w:rsidR="00277AC3" w:rsidP="00277AC3" w:rsidRDefault="5F932511" w14:paraId="20146BD0"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277AC3" w:rsidP="00277AC3" w:rsidRDefault="00277AC3" w14:paraId="73DE373F" w14:textId="77777777"/>
    <w:p w:rsidR="00277AC3" w:rsidP="00277AC3" w:rsidRDefault="5F932511" w14:paraId="5B749F59" w14:textId="77777777">
      <w:r>
        <w:t>Rondeau, R. 2001. Ecological system viability specifications for Southern Rocky Mountain ecoregion. First Edition. Colorado Natural Heritage Program, Colorado State University, Fort Collins, CO. 181 pp.</w:t>
      </w:r>
    </w:p>
    <w:p w:rsidR="00277AC3" w:rsidP="00277AC3" w:rsidRDefault="00277AC3" w14:paraId="47EF535D" w14:textId="77777777"/>
    <w:p w:rsidR="00277AC3" w:rsidP="00277AC3" w:rsidRDefault="5F932511" w14:paraId="5D153E27" w14:textId="77777777">
      <w:proofErr w:type="spellStart"/>
      <w:r>
        <w:t>Szaro</w:t>
      </w:r>
      <w:proofErr w:type="spellEnd"/>
      <w:r>
        <w:t>, R.C. 1989. Riparian forest and scrubland community types of Arizona and New Mexico. Desert Plants Special Issue 9(3-4): 70-139.</w:t>
      </w:r>
    </w:p>
    <w:p w:rsidR="00277AC3" w:rsidP="00277AC3" w:rsidRDefault="00277AC3" w14:paraId="7FEDCAEB" w14:textId="77777777"/>
    <w:p w:rsidR="00277AC3" w:rsidP="00277AC3" w:rsidRDefault="5F932511" w14:paraId="448BE5C2"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277AC3" w:rsidP="00277AC3" w:rsidRDefault="00277AC3" w14:paraId="6FEEF671" w14:textId="77777777"/>
    <w:p w:rsidR="00277AC3" w:rsidP="00277AC3" w:rsidRDefault="5F932511" w14:paraId="25EEB175"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277AC3" w:rsidRDefault="004D5F12" w14:paraId="51C63D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3789" w14:textId="77777777" w:rsidR="00DF4DA0" w:rsidRDefault="00DF4DA0">
      <w:r>
        <w:separator/>
      </w:r>
    </w:p>
  </w:endnote>
  <w:endnote w:type="continuationSeparator" w:id="0">
    <w:p w14:paraId="612B88AC" w14:textId="77777777" w:rsidR="00DF4DA0" w:rsidRDefault="00DF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D06E9" w14:textId="77777777" w:rsidR="00277AC3" w:rsidRDefault="00277AC3" w:rsidP="00277A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72A1C" w14:textId="77777777" w:rsidR="00DF4DA0" w:rsidRDefault="00DF4DA0">
      <w:r>
        <w:separator/>
      </w:r>
    </w:p>
  </w:footnote>
  <w:footnote w:type="continuationSeparator" w:id="0">
    <w:p w14:paraId="273C6F24" w14:textId="77777777" w:rsidR="00DF4DA0" w:rsidRDefault="00DF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D81E" w14:textId="77777777" w:rsidR="00A43E41" w:rsidRDefault="00A43E41" w:rsidP="00277A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C3"/>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C7A"/>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10C4"/>
    <w:rsid w:val="0025768B"/>
    <w:rsid w:val="00260279"/>
    <w:rsid w:val="002618B0"/>
    <w:rsid w:val="00265072"/>
    <w:rsid w:val="00266C1F"/>
    <w:rsid w:val="00272E54"/>
    <w:rsid w:val="00277AC3"/>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075"/>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868EA"/>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60E2"/>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0CC"/>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D"/>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4DA0"/>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4DD6"/>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F93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49A02"/>
  <w15:docId w15:val="{207C1C5B-6E2D-4C05-AC61-0F2905C2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075"/>
    <w:pPr>
      <w:ind w:left="720"/>
    </w:pPr>
    <w:rPr>
      <w:rFonts w:ascii="Calibri" w:eastAsia="Calibri" w:hAnsi="Calibri"/>
      <w:sz w:val="22"/>
      <w:szCs w:val="22"/>
    </w:rPr>
  </w:style>
  <w:style w:type="character" w:styleId="Hyperlink">
    <w:name w:val="Hyperlink"/>
    <w:rsid w:val="00301075"/>
    <w:rPr>
      <w:color w:val="0000FF"/>
      <w:u w:val="single"/>
    </w:rPr>
  </w:style>
  <w:style w:type="paragraph" w:styleId="BalloonText">
    <w:name w:val="Balloon Text"/>
    <w:basedOn w:val="Normal"/>
    <w:link w:val="BalloonTextChar"/>
    <w:uiPriority w:val="99"/>
    <w:semiHidden/>
    <w:unhideWhenUsed/>
    <w:rsid w:val="001C7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C7A"/>
    <w:rPr>
      <w:rFonts w:ascii="Segoe UI" w:hAnsi="Segoe UI" w:cs="Segoe UI"/>
      <w:sz w:val="18"/>
      <w:szCs w:val="18"/>
    </w:rPr>
  </w:style>
  <w:style w:type="character" w:styleId="CommentReference">
    <w:name w:val="annotation reference"/>
    <w:basedOn w:val="DefaultParagraphFont"/>
    <w:uiPriority w:val="99"/>
    <w:semiHidden/>
    <w:unhideWhenUsed/>
    <w:rsid w:val="001C7C7A"/>
    <w:rPr>
      <w:sz w:val="16"/>
      <w:szCs w:val="16"/>
    </w:rPr>
  </w:style>
  <w:style w:type="paragraph" w:styleId="CommentText">
    <w:name w:val="annotation text"/>
    <w:basedOn w:val="Normal"/>
    <w:link w:val="CommentTextChar"/>
    <w:uiPriority w:val="99"/>
    <w:semiHidden/>
    <w:unhideWhenUsed/>
    <w:rsid w:val="001C7C7A"/>
    <w:rPr>
      <w:sz w:val="20"/>
      <w:szCs w:val="20"/>
    </w:rPr>
  </w:style>
  <w:style w:type="character" w:customStyle="1" w:styleId="CommentTextChar">
    <w:name w:val="Comment Text Char"/>
    <w:basedOn w:val="DefaultParagraphFont"/>
    <w:link w:val="CommentText"/>
    <w:uiPriority w:val="99"/>
    <w:semiHidden/>
    <w:rsid w:val="001C7C7A"/>
  </w:style>
  <w:style w:type="paragraph" w:styleId="CommentSubject">
    <w:name w:val="annotation subject"/>
    <w:basedOn w:val="CommentText"/>
    <w:next w:val="CommentText"/>
    <w:link w:val="CommentSubjectChar"/>
    <w:uiPriority w:val="99"/>
    <w:semiHidden/>
    <w:unhideWhenUsed/>
    <w:rsid w:val="001C7C7A"/>
    <w:rPr>
      <w:b/>
      <w:bCs/>
    </w:rPr>
  </w:style>
  <w:style w:type="character" w:customStyle="1" w:styleId="CommentSubjectChar">
    <w:name w:val="Comment Subject Char"/>
    <w:basedOn w:val="CommentTextChar"/>
    <w:link w:val="CommentSubject"/>
    <w:uiPriority w:val="99"/>
    <w:semiHidden/>
    <w:rsid w:val="001C7C7A"/>
    <w:rPr>
      <w:b/>
      <w:bCs/>
    </w:rPr>
  </w:style>
  <w:style w:type="character" w:styleId="UnresolvedMention">
    <w:name w:val="Unresolved Mention"/>
    <w:basedOn w:val="DefaultParagraphFont"/>
    <w:uiPriority w:val="99"/>
    <w:semiHidden/>
    <w:unhideWhenUsed/>
    <w:rsid w:val="001C7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734">
      <w:bodyDiv w:val="1"/>
      <w:marLeft w:val="0"/>
      <w:marRight w:val="0"/>
      <w:marTop w:val="0"/>
      <w:marBottom w:val="0"/>
      <w:divBdr>
        <w:top w:val="none" w:sz="0" w:space="0" w:color="auto"/>
        <w:left w:val="none" w:sz="0" w:space="0" w:color="auto"/>
        <w:bottom w:val="none" w:sz="0" w:space="0" w:color="auto"/>
        <w:right w:val="none" w:sz="0" w:space="0" w:color="auto"/>
      </w:divBdr>
    </w:div>
    <w:div w:id="5745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2014-08-21T14:27:00Z</cp:lastPrinted>
  <dcterms:created xsi:type="dcterms:W3CDTF">2017-10-04T22:45:00Z</dcterms:created>
  <dcterms:modified xsi:type="dcterms:W3CDTF">2018-06-12T21:14:00Z</dcterms:modified>
</cp:coreProperties>
</file>