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0F0" w:rsidP="00C050F0" w:rsidRDefault="00C050F0" w14:paraId="0876284A" w14:textId="64F5F99A">
      <w:pPr>
        <w:pStyle w:val="BpSTitle"/>
      </w:pPr>
      <w:r>
        <w:t>11630</w:t>
      </w:r>
    </w:p>
    <w:p w:rsidR="00C050F0" w:rsidP="00C050F0" w:rsidRDefault="00C050F0" w14:paraId="37F45222" w14:textId="77777777">
      <w:pPr>
        <w:pStyle w:val="BpSTitle"/>
      </w:pPr>
      <w:r>
        <w:t>Pacific Coastal Marsh Systems</w:t>
      </w:r>
    </w:p>
    <w:p w:rsidR="00C050F0" w:rsidP="00780D93" w:rsidRDefault="00C050F0" w14:paraId="32FFC57C" w14:textId="5BF02896">
      <w:pPr>
        <w:tabs>
          <w:tab w:val="left" w:pos="7200"/>
        </w:tabs>
      </w:pPr>
      <w:r>
        <w:t xmlns:w="http://schemas.openxmlformats.org/wordprocessingml/2006/main">BpS Model/Description Version: Aug. 2020</w:t>
      </w:r>
      <w:r w:rsidR="00194DC4">
        <w:tab/>
      </w:r>
    </w:p>
    <w:p w:rsidR="00C050F0" w:rsidP="00780D93" w:rsidRDefault="00C050F0" w14:paraId="1947E570" w14:textId="77777777">
      <w:pPr>
        <w:tabs>
          <w:tab w:val="left" w:pos="7200"/>
        </w:tabs>
      </w:pPr>
    </w:p>
    <w:tbl>
      <w:tblPr>
        <w:tblW w:w="1042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5"/>
        <w:gridCol w:w="2970"/>
        <w:gridCol w:w="2970"/>
        <w:gridCol w:w="2610"/>
      </w:tblGrid>
      <w:tr w:rsidRPr="00C050F0" w:rsidR="009B70F1" w:rsidTr="00780D93" w14:paraId="5F364C2F" w14:textId="77777777">
        <w:tc>
          <w:tcPr>
            <w:tcW w:w="1875" w:type="dxa"/>
            <w:tcBorders>
              <w:top w:val="single" w:color="auto" w:sz="2" w:space="0"/>
              <w:left w:val="single" w:color="auto" w:sz="12" w:space="0"/>
              <w:bottom w:val="single" w:color="000000" w:sz="12" w:space="0"/>
            </w:tcBorders>
            <w:shd w:val="clear" w:color="auto" w:fill="auto"/>
          </w:tcPr>
          <w:p w:rsidRPr="00C050F0" w:rsidR="00C050F0" w:rsidP="00035756" w:rsidRDefault="00C050F0" w14:paraId="7639C6C9" w14:textId="77777777">
            <w:pPr>
              <w:rPr>
                <w:b/>
                <w:bCs/>
              </w:rPr>
            </w:pPr>
            <w:r w:rsidRPr="00C050F0">
              <w:rPr>
                <w:b/>
                <w:bCs/>
              </w:rPr>
              <w:t>Modelers</w:t>
            </w:r>
          </w:p>
        </w:tc>
        <w:tc>
          <w:tcPr>
            <w:tcW w:w="2970" w:type="dxa"/>
            <w:tcBorders>
              <w:top w:val="single" w:color="auto" w:sz="2" w:space="0"/>
              <w:bottom w:val="single" w:color="000000" w:sz="12" w:space="0"/>
              <w:right w:val="single" w:color="000000" w:sz="12" w:space="0"/>
            </w:tcBorders>
            <w:shd w:val="clear" w:color="auto" w:fill="auto"/>
          </w:tcPr>
          <w:p w:rsidRPr="00C050F0" w:rsidR="00C050F0" w:rsidP="00035756" w:rsidRDefault="00C050F0" w14:paraId="218C09B4" w14:textId="77777777">
            <w:pPr>
              <w:rPr>
                <w:b/>
                <w:bCs/>
              </w:rPr>
            </w:pPr>
          </w:p>
        </w:tc>
        <w:tc>
          <w:tcPr>
            <w:tcW w:w="2970" w:type="dxa"/>
            <w:tcBorders>
              <w:top w:val="single" w:color="auto" w:sz="2" w:space="0"/>
              <w:left w:val="single" w:color="000000" w:sz="12" w:space="0"/>
              <w:bottom w:val="single" w:color="000000" w:sz="12" w:space="0"/>
            </w:tcBorders>
            <w:shd w:val="clear" w:color="auto" w:fill="auto"/>
          </w:tcPr>
          <w:p w:rsidRPr="00C050F0" w:rsidR="00C050F0" w:rsidP="00035756" w:rsidRDefault="00C050F0" w14:paraId="145CFB76" w14:textId="77777777">
            <w:pPr>
              <w:rPr>
                <w:b/>
                <w:bCs/>
              </w:rPr>
            </w:pPr>
            <w:r w:rsidRPr="00C050F0">
              <w:rPr>
                <w:b/>
                <w:bCs/>
              </w:rPr>
              <w:t>Reviewers</w:t>
            </w:r>
          </w:p>
        </w:tc>
        <w:tc>
          <w:tcPr>
            <w:tcW w:w="2610" w:type="dxa"/>
            <w:tcBorders>
              <w:top w:val="single" w:color="auto" w:sz="2" w:space="0"/>
              <w:bottom w:val="single" w:color="000000" w:sz="12" w:space="0"/>
            </w:tcBorders>
            <w:shd w:val="clear" w:color="auto" w:fill="auto"/>
          </w:tcPr>
          <w:p w:rsidRPr="00C050F0" w:rsidR="00C050F0" w:rsidP="00035756" w:rsidRDefault="00C050F0" w14:paraId="4E2792C4" w14:textId="77777777">
            <w:pPr>
              <w:rPr>
                <w:b/>
                <w:bCs/>
              </w:rPr>
            </w:pPr>
          </w:p>
        </w:tc>
      </w:tr>
      <w:tr w:rsidRPr="00C050F0" w:rsidR="009B70F1" w:rsidTr="00780D93" w14:paraId="3909FCDA" w14:textId="77777777">
        <w:tc>
          <w:tcPr>
            <w:tcW w:w="1875" w:type="dxa"/>
            <w:tcBorders>
              <w:top w:val="single" w:color="000000" w:sz="12" w:space="0"/>
              <w:left w:val="single" w:color="auto" w:sz="12" w:space="0"/>
            </w:tcBorders>
            <w:shd w:val="clear" w:color="auto" w:fill="auto"/>
          </w:tcPr>
          <w:p w:rsidRPr="00C050F0" w:rsidR="00C050F0" w:rsidP="00035756" w:rsidRDefault="00C050F0" w14:paraId="41157EE4" w14:textId="77777777">
            <w:pPr>
              <w:rPr>
                <w:bCs/>
              </w:rPr>
            </w:pPr>
            <w:r w:rsidRPr="00C050F0">
              <w:rPr>
                <w:bCs/>
              </w:rPr>
              <w:t xml:space="preserve">Peter </w:t>
            </w:r>
            <w:proofErr w:type="spellStart"/>
            <w:r w:rsidRPr="00C050F0">
              <w:rPr>
                <w:bCs/>
              </w:rPr>
              <w:t>Hujik</w:t>
            </w:r>
            <w:proofErr w:type="spellEnd"/>
          </w:p>
        </w:tc>
        <w:tc>
          <w:tcPr>
            <w:tcW w:w="2970" w:type="dxa"/>
            <w:tcBorders>
              <w:top w:val="single" w:color="000000" w:sz="12" w:space="0"/>
              <w:right w:val="single" w:color="000000" w:sz="12" w:space="0"/>
            </w:tcBorders>
            <w:shd w:val="clear" w:color="auto" w:fill="auto"/>
          </w:tcPr>
          <w:p w:rsidRPr="00C050F0" w:rsidR="00C050F0" w:rsidP="00035756" w:rsidRDefault="00C050F0" w14:paraId="70B1C62B" w14:textId="77777777">
            <w:r w:rsidRPr="00C050F0">
              <w:t>phujik@tnc.org</w:t>
            </w:r>
          </w:p>
        </w:tc>
        <w:tc>
          <w:tcPr>
            <w:tcW w:w="2970" w:type="dxa"/>
            <w:tcBorders>
              <w:top w:val="single" w:color="000000" w:sz="12" w:space="0"/>
              <w:left w:val="single" w:color="000000" w:sz="12" w:space="0"/>
            </w:tcBorders>
            <w:shd w:val="clear" w:color="auto" w:fill="auto"/>
          </w:tcPr>
          <w:p w:rsidRPr="00C050F0" w:rsidR="00C050F0" w:rsidP="00035756" w:rsidRDefault="00C050F0" w14:paraId="6F0C5B8D" w14:textId="390524FF">
            <w:r w:rsidRPr="00C050F0">
              <w:t>John Bair</w:t>
            </w:r>
          </w:p>
        </w:tc>
        <w:tc>
          <w:tcPr>
            <w:tcW w:w="2610" w:type="dxa"/>
            <w:tcBorders>
              <w:top w:val="single" w:color="000000" w:sz="12" w:space="0"/>
            </w:tcBorders>
            <w:shd w:val="clear" w:color="auto" w:fill="auto"/>
          </w:tcPr>
          <w:p w:rsidRPr="00C050F0" w:rsidR="00C050F0" w:rsidP="00035756" w:rsidRDefault="00C050F0" w14:paraId="48211AB2" w14:textId="15692F0B">
            <w:r w:rsidRPr="00C050F0">
              <w:t>John@mcbaintrush.com</w:t>
            </w:r>
          </w:p>
        </w:tc>
      </w:tr>
      <w:tr w:rsidRPr="00C050F0" w:rsidR="009B70F1" w:rsidTr="00780D93" w14:paraId="0DEEE902" w14:textId="77777777">
        <w:tc>
          <w:tcPr>
            <w:tcW w:w="1875" w:type="dxa"/>
            <w:tcBorders>
              <w:left w:val="single" w:color="auto" w:sz="12" w:space="0"/>
            </w:tcBorders>
            <w:shd w:val="clear" w:color="auto" w:fill="auto"/>
          </w:tcPr>
          <w:p w:rsidRPr="00C050F0" w:rsidR="00C050F0" w:rsidP="00035756" w:rsidRDefault="00C050F0" w14:paraId="4F35F709" w14:textId="77777777">
            <w:pPr>
              <w:rPr>
                <w:bCs/>
              </w:rPr>
            </w:pPr>
            <w:r w:rsidRPr="00C050F0">
              <w:rPr>
                <w:bCs/>
              </w:rPr>
              <w:t xml:space="preserve">Dave </w:t>
            </w:r>
            <w:proofErr w:type="spellStart"/>
            <w:r w:rsidRPr="00C050F0">
              <w:rPr>
                <w:bCs/>
              </w:rPr>
              <w:t>Schirokauer</w:t>
            </w:r>
            <w:proofErr w:type="spellEnd"/>
          </w:p>
        </w:tc>
        <w:tc>
          <w:tcPr>
            <w:tcW w:w="2970" w:type="dxa"/>
            <w:tcBorders>
              <w:right w:val="single" w:color="000000" w:sz="12" w:space="0"/>
            </w:tcBorders>
            <w:shd w:val="clear" w:color="auto" w:fill="auto"/>
          </w:tcPr>
          <w:p w:rsidRPr="00C050F0" w:rsidR="00C050F0" w:rsidP="00035756" w:rsidRDefault="00C050F0" w14:paraId="6452E4D1" w14:textId="77777777">
            <w:r w:rsidRPr="00C050F0">
              <w:t>dave_schirokauer@nps.gov</w:t>
            </w:r>
          </w:p>
        </w:tc>
        <w:tc>
          <w:tcPr>
            <w:tcW w:w="2970" w:type="dxa"/>
            <w:tcBorders>
              <w:left w:val="single" w:color="000000" w:sz="12" w:space="0"/>
            </w:tcBorders>
            <w:shd w:val="clear" w:color="auto" w:fill="auto"/>
          </w:tcPr>
          <w:p w:rsidRPr="00C050F0" w:rsidR="00C050F0" w:rsidP="00035756" w:rsidRDefault="00C050F0" w14:paraId="5B2109E1" w14:textId="7F3E7BC1">
            <w:r w:rsidRPr="00C050F0">
              <w:t>Hugh Safford/Dave Schmidt</w:t>
            </w:r>
          </w:p>
        </w:tc>
        <w:tc>
          <w:tcPr>
            <w:tcW w:w="2610" w:type="dxa"/>
            <w:shd w:val="clear" w:color="auto" w:fill="auto"/>
          </w:tcPr>
          <w:p w:rsidRPr="00C050F0" w:rsidR="00C050F0" w:rsidP="00035756" w:rsidRDefault="00C050F0" w14:paraId="1D84E26B" w14:textId="1B1E9540">
            <w:r w:rsidRPr="00C050F0">
              <w:t>hughsafford@fs.fed.us</w:t>
            </w:r>
          </w:p>
        </w:tc>
      </w:tr>
      <w:tr w:rsidRPr="00C050F0" w:rsidR="009B70F1" w:rsidTr="00780D93" w14:paraId="5DD6D51A" w14:textId="77777777">
        <w:tc>
          <w:tcPr>
            <w:tcW w:w="1875" w:type="dxa"/>
            <w:tcBorders>
              <w:left w:val="single" w:color="auto" w:sz="12" w:space="0"/>
              <w:bottom w:val="single" w:color="auto" w:sz="2" w:space="0"/>
            </w:tcBorders>
            <w:shd w:val="clear" w:color="auto" w:fill="auto"/>
          </w:tcPr>
          <w:p w:rsidRPr="00C050F0" w:rsidR="00C050F0" w:rsidP="00035756" w:rsidRDefault="00C050F0" w14:paraId="216DA5CE" w14:textId="77777777">
            <w:pPr>
              <w:rPr>
                <w:bCs/>
              </w:rPr>
            </w:pPr>
            <w:r w:rsidRPr="00C050F0">
              <w:rPr>
                <w:bCs/>
              </w:rPr>
              <w:t xml:space="preserve">Alison </w:t>
            </w:r>
            <w:proofErr w:type="spellStart"/>
            <w:r w:rsidRPr="00C050F0">
              <w:rPr>
                <w:bCs/>
              </w:rPr>
              <w:t>Forrestel</w:t>
            </w:r>
            <w:proofErr w:type="spellEnd"/>
          </w:p>
        </w:tc>
        <w:tc>
          <w:tcPr>
            <w:tcW w:w="2970" w:type="dxa"/>
            <w:tcBorders>
              <w:right w:val="single" w:color="000000" w:sz="12" w:space="0"/>
            </w:tcBorders>
            <w:shd w:val="clear" w:color="auto" w:fill="auto"/>
          </w:tcPr>
          <w:p w:rsidRPr="00C050F0" w:rsidR="00C050F0" w:rsidP="00035756" w:rsidRDefault="00C050F0" w14:paraId="067E8C88" w14:textId="77777777">
            <w:r w:rsidRPr="00C050F0">
              <w:t>alison_forrestel@nps.gov</w:t>
            </w:r>
          </w:p>
        </w:tc>
        <w:tc>
          <w:tcPr>
            <w:tcW w:w="2970" w:type="dxa"/>
            <w:tcBorders>
              <w:left w:val="single" w:color="000000" w:sz="12" w:space="0"/>
              <w:bottom w:val="single" w:color="auto" w:sz="2" w:space="0"/>
            </w:tcBorders>
            <w:shd w:val="clear" w:color="auto" w:fill="auto"/>
          </w:tcPr>
          <w:p w:rsidRPr="00C050F0" w:rsidR="00C050F0" w:rsidP="00035756" w:rsidRDefault="00C050F0" w14:paraId="3FE1F5D4" w14:textId="77777777">
            <w:r w:rsidRPr="00C050F0">
              <w:t>None</w:t>
            </w:r>
          </w:p>
        </w:tc>
        <w:tc>
          <w:tcPr>
            <w:tcW w:w="2610" w:type="dxa"/>
            <w:shd w:val="clear" w:color="auto" w:fill="auto"/>
          </w:tcPr>
          <w:p w:rsidRPr="00C050F0" w:rsidR="00C050F0" w:rsidP="00035756" w:rsidRDefault="00C050F0" w14:paraId="5AA0973D" w14:textId="77777777">
            <w:r w:rsidRPr="00C050F0">
              <w:t>None</w:t>
            </w:r>
          </w:p>
        </w:tc>
      </w:tr>
    </w:tbl>
    <w:p w:rsidR="00C050F0" w:rsidP="00C050F0" w:rsidRDefault="00C050F0" w14:paraId="15BA2D66" w14:textId="77777777"/>
    <w:p w:rsidR="00C050F0" w:rsidP="00C050F0" w:rsidRDefault="00C050F0" w14:paraId="226C6B90" w14:textId="77777777">
      <w:pPr>
        <w:pStyle w:val="InfoPara"/>
      </w:pPr>
      <w:r>
        <w:t>Vegetation Type</w:t>
      </w:r>
    </w:p>
    <w:p w:rsidR="00C050F0" w:rsidP="00C050F0" w:rsidRDefault="00886A0F" w14:paraId="34672E0F" w14:textId="190948B2">
      <w:r w:rsidRPr="00886A0F">
        <w:t>Herbaceous Wetland</w:t>
      </w:r>
      <w:bookmarkStart w:name="_GoBack" w:id="0"/>
      <w:bookmarkEnd w:id="0"/>
    </w:p>
    <w:p w:rsidR="00C050F0" w:rsidP="00C050F0" w:rsidRDefault="00C050F0" w14:paraId="755EB882" w14:textId="77777777">
      <w:pPr>
        <w:pStyle w:val="InfoPara"/>
      </w:pPr>
      <w:r>
        <w:t>Map Zones</w:t>
      </w:r>
    </w:p>
    <w:p w:rsidR="00C050F0" w:rsidP="00C050F0" w:rsidRDefault="00837E4D" w14:paraId="4DD942DF" w14:textId="711D0C2E">
      <w:r>
        <w:t>3, 4, 5</w:t>
      </w:r>
    </w:p>
    <w:p w:rsidR="00C050F0" w:rsidP="00C050F0" w:rsidRDefault="00C050F0" w14:paraId="22E73137" w14:textId="77777777">
      <w:pPr>
        <w:pStyle w:val="InfoPara"/>
      </w:pPr>
      <w:r>
        <w:t>Geographic Range</w:t>
      </w:r>
    </w:p>
    <w:p w:rsidR="00C050F0" w:rsidP="00C050F0" w:rsidRDefault="00C050F0" w14:paraId="1A57DA68" w14:textId="54653E9E">
      <w:r>
        <w:t xml:space="preserve">This </w:t>
      </w:r>
      <w:r w:rsidR="00194DC4">
        <w:t>Biophysical Setting (</w:t>
      </w:r>
      <w:proofErr w:type="spellStart"/>
      <w:r>
        <w:t>BpS</w:t>
      </w:r>
      <w:proofErr w:type="spellEnd"/>
      <w:r w:rsidR="00194DC4">
        <w:t>)</w:t>
      </w:r>
      <w:r>
        <w:t xml:space="preserve"> occurs along the </w:t>
      </w:r>
      <w:r w:rsidR="00194DC4">
        <w:t>n</w:t>
      </w:r>
      <w:r>
        <w:t xml:space="preserve">orthern </w:t>
      </w:r>
      <w:r w:rsidR="00194DC4">
        <w:t>California</w:t>
      </w:r>
      <w:r>
        <w:t xml:space="preserve"> Pacific coast. It includes coastal salt marsh, coastal freshwater and brackish marshes</w:t>
      </w:r>
      <w:r w:rsidR="00194DC4">
        <w:t>,</w:t>
      </w:r>
      <w:r>
        <w:t xml:space="preserve"> and mudflats. Freshwater mudflats are found scattered throughout the temperate regions of the Pacific </w:t>
      </w:r>
      <w:r w:rsidR="00194DC4">
        <w:t>c</w:t>
      </w:r>
      <w:r>
        <w:t>oast of North America. Along the Pacific, they occur primarily in seasonally flooded shallow lakebeds on floodplains. Coastal salt marshes are scattered along the coast, limited to bays and behind sand spits or other locations protected from wave action.</w:t>
      </w:r>
    </w:p>
    <w:p w:rsidR="00C050F0" w:rsidP="00C050F0" w:rsidRDefault="00C050F0" w14:paraId="37628FF0" w14:textId="77777777">
      <w:pPr>
        <w:pStyle w:val="InfoPara"/>
      </w:pPr>
      <w:r>
        <w:t>Biophysical Site Description</w:t>
      </w:r>
    </w:p>
    <w:p w:rsidR="00C050F0" w:rsidP="00C050F0" w:rsidRDefault="00C050F0" w14:paraId="5B38C0F4" w14:textId="445FB051">
      <w:r>
        <w:t>Herbaceous wetland occurs on flat, poorly drained sites or on valley bottom depressions. Mudflat vegetation develops where the bottom has been exposed long enough for establishment of a seedbank.</w:t>
      </w:r>
      <w:r w:rsidR="00194DC4">
        <w:t xml:space="preserve"> </w:t>
      </w:r>
      <w:r>
        <w:t>Typically, salt marshes form with a mixture of inputs from freshwater sources into coastal saltwater, so they commonly co-occur with brackish marshes. These systems are exposed to continuously changing levels of salinity through submergence in ocean waters. Summer dry</w:t>
      </w:r>
      <w:r w:rsidR="00194DC4">
        <w:t xml:space="preserve"> </w:t>
      </w:r>
      <w:r>
        <w:t xml:space="preserve">periods result in decreased freshwater inputs from inland. Hypersaline environments within salt marshes occur in </w:t>
      </w:r>
      <w:r w:rsidR="00194DC4">
        <w:t>“</w:t>
      </w:r>
      <w:r>
        <w:t>salt pans</w:t>
      </w:r>
      <w:r w:rsidR="00194DC4">
        <w:t>,”</w:t>
      </w:r>
      <w:r>
        <w:t xml:space="preserve"> where tidal water collects and evaporates.</w:t>
      </w:r>
    </w:p>
    <w:p w:rsidR="00C050F0" w:rsidP="00C050F0" w:rsidRDefault="00C050F0" w14:paraId="2B4F3785" w14:textId="77777777">
      <w:pPr>
        <w:pStyle w:val="InfoPara"/>
      </w:pPr>
      <w:r>
        <w:t>Vegetation Description</w:t>
      </w:r>
    </w:p>
    <w:p w:rsidR="00C050F0" w:rsidP="00C050F0" w:rsidRDefault="00C050F0" w14:paraId="1911ABDB" w14:textId="793D7545">
      <w:r>
        <w:t xml:space="preserve">Mudflats must be exposed before the vegetation develops from the seedbank. They are dominated mainly by low-stature annual plants. They range in physiognomy from sparsely vegetated mud to extensive sods of herbaceous vegetation. The predominant species include </w:t>
      </w:r>
      <w:proofErr w:type="spellStart"/>
      <w:r w:rsidRPr="00780D93">
        <w:rPr>
          <w:i/>
        </w:rPr>
        <w:t>Eleocharis</w:t>
      </w:r>
      <w:proofErr w:type="spellEnd"/>
      <w:r w:rsidRPr="00780D93">
        <w:rPr>
          <w:i/>
        </w:rPr>
        <w:t xml:space="preserve"> </w:t>
      </w:r>
      <w:proofErr w:type="spellStart"/>
      <w:r w:rsidRPr="00780D93">
        <w:rPr>
          <w:i/>
        </w:rPr>
        <w:t>obtusa</w:t>
      </w:r>
      <w:proofErr w:type="spellEnd"/>
      <w:r w:rsidR="00194DC4">
        <w:t>,</w:t>
      </w:r>
      <w:r w:rsidRPr="00780D93">
        <w:rPr>
          <w:i/>
        </w:rPr>
        <w:t xml:space="preserve"> </w:t>
      </w:r>
      <w:proofErr w:type="spellStart"/>
      <w:r w:rsidRPr="00780D93">
        <w:rPr>
          <w:i/>
        </w:rPr>
        <w:t>Lilaeopsis</w:t>
      </w:r>
      <w:proofErr w:type="spellEnd"/>
      <w:r w:rsidRPr="00780D93">
        <w:rPr>
          <w:i/>
        </w:rPr>
        <w:t xml:space="preserve"> </w:t>
      </w:r>
      <w:proofErr w:type="spellStart"/>
      <w:r w:rsidRPr="00780D93">
        <w:rPr>
          <w:i/>
        </w:rPr>
        <w:t>occidentalis</w:t>
      </w:r>
      <w:proofErr w:type="spellEnd"/>
      <w:r w:rsidR="00194DC4">
        <w:t>,</w:t>
      </w:r>
      <w:r w:rsidRPr="00780D93">
        <w:rPr>
          <w:i/>
        </w:rPr>
        <w:t xml:space="preserve"> </w:t>
      </w:r>
      <w:proofErr w:type="spellStart"/>
      <w:r w:rsidRPr="00780D93">
        <w:rPr>
          <w:i/>
        </w:rPr>
        <w:t>Crassula</w:t>
      </w:r>
      <w:proofErr w:type="spellEnd"/>
      <w:r w:rsidRPr="00780D93">
        <w:rPr>
          <w:i/>
        </w:rPr>
        <w:t xml:space="preserve"> </w:t>
      </w:r>
      <w:proofErr w:type="spellStart"/>
      <w:r w:rsidRPr="00780D93">
        <w:rPr>
          <w:i/>
        </w:rPr>
        <w:t>aquatica</w:t>
      </w:r>
      <w:proofErr w:type="spellEnd"/>
      <w:r w:rsidR="00194DC4">
        <w:t>,</w:t>
      </w:r>
      <w:r w:rsidRPr="00780D93">
        <w:rPr>
          <w:i/>
        </w:rPr>
        <w:t xml:space="preserve"> </w:t>
      </w:r>
      <w:proofErr w:type="spellStart"/>
      <w:r w:rsidRPr="00780D93">
        <w:rPr>
          <w:i/>
        </w:rPr>
        <w:t>Limosella</w:t>
      </w:r>
      <w:proofErr w:type="spellEnd"/>
      <w:r w:rsidRPr="00780D93">
        <w:rPr>
          <w:i/>
        </w:rPr>
        <w:t xml:space="preserve"> </w:t>
      </w:r>
      <w:proofErr w:type="spellStart"/>
      <w:r w:rsidRPr="00780D93">
        <w:rPr>
          <w:i/>
        </w:rPr>
        <w:t>aquatica</w:t>
      </w:r>
      <w:proofErr w:type="spellEnd"/>
      <w:r w:rsidR="00194DC4">
        <w:t>,</w:t>
      </w:r>
      <w:r w:rsidRPr="00780D93">
        <w:rPr>
          <w:i/>
        </w:rPr>
        <w:t xml:space="preserve"> </w:t>
      </w:r>
      <w:proofErr w:type="spellStart"/>
      <w:r w:rsidRPr="00780D93">
        <w:rPr>
          <w:i/>
        </w:rPr>
        <w:t>Gnaphalium</w:t>
      </w:r>
      <w:proofErr w:type="spellEnd"/>
      <w:r w:rsidRPr="00780D93">
        <w:rPr>
          <w:i/>
        </w:rPr>
        <w:t xml:space="preserve"> </w:t>
      </w:r>
      <w:proofErr w:type="spellStart"/>
      <w:r w:rsidRPr="00780D93">
        <w:rPr>
          <w:i/>
        </w:rPr>
        <w:t>palustre</w:t>
      </w:r>
      <w:proofErr w:type="spellEnd"/>
      <w:r w:rsidR="00194DC4">
        <w:t>,</w:t>
      </w:r>
      <w:r w:rsidRPr="00780D93">
        <w:rPr>
          <w:i/>
        </w:rPr>
        <w:t xml:space="preserve"> </w:t>
      </w:r>
      <w:proofErr w:type="spellStart"/>
      <w:r w:rsidRPr="00780D93">
        <w:rPr>
          <w:i/>
        </w:rPr>
        <w:t>Eragrostis</w:t>
      </w:r>
      <w:proofErr w:type="spellEnd"/>
      <w:r w:rsidRPr="00780D93">
        <w:rPr>
          <w:i/>
        </w:rPr>
        <w:t xml:space="preserve"> </w:t>
      </w:r>
      <w:proofErr w:type="spellStart"/>
      <w:r w:rsidRPr="00780D93">
        <w:rPr>
          <w:i/>
        </w:rPr>
        <w:t>hypnoides</w:t>
      </w:r>
      <w:proofErr w:type="spellEnd"/>
      <w:r>
        <w:t xml:space="preserve">, and </w:t>
      </w:r>
      <w:proofErr w:type="spellStart"/>
      <w:r w:rsidRPr="00780D93">
        <w:rPr>
          <w:i/>
        </w:rPr>
        <w:t>Ludwigia</w:t>
      </w:r>
      <w:proofErr w:type="spellEnd"/>
      <w:r w:rsidRPr="00780D93">
        <w:rPr>
          <w:i/>
        </w:rPr>
        <w:t xml:space="preserve"> </w:t>
      </w:r>
      <w:proofErr w:type="spellStart"/>
      <w:r w:rsidRPr="00780D93">
        <w:rPr>
          <w:i/>
        </w:rPr>
        <w:t>palustris</w:t>
      </w:r>
      <w:proofErr w:type="spellEnd"/>
      <w:r>
        <w:t>.</w:t>
      </w:r>
      <w:r w:rsidR="00194DC4">
        <w:t xml:space="preserve"> </w:t>
      </w:r>
    </w:p>
    <w:p w:rsidR="00C050F0" w:rsidP="00C050F0" w:rsidRDefault="00C050F0" w14:paraId="55FAAF6C" w14:textId="77777777"/>
    <w:p w:rsidR="00C050F0" w:rsidP="00C050F0" w:rsidRDefault="00C050F0" w14:paraId="0D28AB4A" w14:textId="6AA72298">
      <w:r>
        <w:t xml:space="preserve">Characteristic plant species include </w:t>
      </w:r>
      <w:proofErr w:type="spellStart"/>
      <w:r w:rsidRPr="00780D93">
        <w:rPr>
          <w:i/>
        </w:rPr>
        <w:t>Distichlis</w:t>
      </w:r>
      <w:proofErr w:type="spellEnd"/>
      <w:r w:rsidRPr="00780D93">
        <w:rPr>
          <w:i/>
        </w:rPr>
        <w:t xml:space="preserve"> </w:t>
      </w:r>
      <w:proofErr w:type="spellStart"/>
      <w:r w:rsidRPr="00780D93">
        <w:rPr>
          <w:i/>
        </w:rPr>
        <w:t>spicata</w:t>
      </w:r>
      <w:proofErr w:type="spellEnd"/>
      <w:r w:rsidR="00194DC4">
        <w:t>,</w:t>
      </w:r>
      <w:r w:rsidRPr="00780D93">
        <w:rPr>
          <w:i/>
        </w:rPr>
        <w:t xml:space="preserve"> </w:t>
      </w:r>
      <w:proofErr w:type="spellStart"/>
      <w:r w:rsidRPr="00780D93">
        <w:rPr>
          <w:i/>
        </w:rPr>
        <w:t>Monanthochloe</w:t>
      </w:r>
      <w:proofErr w:type="spellEnd"/>
      <w:r w:rsidRPr="00780D93">
        <w:rPr>
          <w:i/>
        </w:rPr>
        <w:t xml:space="preserve"> </w:t>
      </w:r>
      <w:proofErr w:type="spellStart"/>
      <w:r w:rsidRPr="00780D93">
        <w:rPr>
          <w:i/>
        </w:rPr>
        <w:t>littoralis</w:t>
      </w:r>
      <w:proofErr w:type="spellEnd"/>
      <w:r w:rsidR="00194DC4">
        <w:t>,</w:t>
      </w:r>
      <w:r w:rsidRPr="00780D93">
        <w:rPr>
          <w:i/>
        </w:rPr>
        <w:t xml:space="preserve"> </w:t>
      </w:r>
      <w:proofErr w:type="spellStart"/>
      <w:r w:rsidRPr="00780D93">
        <w:rPr>
          <w:i/>
        </w:rPr>
        <w:t>Limonium</w:t>
      </w:r>
      <w:proofErr w:type="spellEnd"/>
      <w:r w:rsidRPr="00780D93">
        <w:rPr>
          <w:i/>
        </w:rPr>
        <w:t xml:space="preserve"> </w:t>
      </w:r>
      <w:proofErr w:type="spellStart"/>
      <w:r w:rsidRPr="00780D93">
        <w:rPr>
          <w:i/>
        </w:rPr>
        <w:t>californicum</w:t>
      </w:r>
      <w:proofErr w:type="spellEnd"/>
      <w:r w:rsidR="00194DC4">
        <w:t>,</w:t>
      </w:r>
      <w:r w:rsidRPr="00780D93">
        <w:rPr>
          <w:i/>
        </w:rPr>
        <w:t xml:space="preserve"> </w:t>
      </w:r>
      <w:proofErr w:type="spellStart"/>
      <w:r w:rsidRPr="00780D93">
        <w:rPr>
          <w:i/>
        </w:rPr>
        <w:t>Jaumea</w:t>
      </w:r>
      <w:proofErr w:type="spellEnd"/>
      <w:r w:rsidRPr="00780D93">
        <w:rPr>
          <w:i/>
        </w:rPr>
        <w:t xml:space="preserve"> </w:t>
      </w:r>
      <w:proofErr w:type="spellStart"/>
      <w:r w:rsidRPr="00780D93">
        <w:rPr>
          <w:i/>
        </w:rPr>
        <w:t>carnosa</w:t>
      </w:r>
      <w:proofErr w:type="spellEnd"/>
      <w:r w:rsidR="00194DC4">
        <w:t>,</w:t>
      </w:r>
      <w:r w:rsidRPr="00780D93">
        <w:rPr>
          <w:i/>
        </w:rPr>
        <w:t xml:space="preserve"> Salicornia</w:t>
      </w:r>
      <w:r>
        <w:t xml:space="preserve"> spp., </w:t>
      </w:r>
      <w:proofErr w:type="spellStart"/>
      <w:r w:rsidRPr="00780D93">
        <w:rPr>
          <w:i/>
        </w:rPr>
        <w:t>Suaeda</w:t>
      </w:r>
      <w:proofErr w:type="spellEnd"/>
      <w:r>
        <w:t xml:space="preserve"> spp., </w:t>
      </w:r>
      <w:proofErr w:type="spellStart"/>
      <w:r w:rsidRPr="00780D93">
        <w:rPr>
          <w:i/>
        </w:rPr>
        <w:t>Batis</w:t>
      </w:r>
      <w:proofErr w:type="spellEnd"/>
      <w:r w:rsidRPr="00780D93">
        <w:rPr>
          <w:i/>
        </w:rPr>
        <w:t xml:space="preserve"> </w:t>
      </w:r>
      <w:proofErr w:type="spellStart"/>
      <w:r w:rsidRPr="00780D93">
        <w:rPr>
          <w:i/>
        </w:rPr>
        <w:t>maritima</w:t>
      </w:r>
      <w:proofErr w:type="spellEnd"/>
      <w:r>
        <w:t xml:space="preserve">, and </w:t>
      </w:r>
      <w:proofErr w:type="spellStart"/>
      <w:r w:rsidRPr="00780D93">
        <w:rPr>
          <w:i/>
        </w:rPr>
        <w:t>Triglochin</w:t>
      </w:r>
      <w:proofErr w:type="spellEnd"/>
      <w:r>
        <w:t xml:space="preserve"> spp. Rare plant species include </w:t>
      </w:r>
      <w:proofErr w:type="spellStart"/>
      <w:r w:rsidRPr="00780D93">
        <w:rPr>
          <w:i/>
        </w:rPr>
        <w:t>Cordylanthus</w:t>
      </w:r>
      <w:proofErr w:type="spellEnd"/>
      <w:r w:rsidRPr="00780D93">
        <w:rPr>
          <w:i/>
        </w:rPr>
        <w:t xml:space="preserve"> </w:t>
      </w:r>
      <w:proofErr w:type="spellStart"/>
      <w:r w:rsidRPr="00780D93">
        <w:rPr>
          <w:i/>
        </w:rPr>
        <w:t>maritimus</w:t>
      </w:r>
      <w:proofErr w:type="spellEnd"/>
      <w:r>
        <w:t xml:space="preserve"> ssp. </w:t>
      </w:r>
      <w:proofErr w:type="spellStart"/>
      <w:r w:rsidR="00194DC4">
        <w:rPr>
          <w:i/>
        </w:rPr>
        <w:t>m</w:t>
      </w:r>
      <w:r w:rsidRPr="00780D93">
        <w:rPr>
          <w:i/>
        </w:rPr>
        <w:t>aritimus</w:t>
      </w:r>
      <w:proofErr w:type="spellEnd"/>
      <w:r>
        <w:t xml:space="preserve">. Salt marshes are very productive environments and </w:t>
      </w:r>
      <w:r w:rsidR="00194DC4">
        <w:t xml:space="preserve">are </w:t>
      </w:r>
      <w:r>
        <w:t>important for migratory birds.</w:t>
      </w:r>
    </w:p>
    <w:p w:rsidR="00C050F0" w:rsidP="00C050F0" w:rsidRDefault="00C050F0" w14:paraId="6C3FDC52" w14:textId="77777777"/>
    <w:p w:rsidR="00C050F0" w:rsidP="00C050F0" w:rsidRDefault="00C050F0" w14:paraId="68F41698" w14:textId="07D85B91">
      <w:r>
        <w:lastRenderedPageBreak/>
        <w:t>Large (&gt;</w:t>
      </w:r>
      <w:r w:rsidR="00194DC4">
        <w:t>0</w:t>
      </w:r>
      <w:r>
        <w:t>.5km</w:t>
      </w:r>
      <w:r w:rsidRPr="00780D93">
        <w:rPr>
          <w:vertAlign w:val="superscript"/>
        </w:rPr>
        <w:t>2</w:t>
      </w:r>
      <w:r>
        <w:t xml:space="preserve">) coastal and valley freshwater marsh and wet meadow communities are dominated by </w:t>
      </w:r>
      <w:proofErr w:type="spellStart"/>
      <w:r w:rsidRPr="00780D93">
        <w:rPr>
          <w:i/>
        </w:rPr>
        <w:t>Scirpus</w:t>
      </w:r>
      <w:proofErr w:type="spellEnd"/>
      <w:r>
        <w:t xml:space="preserve"> (bulrush), </w:t>
      </w:r>
      <w:proofErr w:type="spellStart"/>
      <w:r w:rsidRPr="00780D93">
        <w:rPr>
          <w:i/>
        </w:rPr>
        <w:t>Typha</w:t>
      </w:r>
      <w:proofErr w:type="spellEnd"/>
      <w:r>
        <w:t xml:space="preserve"> spp</w:t>
      </w:r>
      <w:r w:rsidR="00194DC4">
        <w:t>.</w:t>
      </w:r>
      <w:r>
        <w:t xml:space="preserve"> (cattail)</w:t>
      </w:r>
      <w:r w:rsidR="00194DC4">
        <w:t>,</w:t>
      </w:r>
      <w:r>
        <w:t xml:space="preserve"> and/or other herbaceous species with saturated soil or standing water for most of the year, but generally dr</w:t>
      </w:r>
      <w:r w:rsidR="00194DC4">
        <w:t>ies</w:t>
      </w:r>
      <w:r>
        <w:t xml:space="preserve"> out annually. Vegetation is characterized by short to medium graminoids </w:t>
      </w:r>
      <w:r w:rsidR="00194DC4">
        <w:t xml:space="preserve">that </w:t>
      </w:r>
      <w:r>
        <w:t xml:space="preserve">typically range from </w:t>
      </w:r>
      <w:r w:rsidR="00194DC4">
        <w:t>0</w:t>
      </w:r>
      <w:r>
        <w:t>.5</w:t>
      </w:r>
      <w:r w:rsidR="00194DC4">
        <w:t>-1m</w:t>
      </w:r>
      <w:r>
        <w:t xml:space="preserve">. Some stands are heavily dominated </w:t>
      </w:r>
      <w:r w:rsidR="00194DC4">
        <w:t xml:space="preserve">by </w:t>
      </w:r>
      <w:proofErr w:type="spellStart"/>
      <w:r w:rsidRPr="00780D93">
        <w:rPr>
          <w:i/>
        </w:rPr>
        <w:t>Eleocharis</w:t>
      </w:r>
      <w:proofErr w:type="spellEnd"/>
      <w:r>
        <w:t xml:space="preserve">, </w:t>
      </w:r>
      <w:proofErr w:type="spellStart"/>
      <w:r w:rsidRPr="00780D93">
        <w:rPr>
          <w:i/>
        </w:rPr>
        <w:t>Scirpus</w:t>
      </w:r>
      <w:proofErr w:type="spellEnd"/>
      <w:r>
        <w:t xml:space="preserve">, and/or </w:t>
      </w:r>
      <w:proofErr w:type="spellStart"/>
      <w:r w:rsidRPr="00780D93">
        <w:rPr>
          <w:i/>
        </w:rPr>
        <w:t>Typha</w:t>
      </w:r>
      <w:proofErr w:type="spellEnd"/>
      <w:r w:rsidR="00194DC4">
        <w:t xml:space="preserve"> </w:t>
      </w:r>
      <w:r>
        <w:t>spp</w:t>
      </w:r>
      <w:r w:rsidR="00194DC4">
        <w:t>. whereas</w:t>
      </w:r>
      <w:r>
        <w:t xml:space="preserve"> others have several graminoids common throughout the stand.</w:t>
      </w:r>
      <w:r w:rsidR="003F2097">
        <w:t xml:space="preserve"> In the Klamath </w:t>
      </w:r>
      <w:r w:rsidR="00837E4D">
        <w:t>Mountains</w:t>
      </w:r>
      <w:r w:rsidR="00194DC4">
        <w:t>,</w:t>
      </w:r>
      <w:r w:rsidR="003F2097">
        <w:t xml:space="preserve"> stands may occur in saturated meadows and along the shores of ponds and lakes </w:t>
      </w:r>
      <w:r w:rsidR="00194DC4">
        <w:t xml:space="preserve">that </w:t>
      </w:r>
      <w:r w:rsidR="003F2097">
        <w:t>experience draw-down throughout the growing season. Some stands occupy the centers of vernal pools</w:t>
      </w:r>
      <w:r w:rsidR="00194DC4">
        <w:t xml:space="preserve"> </w:t>
      </w:r>
      <w:r w:rsidR="003F2097">
        <w:t>(Sawyer &amp; Wolf</w:t>
      </w:r>
      <w:r w:rsidR="00194DC4">
        <w:t>;</w:t>
      </w:r>
      <w:r w:rsidR="003F2097">
        <w:t xml:space="preserve"> Sugihara et al. 2005)</w:t>
      </w:r>
      <w:r w:rsidR="00194DC4">
        <w:t>.</w:t>
      </w:r>
    </w:p>
    <w:p w:rsidR="00C050F0" w:rsidP="00C050F0" w:rsidRDefault="00C050F0" w14:paraId="7713B921"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ELOB2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obtusa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Blunt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Lilaeopsis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grasswort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Crassula aquatica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pygmyweed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Limosella aquatica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mudwort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GNPA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Gnaphalium palustre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marsh cudweed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Eragrostis hypnoides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 lovegrass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Ludwigia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seedbox</w:t>
            </w:r>
          </w:p>
        </w:tc>
      </w:tr>
    </w:tbl>
    <w:p>
      <w:r>
        <w:rPr>
          <w:sz w:val="16"/>
        </w:rPr>
        <w:t>Species names are from the NRCS PLANTS database. Check species codes at http://plants.usda.gov.</w:t>
      </w:r>
    </w:p>
    <w:p w:rsidR="00C050F0" w:rsidP="00C050F0" w:rsidRDefault="00C050F0" w14:paraId="6E098B81" w14:textId="77777777">
      <w:pPr>
        <w:pStyle w:val="InfoPara"/>
      </w:pPr>
      <w:r>
        <w:t>Disturbance Description</w:t>
      </w:r>
    </w:p>
    <w:p w:rsidR="00C050F0" w:rsidP="00C050F0" w:rsidRDefault="00C050F0" w14:paraId="7F39D676" w14:textId="0898F0D8">
      <w:r>
        <w:t xml:space="preserve">The fire return interval </w:t>
      </w:r>
      <w:r w:rsidR="00194DC4">
        <w:t xml:space="preserve">(FRI) </w:t>
      </w:r>
      <w:r>
        <w:t xml:space="preserve">of herbaceous wetland is </w:t>
      </w:r>
      <w:r w:rsidR="00194DC4">
        <w:t>3-</w:t>
      </w:r>
      <w:r>
        <w:t>20yrs. These sites were likely burned by native peoples</w:t>
      </w:r>
      <w:r w:rsidR="00194DC4">
        <w:t>,</w:t>
      </w:r>
      <w:r>
        <w:t xml:space="preserve"> along with adjacent grasslands. In the absence of Native Americans, the </w:t>
      </w:r>
      <w:r w:rsidR="00194DC4">
        <w:t xml:space="preserve">FRI </w:t>
      </w:r>
      <w:r>
        <w:t>probably tended toward the longer en</w:t>
      </w:r>
      <w:r w:rsidR="00837E4D">
        <w:t>d of th</w:t>
      </w:r>
      <w:r w:rsidR="00194DC4">
        <w:t xml:space="preserve">is </w:t>
      </w:r>
      <w:r w:rsidR="00837E4D">
        <w:t>range.</w:t>
      </w:r>
      <w:r>
        <w:t xml:space="preserve"> Native herbivory was also a source of continual background-level disturbance (FEIS). These systems will succeed to upland grasslands </w:t>
      </w:r>
      <w:r w:rsidR="00194DC4">
        <w:t>at</w:t>
      </w:r>
      <w:r>
        <w:t xml:space="preserve"> very </w:t>
      </w:r>
      <w:proofErr w:type="gramStart"/>
      <w:r>
        <w:t>long time</w:t>
      </w:r>
      <w:proofErr w:type="gramEnd"/>
      <w:r>
        <w:t xml:space="preserve"> frames (</w:t>
      </w:r>
      <w:r w:rsidR="00194DC4">
        <w:t>tens</w:t>
      </w:r>
      <w:r>
        <w:t xml:space="preserve"> of </w:t>
      </w:r>
      <w:r w:rsidR="00194DC4">
        <w:t>thousands</w:t>
      </w:r>
      <w:r>
        <w:t xml:space="preserve"> of y</w:t>
      </w:r>
      <w:r w:rsidR="00194DC4">
        <w:t>ea</w:t>
      </w:r>
      <w:r>
        <w:t xml:space="preserve">rs) (Mayer &amp; </w:t>
      </w:r>
      <w:proofErr w:type="spellStart"/>
      <w:r>
        <w:t>Laudenslayer</w:t>
      </w:r>
      <w:proofErr w:type="spellEnd"/>
      <w:r>
        <w:t xml:space="preserve"> 1988).</w:t>
      </w:r>
    </w:p>
    <w:p w:rsidR="00C050F0" w:rsidP="00C050F0" w:rsidRDefault="00C050F0" w14:paraId="68E55DC8" w14:textId="4C3AF8E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w:t>
            </w:r>
          </w:p>
        </w:tc>
        <w:tc>
          <w:p>
            <w:pPr>
              <w:jc w:val="center"/>
            </w:pPr>
            <w:r>
              <w:t>69</w:t>
            </w:r>
          </w:p>
        </w:tc>
        <w:tc>
          <w:p>
            <w:pPr>
              <w:jc w:val="center"/>
            </w:pPr>
            <w:r>
              <w:t/>
            </w:r>
          </w:p>
        </w:tc>
        <w:tc>
          <w:p>
            <w:pPr>
              <w:jc w:val="center"/>
            </w:pPr>
            <w:r>
              <w:t/>
            </w:r>
          </w:p>
        </w:tc>
      </w:tr>
      <w:tr>
        <w:tc>
          <w:p>
            <w:pPr>
              <w:jc w:val="center"/>
            </w:pPr>
            <w:r>
              <w:t>Moderate (Mixed)</w:t>
            </w:r>
          </w:p>
        </w:tc>
        <w:tc>
          <w:p>
            <w:pPr>
              <w:jc w:val="center"/>
            </w:pPr>
            <w:r>
              <w:t>35</w:t>
            </w:r>
          </w:p>
        </w:tc>
        <w:tc>
          <w:p>
            <w:pPr>
              <w:jc w:val="center"/>
            </w:pPr>
            <w:r>
              <w:t>31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050F0" w:rsidP="00C050F0" w:rsidRDefault="00C050F0" w14:paraId="7876F74E" w14:textId="77777777">
      <w:pPr>
        <w:pStyle w:val="InfoPara"/>
      </w:pPr>
      <w:r>
        <w:t>Scale Description</w:t>
      </w:r>
    </w:p>
    <w:p w:rsidR="00C050F0" w:rsidP="00C050F0" w:rsidRDefault="00C050F0" w14:paraId="06FA6BFE" w14:textId="6E5C356E">
      <w:r>
        <w:t>Historically, fire size probably varied widely from very small fires (10s of hectares) to very large fires (1000s of hectares).</w:t>
      </w:r>
      <w:r w:rsidR="00194DC4">
        <w:t xml:space="preserve"> </w:t>
      </w:r>
      <w:r>
        <w:t>Fires in this system are tied to burning in adjacent uplands (Sugihara et al. 2005).</w:t>
      </w:r>
    </w:p>
    <w:p w:rsidR="00C050F0" w:rsidP="00C050F0" w:rsidRDefault="00C050F0" w14:paraId="35773971" w14:textId="77777777">
      <w:pPr>
        <w:pStyle w:val="InfoPara"/>
      </w:pPr>
      <w:r>
        <w:t>Adjacency or Identification Concerns</w:t>
      </w:r>
    </w:p>
    <w:p w:rsidR="00C050F0" w:rsidP="00C050F0" w:rsidRDefault="00C050F0" w14:paraId="39E37067" w14:textId="627AA82E">
      <w:r>
        <w:t>Adjacent systems include grasslands, coastal scrub, chaparral, oak woodland, and mountain meadows.</w:t>
      </w:r>
      <w:r w:rsidR="00194DC4">
        <w:t xml:space="preserve"> </w:t>
      </w:r>
      <w:r>
        <w:t>Large portions of herbaceous wetland are now in an uncharacteristic state as they have been drained and/or converted to agriculture/grazing.</w:t>
      </w:r>
    </w:p>
    <w:p w:rsidR="00C050F0" w:rsidP="00C050F0" w:rsidRDefault="00C050F0" w14:paraId="655BFCC7" w14:textId="77777777">
      <w:pPr>
        <w:pStyle w:val="InfoPara"/>
      </w:pPr>
      <w:r>
        <w:t>Issues or Problems</w:t>
      </w:r>
    </w:p>
    <w:p w:rsidR="00C050F0" w:rsidP="00C050F0" w:rsidRDefault="00C050F0" w14:paraId="14FD4493" w14:textId="77777777">
      <w:proofErr w:type="spellStart"/>
      <w:r w:rsidRPr="00780D93">
        <w:rPr>
          <w:i/>
        </w:rPr>
        <w:t>Parapholis</w:t>
      </w:r>
      <w:proofErr w:type="spellEnd"/>
      <w:r>
        <w:t xml:space="preserve"> spp. and </w:t>
      </w:r>
      <w:proofErr w:type="spellStart"/>
      <w:r w:rsidRPr="00780D93">
        <w:rPr>
          <w:i/>
        </w:rPr>
        <w:t>Lythrum</w:t>
      </w:r>
      <w:proofErr w:type="spellEnd"/>
      <w:r w:rsidRPr="00780D93">
        <w:rPr>
          <w:i/>
        </w:rPr>
        <w:t xml:space="preserve"> </w:t>
      </w:r>
      <w:proofErr w:type="spellStart"/>
      <w:r w:rsidRPr="00780D93">
        <w:rPr>
          <w:i/>
        </w:rPr>
        <w:t>salicaria</w:t>
      </w:r>
      <w:proofErr w:type="spellEnd"/>
      <w:r>
        <w:t xml:space="preserve"> are notable invasive plant species associated with this system.</w:t>
      </w:r>
    </w:p>
    <w:p w:rsidR="00C050F0" w:rsidP="00C050F0" w:rsidRDefault="00C050F0" w14:paraId="533C6C8E" w14:textId="77777777">
      <w:pPr>
        <w:pStyle w:val="InfoPara"/>
      </w:pPr>
      <w:r>
        <w:lastRenderedPageBreak/>
        <w:t>Native Uncharacteristic Conditions</w:t>
      </w:r>
    </w:p>
    <w:p w:rsidR="00C050F0" w:rsidP="00C050F0" w:rsidRDefault="00C050F0" w14:paraId="501D636B" w14:textId="77777777"/>
    <w:p w:rsidR="00C050F0" w:rsidP="00C050F0" w:rsidRDefault="00C050F0" w14:paraId="127BE5ED" w14:textId="77777777">
      <w:pPr>
        <w:pStyle w:val="InfoPara"/>
      </w:pPr>
      <w:r>
        <w:t>Comments</w:t>
      </w:r>
    </w:p>
    <w:p w:rsidR="00837E4D" w:rsidP="00C050F0" w:rsidRDefault="00837E4D" w14:paraId="499B4071" w14:textId="1D302356">
      <w:r w:rsidRPr="00DF2600">
        <w:t>M</w:t>
      </w:r>
      <w:r w:rsidR="00194DC4">
        <w:t>ap zone</w:t>
      </w:r>
      <w:r w:rsidR="00780D93">
        <w:t>s</w:t>
      </w:r>
      <w:r w:rsidR="00194DC4">
        <w:t xml:space="preserve"> (MZ</w:t>
      </w:r>
      <w:r w:rsidR="00780D93">
        <w:t>s</w:t>
      </w:r>
      <w:r w:rsidR="00194DC4">
        <w:t>)</w:t>
      </w:r>
      <w:r w:rsidRPr="00DF2600">
        <w:t xml:space="preserve"> </w:t>
      </w:r>
      <w:r>
        <w:t>3, 4</w:t>
      </w:r>
      <w:r w:rsidR="00194DC4">
        <w:t>,</w:t>
      </w:r>
      <w:r>
        <w:t xml:space="preserve"> and 5</w:t>
      </w:r>
      <w:r w:rsidRPr="00DF2600">
        <w:t xml:space="preserve"> were combined during </w:t>
      </w:r>
      <w:r w:rsidR="00194DC4">
        <w:t xml:space="preserve">the </w:t>
      </w:r>
      <w:r w:rsidRPr="00DF2600">
        <w:t xml:space="preserve">2015 </w:t>
      </w:r>
      <w:proofErr w:type="spellStart"/>
      <w:r w:rsidRPr="00DF2600">
        <w:t>BpS</w:t>
      </w:r>
      <w:proofErr w:type="spellEnd"/>
      <w:r w:rsidRPr="00DF2600">
        <w:t xml:space="preserve"> </w:t>
      </w:r>
      <w:r w:rsidR="00194DC4">
        <w:t>r</w:t>
      </w:r>
      <w:r w:rsidRPr="00DF2600">
        <w:t>eview.</w:t>
      </w:r>
    </w:p>
    <w:p w:rsidR="00C050F0" w:rsidP="00C050F0" w:rsidRDefault="00C050F0" w14:paraId="7C6D46F2" w14:textId="77777777"/>
    <w:p w:rsidR="00C050F0" w:rsidP="00C050F0" w:rsidRDefault="00C050F0" w14:paraId="0747BD36" w14:textId="5AC86E89">
      <w:r>
        <w:t xml:space="preserve">This </w:t>
      </w:r>
      <w:proofErr w:type="spellStart"/>
      <w:r>
        <w:t>BpS</w:t>
      </w:r>
      <w:proofErr w:type="spellEnd"/>
      <w:r>
        <w:t xml:space="preserve"> was imported from R1WEHB and modified to fit</w:t>
      </w:r>
      <w:r w:rsidR="00837E4D">
        <w:t xml:space="preserve"> LANDFIRE</w:t>
      </w:r>
      <w:r>
        <w:t xml:space="preserve"> by Foster.</w:t>
      </w:r>
    </w:p>
    <w:p w:rsidR="006440AF" w:rsidP="00C050F0" w:rsidRDefault="006440AF" w14:paraId="1EF804C2" w14:textId="77777777"/>
    <w:p w:rsidR="00C050F0" w:rsidP="00C050F0" w:rsidRDefault="00C050F0" w14:paraId="66326781" w14:textId="77777777">
      <w:pPr>
        <w:pStyle w:val="ReportSection"/>
      </w:pPr>
      <w:r>
        <w:t>Succession Classes</w:t>
      </w:r>
    </w:p>
    <w:p w:rsidR="00C050F0" w:rsidP="00C050F0" w:rsidRDefault="00C050F0" w14:paraId="36B9A41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050F0" w:rsidP="00C050F0" w:rsidRDefault="00C050F0" w14:paraId="0AD9EE17"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050F0" w:rsidP="00C050F0" w:rsidRDefault="00C050F0" w14:paraId="0D1B397C" w14:textId="77777777"/>
    <w:p w:rsidR="00C050F0" w:rsidP="00C050F0" w:rsidRDefault="00C050F0" w14:paraId="687914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C050F0" w:rsidR="00C050F0" w:rsidTr="009B70F1" w14:paraId="61A9913E" w14:textId="77777777">
        <w:tc>
          <w:tcPr>
            <w:tcW w:w="1200" w:type="dxa"/>
            <w:tcBorders>
              <w:top w:val="single" w:color="auto" w:sz="2" w:space="0"/>
              <w:bottom w:val="single" w:color="000000" w:sz="12" w:space="0"/>
            </w:tcBorders>
            <w:shd w:val="clear" w:color="auto" w:fill="auto"/>
          </w:tcPr>
          <w:p w:rsidRPr="00C050F0" w:rsidR="00C050F0" w:rsidP="0030191E" w:rsidRDefault="00C050F0" w14:paraId="08182786" w14:textId="77777777">
            <w:pPr>
              <w:rPr>
                <w:b/>
                <w:bCs/>
              </w:rPr>
            </w:pPr>
            <w:r w:rsidRPr="00C050F0">
              <w:rPr>
                <w:b/>
                <w:bCs/>
              </w:rPr>
              <w:t>Symbol</w:t>
            </w:r>
          </w:p>
        </w:tc>
        <w:tc>
          <w:tcPr>
            <w:tcW w:w="2916" w:type="dxa"/>
            <w:tcBorders>
              <w:top w:val="single" w:color="auto" w:sz="2" w:space="0"/>
              <w:bottom w:val="single" w:color="000000" w:sz="12" w:space="0"/>
            </w:tcBorders>
            <w:shd w:val="clear" w:color="auto" w:fill="auto"/>
          </w:tcPr>
          <w:p w:rsidRPr="00C050F0" w:rsidR="00C050F0" w:rsidP="0030191E" w:rsidRDefault="00C050F0" w14:paraId="21B0EF69" w14:textId="77777777">
            <w:pPr>
              <w:rPr>
                <w:b/>
                <w:bCs/>
              </w:rPr>
            </w:pPr>
            <w:r w:rsidRPr="00C050F0">
              <w:rPr>
                <w:b/>
                <w:bCs/>
              </w:rPr>
              <w:t>Scientific Name</w:t>
            </w:r>
          </w:p>
        </w:tc>
        <w:tc>
          <w:tcPr>
            <w:tcW w:w="2916" w:type="dxa"/>
            <w:tcBorders>
              <w:top w:val="single" w:color="auto" w:sz="2" w:space="0"/>
              <w:bottom w:val="single" w:color="000000" w:sz="12" w:space="0"/>
            </w:tcBorders>
            <w:shd w:val="clear" w:color="auto" w:fill="auto"/>
          </w:tcPr>
          <w:p w:rsidRPr="00C050F0" w:rsidR="00C050F0" w:rsidP="0030191E" w:rsidRDefault="00C050F0" w14:paraId="1BDD5DAC" w14:textId="77777777">
            <w:pPr>
              <w:rPr>
                <w:b/>
                <w:bCs/>
              </w:rPr>
            </w:pPr>
            <w:r w:rsidRPr="00C050F0">
              <w:rPr>
                <w:b/>
                <w:bCs/>
              </w:rPr>
              <w:t>Common Name</w:t>
            </w:r>
          </w:p>
        </w:tc>
        <w:tc>
          <w:tcPr>
            <w:tcW w:w="1956" w:type="dxa"/>
            <w:tcBorders>
              <w:top w:val="single" w:color="auto" w:sz="2" w:space="0"/>
              <w:bottom w:val="single" w:color="000000" w:sz="12" w:space="0"/>
            </w:tcBorders>
            <w:shd w:val="clear" w:color="auto" w:fill="auto"/>
          </w:tcPr>
          <w:p w:rsidRPr="00C050F0" w:rsidR="00C050F0" w:rsidP="0030191E" w:rsidRDefault="00C050F0" w14:paraId="165F50C0" w14:textId="77777777">
            <w:pPr>
              <w:rPr>
                <w:b/>
                <w:bCs/>
              </w:rPr>
            </w:pPr>
            <w:r w:rsidRPr="00C050F0">
              <w:rPr>
                <w:b/>
                <w:bCs/>
              </w:rPr>
              <w:t>Canopy Position</w:t>
            </w:r>
          </w:p>
        </w:tc>
      </w:tr>
      <w:tr w:rsidRPr="00C050F0" w:rsidR="00C050F0" w:rsidTr="009B70F1" w14:paraId="0A408EB1" w14:textId="77777777">
        <w:tc>
          <w:tcPr>
            <w:tcW w:w="1200" w:type="dxa"/>
            <w:tcBorders>
              <w:top w:val="single" w:color="000000" w:sz="12" w:space="0"/>
            </w:tcBorders>
            <w:shd w:val="clear" w:color="auto" w:fill="auto"/>
          </w:tcPr>
          <w:p w:rsidRPr="00C050F0" w:rsidR="00C050F0" w:rsidP="0030191E" w:rsidRDefault="00C050F0" w14:paraId="4135D9E8" w14:textId="57A551A5">
            <w:pPr>
              <w:rPr>
                <w:bCs/>
              </w:rPr>
            </w:pPr>
            <w:r w:rsidRPr="00C050F0">
              <w:rPr>
                <w:bCs/>
              </w:rPr>
              <w:t>SCCO</w:t>
            </w:r>
          </w:p>
        </w:tc>
        <w:tc>
          <w:tcPr>
            <w:tcW w:w="2916" w:type="dxa"/>
            <w:tcBorders>
              <w:top w:val="single" w:color="000000" w:sz="12" w:space="0"/>
            </w:tcBorders>
            <w:shd w:val="clear" w:color="auto" w:fill="auto"/>
          </w:tcPr>
          <w:p w:rsidRPr="00C050F0" w:rsidR="00C050F0" w:rsidP="0030191E" w:rsidRDefault="00C050F0" w14:paraId="49F55FB7" w14:textId="77777777">
            <w:proofErr w:type="spellStart"/>
            <w:r w:rsidRPr="00C050F0">
              <w:t>Scirpus</w:t>
            </w:r>
            <w:proofErr w:type="spellEnd"/>
            <w:r w:rsidRPr="00C050F0">
              <w:t xml:space="preserve"> </w:t>
            </w:r>
            <w:proofErr w:type="spellStart"/>
            <w:r w:rsidRPr="00C050F0">
              <w:t>congdonii</w:t>
            </w:r>
            <w:proofErr w:type="spellEnd"/>
          </w:p>
        </w:tc>
        <w:tc>
          <w:tcPr>
            <w:tcW w:w="2916" w:type="dxa"/>
            <w:tcBorders>
              <w:top w:val="single" w:color="000000" w:sz="12" w:space="0"/>
            </w:tcBorders>
            <w:shd w:val="clear" w:color="auto" w:fill="auto"/>
          </w:tcPr>
          <w:p w:rsidRPr="00C050F0" w:rsidR="00C050F0" w:rsidP="0030191E" w:rsidRDefault="00C050F0" w14:paraId="6565BF6D" w14:textId="564564DF">
            <w:r w:rsidRPr="00C050F0">
              <w:t>Congdon</w:t>
            </w:r>
            <w:r w:rsidR="004B6FDB">
              <w:t>’</w:t>
            </w:r>
            <w:r w:rsidRPr="00C050F0">
              <w:t>s bulrush</w:t>
            </w:r>
          </w:p>
        </w:tc>
        <w:tc>
          <w:tcPr>
            <w:tcW w:w="1956" w:type="dxa"/>
            <w:tcBorders>
              <w:top w:val="single" w:color="000000" w:sz="12" w:space="0"/>
            </w:tcBorders>
            <w:shd w:val="clear" w:color="auto" w:fill="auto"/>
          </w:tcPr>
          <w:p w:rsidRPr="00C050F0" w:rsidR="00C050F0" w:rsidP="0030191E" w:rsidRDefault="00C050F0" w14:paraId="0B6DB189" w14:textId="77777777">
            <w:r w:rsidRPr="00C050F0">
              <w:t>Upper</w:t>
            </w:r>
          </w:p>
        </w:tc>
      </w:tr>
      <w:tr w:rsidRPr="00C050F0" w:rsidR="00C050F0" w:rsidTr="009B70F1" w14:paraId="2B54D549" w14:textId="77777777">
        <w:tc>
          <w:tcPr>
            <w:tcW w:w="1200" w:type="dxa"/>
            <w:shd w:val="clear" w:color="auto" w:fill="auto"/>
          </w:tcPr>
          <w:p w:rsidRPr="00C050F0" w:rsidR="00C050F0" w:rsidP="0030191E" w:rsidRDefault="00C050F0" w14:paraId="69AEDF6F" w14:textId="77777777">
            <w:pPr>
              <w:rPr>
                <w:bCs/>
              </w:rPr>
            </w:pPr>
            <w:r w:rsidRPr="00C050F0">
              <w:rPr>
                <w:bCs/>
              </w:rPr>
              <w:t>LETR5</w:t>
            </w:r>
          </w:p>
        </w:tc>
        <w:tc>
          <w:tcPr>
            <w:tcW w:w="2916" w:type="dxa"/>
            <w:shd w:val="clear" w:color="auto" w:fill="auto"/>
          </w:tcPr>
          <w:p w:rsidRPr="00C050F0" w:rsidR="00C050F0" w:rsidP="0030191E" w:rsidRDefault="00C050F0" w14:paraId="74BE9BEF" w14:textId="77777777">
            <w:proofErr w:type="spellStart"/>
            <w:r w:rsidRPr="00C050F0">
              <w:t>Leymus</w:t>
            </w:r>
            <w:proofErr w:type="spellEnd"/>
            <w:r w:rsidRPr="00C050F0">
              <w:t xml:space="preserve"> </w:t>
            </w:r>
            <w:proofErr w:type="spellStart"/>
            <w:r w:rsidRPr="00C050F0">
              <w:t>triticoides</w:t>
            </w:r>
            <w:proofErr w:type="spellEnd"/>
          </w:p>
        </w:tc>
        <w:tc>
          <w:tcPr>
            <w:tcW w:w="2916" w:type="dxa"/>
            <w:shd w:val="clear" w:color="auto" w:fill="auto"/>
          </w:tcPr>
          <w:p w:rsidRPr="00C050F0" w:rsidR="00C050F0" w:rsidP="0030191E" w:rsidRDefault="00C050F0" w14:paraId="4F710E45" w14:textId="77777777">
            <w:r w:rsidRPr="00C050F0">
              <w:t>Beardless wildrye</w:t>
            </w:r>
          </w:p>
        </w:tc>
        <w:tc>
          <w:tcPr>
            <w:tcW w:w="1956" w:type="dxa"/>
            <w:shd w:val="clear" w:color="auto" w:fill="auto"/>
          </w:tcPr>
          <w:p w:rsidRPr="00C050F0" w:rsidR="00C050F0" w:rsidP="0030191E" w:rsidRDefault="00C050F0" w14:paraId="3F3D3CDE" w14:textId="77777777">
            <w:r w:rsidRPr="00C050F0">
              <w:t>Upper</w:t>
            </w:r>
          </w:p>
        </w:tc>
      </w:tr>
      <w:tr w:rsidRPr="00C050F0" w:rsidR="00C050F0" w:rsidTr="009B70F1" w14:paraId="6C16E034" w14:textId="77777777">
        <w:tc>
          <w:tcPr>
            <w:tcW w:w="1200" w:type="dxa"/>
            <w:shd w:val="clear" w:color="auto" w:fill="auto"/>
          </w:tcPr>
          <w:p w:rsidRPr="00C050F0" w:rsidR="00C050F0" w:rsidP="009B70F1" w:rsidRDefault="003F2097" w14:paraId="708713AE" w14:textId="47164292">
            <w:pPr>
              <w:rPr>
                <w:bCs/>
              </w:rPr>
            </w:pPr>
            <w:r w:rsidRPr="003F2097">
              <w:rPr>
                <w:bCs/>
              </w:rPr>
              <w:t>TYPHA</w:t>
            </w:r>
          </w:p>
        </w:tc>
        <w:tc>
          <w:tcPr>
            <w:tcW w:w="2916" w:type="dxa"/>
            <w:shd w:val="clear" w:color="auto" w:fill="auto"/>
          </w:tcPr>
          <w:p w:rsidRPr="00C050F0" w:rsidR="00C050F0" w:rsidP="009B70F1" w:rsidRDefault="003F2097" w14:paraId="090AE2F7" w14:textId="1C510544">
            <w:proofErr w:type="spellStart"/>
            <w:r w:rsidRPr="003F2097">
              <w:t>Typha</w:t>
            </w:r>
            <w:proofErr w:type="spellEnd"/>
          </w:p>
        </w:tc>
        <w:tc>
          <w:tcPr>
            <w:tcW w:w="2916" w:type="dxa"/>
            <w:shd w:val="clear" w:color="auto" w:fill="auto"/>
          </w:tcPr>
          <w:p w:rsidRPr="00C050F0" w:rsidR="00C050F0" w:rsidP="009B70F1" w:rsidRDefault="003F2097" w14:paraId="01B1CEAA" w14:textId="20CF48C5">
            <w:r w:rsidRPr="003F2097">
              <w:t>Cattail</w:t>
            </w:r>
          </w:p>
        </w:tc>
        <w:tc>
          <w:tcPr>
            <w:tcW w:w="1956" w:type="dxa"/>
            <w:shd w:val="clear" w:color="auto" w:fill="auto"/>
          </w:tcPr>
          <w:p w:rsidRPr="00C050F0" w:rsidR="00C050F0" w:rsidP="0030191E" w:rsidRDefault="00C050F0" w14:paraId="1D51F453" w14:textId="77777777">
            <w:r w:rsidRPr="00C050F0">
              <w:t>Upper</w:t>
            </w:r>
          </w:p>
        </w:tc>
      </w:tr>
      <w:tr w:rsidRPr="00C050F0" w:rsidR="00C050F0" w:rsidTr="009B70F1" w14:paraId="72AF50DA" w14:textId="77777777">
        <w:tc>
          <w:tcPr>
            <w:tcW w:w="1200" w:type="dxa"/>
            <w:shd w:val="clear" w:color="auto" w:fill="auto"/>
          </w:tcPr>
          <w:p w:rsidRPr="00C050F0" w:rsidR="00C050F0" w:rsidP="009B70F1" w:rsidRDefault="003F2097" w14:paraId="44A429BF" w14:textId="4B2781B6">
            <w:pPr>
              <w:rPr>
                <w:bCs/>
              </w:rPr>
            </w:pPr>
            <w:r w:rsidRPr="003F2097">
              <w:rPr>
                <w:bCs/>
              </w:rPr>
              <w:t>ELOB2</w:t>
            </w:r>
          </w:p>
        </w:tc>
        <w:tc>
          <w:tcPr>
            <w:tcW w:w="2916" w:type="dxa"/>
            <w:shd w:val="clear" w:color="auto" w:fill="auto"/>
          </w:tcPr>
          <w:p w:rsidRPr="00C050F0" w:rsidR="00C050F0" w:rsidP="009B70F1" w:rsidRDefault="003F2097" w14:paraId="68E24BCB" w14:textId="2FCC5139">
            <w:proofErr w:type="spellStart"/>
            <w:r w:rsidRPr="003F2097">
              <w:t>Eleocharis</w:t>
            </w:r>
            <w:proofErr w:type="spellEnd"/>
            <w:r w:rsidRPr="003F2097">
              <w:t xml:space="preserve"> </w:t>
            </w:r>
            <w:proofErr w:type="spellStart"/>
            <w:r w:rsidRPr="003F2097">
              <w:t>obtusa</w:t>
            </w:r>
            <w:proofErr w:type="spellEnd"/>
          </w:p>
        </w:tc>
        <w:tc>
          <w:tcPr>
            <w:tcW w:w="2916" w:type="dxa"/>
            <w:shd w:val="clear" w:color="auto" w:fill="auto"/>
          </w:tcPr>
          <w:p w:rsidRPr="00C050F0" w:rsidR="00C050F0" w:rsidP="009B70F1" w:rsidRDefault="003F2097" w14:paraId="4C82888E" w14:textId="6AB8D365">
            <w:r w:rsidRPr="003F2097">
              <w:t xml:space="preserve">Blunt </w:t>
            </w:r>
            <w:proofErr w:type="spellStart"/>
            <w:r w:rsidRPr="003F2097">
              <w:t>spikerush</w:t>
            </w:r>
            <w:proofErr w:type="spellEnd"/>
          </w:p>
        </w:tc>
        <w:tc>
          <w:tcPr>
            <w:tcW w:w="1956" w:type="dxa"/>
            <w:shd w:val="clear" w:color="auto" w:fill="auto"/>
          </w:tcPr>
          <w:p w:rsidRPr="00C050F0" w:rsidR="00C050F0" w:rsidP="0030191E" w:rsidRDefault="00C050F0" w14:paraId="46BD994F" w14:textId="77777777">
            <w:r w:rsidRPr="00C050F0">
              <w:t>Upper</w:t>
            </w:r>
          </w:p>
        </w:tc>
      </w:tr>
    </w:tbl>
    <w:p w:rsidR="00C050F0" w:rsidP="00C050F0" w:rsidRDefault="00C050F0" w14:paraId="4ABD9D47" w14:textId="77777777"/>
    <w:p w:rsidR="00C050F0" w:rsidP="00C050F0" w:rsidRDefault="00C050F0" w14:paraId="67477DCA" w14:textId="77777777">
      <w:pPr>
        <w:pStyle w:val="SClassInfoPara"/>
      </w:pPr>
      <w:r>
        <w:t>Description</w:t>
      </w:r>
    </w:p>
    <w:p w:rsidR="00C050F0" w:rsidP="00C050F0" w:rsidRDefault="4F071137" w14:paraId="461A74D6" w14:textId="5EA3C2D0">
      <w:r>
        <w:t>Immediately after a stand</w:t>
      </w:r>
      <w:r w:rsidR="004B6FDB">
        <w:t>-</w:t>
      </w:r>
      <w:r>
        <w:t>replacing fire, this class appear</w:t>
      </w:r>
      <w:r w:rsidR="004B6FDB">
        <w:t>s</w:t>
      </w:r>
      <w:r>
        <w:t xml:space="preserve">. It </w:t>
      </w:r>
      <w:r w:rsidR="004B6FDB">
        <w:t xml:space="preserve">is </w:t>
      </w:r>
      <w:r>
        <w:t xml:space="preserve">composed of </w:t>
      </w:r>
      <w:proofErr w:type="spellStart"/>
      <w:r w:rsidRPr="00780D93">
        <w:rPr>
          <w:i/>
        </w:rPr>
        <w:t>Scirpus</w:t>
      </w:r>
      <w:proofErr w:type="spellEnd"/>
      <w:r>
        <w:t xml:space="preserve">, </w:t>
      </w:r>
      <w:proofErr w:type="spellStart"/>
      <w:r w:rsidRPr="00780D93">
        <w:rPr>
          <w:i/>
        </w:rPr>
        <w:t>Typha</w:t>
      </w:r>
      <w:proofErr w:type="spellEnd"/>
      <w:r>
        <w:t xml:space="preserve">, </w:t>
      </w:r>
      <w:proofErr w:type="spellStart"/>
      <w:r w:rsidRPr="00780D93">
        <w:rPr>
          <w:i/>
        </w:rPr>
        <w:t>Eleocharis</w:t>
      </w:r>
      <w:proofErr w:type="spellEnd"/>
      <w:r w:rsidR="004B6FDB">
        <w:t>,</w:t>
      </w:r>
      <w:r>
        <w:t xml:space="preserve"> and other wetland graminoids in an early life stage (</w:t>
      </w:r>
      <w:r w:rsidR="004B6FDB">
        <w:t>1</w:t>
      </w:r>
      <w:r>
        <w:t>y</w:t>
      </w:r>
      <w:r w:rsidR="004B6FDB">
        <w:t>r</w:t>
      </w:r>
      <w:r>
        <w:t xml:space="preserve">). </w:t>
      </w:r>
    </w:p>
    <w:p w:rsidR="00C050F0" w:rsidP="00C050F0" w:rsidRDefault="00C050F0" w14:paraId="0001216B" w14:textId="77777777"/>
    <w:p>
      <w:r>
        <w:rPr>
          <w:i/>
          <w:u w:val="single"/>
        </w:rPr>
        <w:t>Maximum Tree Size Class</w:t>
      </w:r>
      <w:br/>
      <w:r>
        <w:t>None</w:t>
      </w:r>
    </w:p>
    <w:p w:rsidR="00C050F0" w:rsidP="00C050F0" w:rsidRDefault="00C050F0" w14:paraId="466BBA05" w14:textId="77777777">
      <w:pPr>
        <w:pStyle w:val="InfoPara"/>
        <w:pBdr>
          <w:top w:val="single" w:color="auto" w:sz="4" w:space="1"/>
        </w:pBdr>
      </w:pPr>
      <w:r xmlns:w="http://schemas.openxmlformats.org/wordprocessingml/2006/main">
        <w:t>Class B</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050F0" w:rsidP="00C050F0" w:rsidRDefault="00C050F0" w14:paraId="6826B676" w14:textId="77777777"/>
    <w:p w:rsidR="00C050F0" w:rsidP="00C050F0" w:rsidRDefault="00C050F0" w14:paraId="3032B0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C050F0" w:rsidR="00C050F0" w:rsidTr="009B70F1" w14:paraId="476DB64C" w14:textId="77777777">
        <w:tc>
          <w:tcPr>
            <w:tcW w:w="1200" w:type="dxa"/>
            <w:tcBorders>
              <w:top w:val="single" w:color="auto" w:sz="2" w:space="0"/>
              <w:bottom w:val="single" w:color="000000" w:sz="12" w:space="0"/>
            </w:tcBorders>
            <w:shd w:val="clear" w:color="auto" w:fill="auto"/>
          </w:tcPr>
          <w:p w:rsidRPr="00C050F0" w:rsidR="00C050F0" w:rsidP="00E47C21" w:rsidRDefault="00C050F0" w14:paraId="23ADAE5B" w14:textId="77777777">
            <w:pPr>
              <w:rPr>
                <w:b/>
                <w:bCs/>
              </w:rPr>
            </w:pPr>
            <w:r w:rsidRPr="00C050F0">
              <w:rPr>
                <w:b/>
                <w:bCs/>
              </w:rPr>
              <w:t>Symbol</w:t>
            </w:r>
          </w:p>
        </w:tc>
        <w:tc>
          <w:tcPr>
            <w:tcW w:w="2916" w:type="dxa"/>
            <w:tcBorders>
              <w:top w:val="single" w:color="auto" w:sz="2" w:space="0"/>
              <w:bottom w:val="single" w:color="000000" w:sz="12" w:space="0"/>
            </w:tcBorders>
            <w:shd w:val="clear" w:color="auto" w:fill="auto"/>
          </w:tcPr>
          <w:p w:rsidRPr="00C050F0" w:rsidR="00C050F0" w:rsidP="00E47C21" w:rsidRDefault="00C050F0" w14:paraId="5906AB8E" w14:textId="77777777">
            <w:pPr>
              <w:rPr>
                <w:b/>
                <w:bCs/>
              </w:rPr>
            </w:pPr>
            <w:r w:rsidRPr="00C050F0">
              <w:rPr>
                <w:b/>
                <w:bCs/>
              </w:rPr>
              <w:t>Scientific Name</w:t>
            </w:r>
          </w:p>
        </w:tc>
        <w:tc>
          <w:tcPr>
            <w:tcW w:w="2916" w:type="dxa"/>
            <w:tcBorders>
              <w:top w:val="single" w:color="auto" w:sz="2" w:space="0"/>
              <w:bottom w:val="single" w:color="000000" w:sz="12" w:space="0"/>
            </w:tcBorders>
            <w:shd w:val="clear" w:color="auto" w:fill="auto"/>
          </w:tcPr>
          <w:p w:rsidRPr="00C050F0" w:rsidR="00C050F0" w:rsidP="00E47C21" w:rsidRDefault="00C050F0" w14:paraId="6FF03FE6" w14:textId="77777777">
            <w:pPr>
              <w:rPr>
                <w:b/>
                <w:bCs/>
              </w:rPr>
            </w:pPr>
            <w:r w:rsidRPr="00C050F0">
              <w:rPr>
                <w:b/>
                <w:bCs/>
              </w:rPr>
              <w:t>Common Name</w:t>
            </w:r>
          </w:p>
        </w:tc>
        <w:tc>
          <w:tcPr>
            <w:tcW w:w="1956" w:type="dxa"/>
            <w:tcBorders>
              <w:top w:val="single" w:color="auto" w:sz="2" w:space="0"/>
              <w:bottom w:val="single" w:color="000000" w:sz="12" w:space="0"/>
            </w:tcBorders>
            <w:shd w:val="clear" w:color="auto" w:fill="auto"/>
          </w:tcPr>
          <w:p w:rsidRPr="00C050F0" w:rsidR="00C050F0" w:rsidP="00E47C21" w:rsidRDefault="00C050F0" w14:paraId="6ED0482C" w14:textId="77777777">
            <w:pPr>
              <w:rPr>
                <w:b/>
                <w:bCs/>
              </w:rPr>
            </w:pPr>
            <w:r w:rsidRPr="00C050F0">
              <w:rPr>
                <w:b/>
                <w:bCs/>
              </w:rPr>
              <w:t>Canopy Position</w:t>
            </w:r>
          </w:p>
        </w:tc>
      </w:tr>
      <w:tr w:rsidRPr="00C050F0" w:rsidR="00C050F0" w:rsidTr="009B70F1" w14:paraId="19A0792A" w14:textId="77777777">
        <w:tc>
          <w:tcPr>
            <w:tcW w:w="1200" w:type="dxa"/>
            <w:tcBorders>
              <w:top w:val="single" w:color="000000" w:sz="12" w:space="0"/>
            </w:tcBorders>
            <w:shd w:val="clear" w:color="auto" w:fill="auto"/>
          </w:tcPr>
          <w:p w:rsidRPr="00C050F0" w:rsidR="00C050F0" w:rsidP="00E47C21" w:rsidRDefault="00C050F0" w14:paraId="56F75441" w14:textId="7A7475C5">
            <w:pPr>
              <w:rPr>
                <w:bCs/>
              </w:rPr>
            </w:pPr>
            <w:r w:rsidRPr="00C050F0">
              <w:rPr>
                <w:bCs/>
              </w:rPr>
              <w:t>SCCO</w:t>
            </w:r>
          </w:p>
        </w:tc>
        <w:tc>
          <w:tcPr>
            <w:tcW w:w="2916" w:type="dxa"/>
            <w:tcBorders>
              <w:top w:val="single" w:color="000000" w:sz="12" w:space="0"/>
            </w:tcBorders>
            <w:shd w:val="clear" w:color="auto" w:fill="auto"/>
          </w:tcPr>
          <w:p w:rsidRPr="00C050F0" w:rsidR="00C050F0" w:rsidP="00E47C21" w:rsidRDefault="00C050F0" w14:paraId="696828DD" w14:textId="77777777">
            <w:proofErr w:type="spellStart"/>
            <w:r w:rsidRPr="00C050F0">
              <w:t>Scirpus</w:t>
            </w:r>
            <w:proofErr w:type="spellEnd"/>
            <w:r w:rsidRPr="00C050F0">
              <w:t xml:space="preserve"> </w:t>
            </w:r>
            <w:proofErr w:type="spellStart"/>
            <w:r w:rsidRPr="00C050F0">
              <w:t>congdonii</w:t>
            </w:r>
            <w:proofErr w:type="spellEnd"/>
          </w:p>
        </w:tc>
        <w:tc>
          <w:tcPr>
            <w:tcW w:w="2916" w:type="dxa"/>
            <w:tcBorders>
              <w:top w:val="single" w:color="000000" w:sz="12" w:space="0"/>
            </w:tcBorders>
            <w:shd w:val="clear" w:color="auto" w:fill="auto"/>
          </w:tcPr>
          <w:p w:rsidRPr="00C050F0" w:rsidR="00C050F0" w:rsidP="00E47C21" w:rsidRDefault="00C050F0" w14:paraId="5BF48BA9" w14:textId="4B757BA8">
            <w:r w:rsidRPr="00C050F0">
              <w:t>Congdon</w:t>
            </w:r>
            <w:r w:rsidR="004B6FDB">
              <w:t>’</w:t>
            </w:r>
            <w:r w:rsidRPr="00C050F0">
              <w:t>s bulrush</w:t>
            </w:r>
          </w:p>
        </w:tc>
        <w:tc>
          <w:tcPr>
            <w:tcW w:w="1956" w:type="dxa"/>
            <w:tcBorders>
              <w:top w:val="single" w:color="000000" w:sz="12" w:space="0"/>
            </w:tcBorders>
            <w:shd w:val="clear" w:color="auto" w:fill="auto"/>
          </w:tcPr>
          <w:p w:rsidRPr="00C050F0" w:rsidR="00C050F0" w:rsidP="00E47C21" w:rsidRDefault="00C050F0" w14:paraId="4F9EC961" w14:textId="77777777">
            <w:r w:rsidRPr="00C050F0">
              <w:t>Upper</w:t>
            </w:r>
          </w:p>
        </w:tc>
      </w:tr>
      <w:tr w:rsidRPr="00C050F0" w:rsidR="00C050F0" w:rsidTr="009B70F1" w14:paraId="2FF69631" w14:textId="77777777">
        <w:tc>
          <w:tcPr>
            <w:tcW w:w="1200" w:type="dxa"/>
            <w:shd w:val="clear" w:color="auto" w:fill="auto"/>
          </w:tcPr>
          <w:p w:rsidRPr="00C050F0" w:rsidR="00C050F0" w:rsidP="00E47C21" w:rsidRDefault="00C050F0" w14:paraId="3C54FB74" w14:textId="77777777">
            <w:pPr>
              <w:rPr>
                <w:bCs/>
              </w:rPr>
            </w:pPr>
            <w:r w:rsidRPr="00C050F0">
              <w:rPr>
                <w:bCs/>
              </w:rPr>
              <w:t>LETR5</w:t>
            </w:r>
          </w:p>
        </w:tc>
        <w:tc>
          <w:tcPr>
            <w:tcW w:w="2916" w:type="dxa"/>
            <w:shd w:val="clear" w:color="auto" w:fill="auto"/>
          </w:tcPr>
          <w:p w:rsidRPr="00C050F0" w:rsidR="00C050F0" w:rsidP="00E47C21" w:rsidRDefault="00C050F0" w14:paraId="233F57A6" w14:textId="77777777">
            <w:proofErr w:type="spellStart"/>
            <w:r w:rsidRPr="00C050F0">
              <w:t>Leymus</w:t>
            </w:r>
            <w:proofErr w:type="spellEnd"/>
            <w:r w:rsidRPr="00C050F0">
              <w:t xml:space="preserve"> </w:t>
            </w:r>
            <w:proofErr w:type="spellStart"/>
            <w:r w:rsidRPr="00C050F0">
              <w:t>triticoides</w:t>
            </w:r>
            <w:proofErr w:type="spellEnd"/>
          </w:p>
        </w:tc>
        <w:tc>
          <w:tcPr>
            <w:tcW w:w="2916" w:type="dxa"/>
            <w:shd w:val="clear" w:color="auto" w:fill="auto"/>
          </w:tcPr>
          <w:p w:rsidRPr="00C050F0" w:rsidR="00C050F0" w:rsidP="00E47C21" w:rsidRDefault="00C050F0" w14:paraId="50125239" w14:textId="77777777">
            <w:r w:rsidRPr="00C050F0">
              <w:t>Beardless wildrye</w:t>
            </w:r>
          </w:p>
        </w:tc>
        <w:tc>
          <w:tcPr>
            <w:tcW w:w="1956" w:type="dxa"/>
            <w:shd w:val="clear" w:color="auto" w:fill="auto"/>
          </w:tcPr>
          <w:p w:rsidRPr="00C050F0" w:rsidR="00C050F0" w:rsidP="00E47C21" w:rsidRDefault="00C050F0" w14:paraId="69E92328" w14:textId="77777777">
            <w:r w:rsidRPr="00C050F0">
              <w:t>Upper</w:t>
            </w:r>
          </w:p>
        </w:tc>
      </w:tr>
      <w:tr w:rsidRPr="00C050F0" w:rsidR="00C050F0" w:rsidTr="009B70F1" w14:paraId="23D43C71" w14:textId="77777777">
        <w:tc>
          <w:tcPr>
            <w:tcW w:w="1200" w:type="dxa"/>
            <w:shd w:val="clear" w:color="auto" w:fill="auto"/>
          </w:tcPr>
          <w:p w:rsidRPr="00C050F0" w:rsidR="00C050F0" w:rsidP="009B70F1" w:rsidRDefault="003F2097" w14:paraId="21EC956B" w14:textId="4F92B5AA">
            <w:pPr>
              <w:rPr>
                <w:bCs/>
              </w:rPr>
            </w:pPr>
            <w:r w:rsidRPr="003F2097">
              <w:rPr>
                <w:bCs/>
              </w:rPr>
              <w:t>ELOB2</w:t>
            </w:r>
          </w:p>
        </w:tc>
        <w:tc>
          <w:tcPr>
            <w:tcW w:w="2916" w:type="dxa"/>
            <w:shd w:val="clear" w:color="auto" w:fill="auto"/>
          </w:tcPr>
          <w:p w:rsidRPr="00C050F0" w:rsidR="00C050F0" w:rsidP="009B70F1" w:rsidRDefault="003F2097" w14:paraId="0C2CE584" w14:textId="4A500AC8">
            <w:proofErr w:type="spellStart"/>
            <w:r w:rsidRPr="003F2097">
              <w:t>Eleocharis</w:t>
            </w:r>
            <w:proofErr w:type="spellEnd"/>
            <w:r w:rsidRPr="003F2097">
              <w:t xml:space="preserve"> </w:t>
            </w:r>
            <w:proofErr w:type="spellStart"/>
            <w:r w:rsidRPr="003F2097">
              <w:t>obtusa</w:t>
            </w:r>
            <w:proofErr w:type="spellEnd"/>
          </w:p>
        </w:tc>
        <w:tc>
          <w:tcPr>
            <w:tcW w:w="2916" w:type="dxa"/>
            <w:shd w:val="clear" w:color="auto" w:fill="auto"/>
          </w:tcPr>
          <w:p w:rsidRPr="00C050F0" w:rsidR="00C050F0" w:rsidP="009B70F1" w:rsidRDefault="003F2097" w14:paraId="316DC2E9" w14:textId="7BBA7431">
            <w:r w:rsidRPr="003F2097">
              <w:t xml:space="preserve">Blunt </w:t>
            </w:r>
            <w:proofErr w:type="spellStart"/>
            <w:r w:rsidRPr="003F2097">
              <w:t>spikerush</w:t>
            </w:r>
            <w:proofErr w:type="spellEnd"/>
          </w:p>
        </w:tc>
        <w:tc>
          <w:tcPr>
            <w:tcW w:w="1956" w:type="dxa"/>
            <w:shd w:val="clear" w:color="auto" w:fill="auto"/>
          </w:tcPr>
          <w:p w:rsidRPr="00C050F0" w:rsidR="00C050F0" w:rsidP="00E47C21" w:rsidRDefault="00C050F0" w14:paraId="5ADB22D5" w14:textId="77777777">
            <w:r w:rsidRPr="00C050F0">
              <w:t>Upper</w:t>
            </w:r>
          </w:p>
        </w:tc>
      </w:tr>
      <w:tr w:rsidRPr="00C050F0" w:rsidR="00C050F0" w:rsidTr="009B70F1" w14:paraId="0B83E95D" w14:textId="77777777">
        <w:tc>
          <w:tcPr>
            <w:tcW w:w="1200" w:type="dxa"/>
            <w:shd w:val="clear" w:color="auto" w:fill="auto"/>
          </w:tcPr>
          <w:p w:rsidRPr="00C050F0" w:rsidR="00C050F0" w:rsidP="009B70F1" w:rsidRDefault="003F2097" w14:paraId="201F8695" w14:textId="454925E8">
            <w:pPr>
              <w:rPr>
                <w:bCs/>
              </w:rPr>
            </w:pPr>
            <w:r w:rsidRPr="003F2097">
              <w:rPr>
                <w:bCs/>
              </w:rPr>
              <w:t>TYPHA</w:t>
            </w:r>
          </w:p>
        </w:tc>
        <w:tc>
          <w:tcPr>
            <w:tcW w:w="2916" w:type="dxa"/>
            <w:shd w:val="clear" w:color="auto" w:fill="auto"/>
          </w:tcPr>
          <w:p w:rsidRPr="00C050F0" w:rsidR="00C050F0" w:rsidP="009B70F1" w:rsidRDefault="003F2097" w14:paraId="747AB933" w14:textId="4FE32006">
            <w:proofErr w:type="spellStart"/>
            <w:r w:rsidRPr="003F2097">
              <w:t>Typha</w:t>
            </w:r>
            <w:proofErr w:type="spellEnd"/>
          </w:p>
        </w:tc>
        <w:tc>
          <w:tcPr>
            <w:tcW w:w="2916" w:type="dxa"/>
            <w:shd w:val="clear" w:color="auto" w:fill="auto"/>
          </w:tcPr>
          <w:p w:rsidRPr="00C050F0" w:rsidR="00C050F0" w:rsidP="009B70F1" w:rsidRDefault="003F2097" w14:paraId="231FC6C6" w14:textId="57507945">
            <w:r w:rsidRPr="003F2097">
              <w:t>Cattail</w:t>
            </w:r>
          </w:p>
        </w:tc>
        <w:tc>
          <w:tcPr>
            <w:tcW w:w="1956" w:type="dxa"/>
            <w:shd w:val="clear" w:color="auto" w:fill="auto"/>
          </w:tcPr>
          <w:p w:rsidRPr="00C050F0" w:rsidR="00C050F0" w:rsidP="00E47C21" w:rsidRDefault="00C050F0" w14:paraId="15196D54" w14:textId="77777777">
            <w:r w:rsidRPr="00C050F0">
              <w:t>Upper</w:t>
            </w:r>
          </w:p>
        </w:tc>
      </w:tr>
    </w:tbl>
    <w:p w:rsidR="00C050F0" w:rsidP="00C050F0" w:rsidRDefault="00C050F0" w14:paraId="5E9C50F3" w14:textId="77777777"/>
    <w:p w:rsidR="00C050F0" w:rsidP="00C050F0" w:rsidRDefault="00C050F0" w14:paraId="2DDA7503" w14:textId="77777777">
      <w:pPr>
        <w:pStyle w:val="SClassInfoPara"/>
      </w:pPr>
      <w:r>
        <w:t>Description</w:t>
      </w:r>
    </w:p>
    <w:p w:rsidR="00C050F0" w:rsidP="00C050F0" w:rsidRDefault="4F071137" w14:paraId="30C7BBCC" w14:textId="5B3CF136">
      <w:r>
        <w:t>This class is composed of closed</w:t>
      </w:r>
      <w:r w:rsidR="007B0E35">
        <w:t>-</w:t>
      </w:r>
      <w:r>
        <w:t xml:space="preserve">canopy wetland species including </w:t>
      </w:r>
      <w:proofErr w:type="spellStart"/>
      <w:r w:rsidRPr="00780D93">
        <w:rPr>
          <w:i/>
        </w:rPr>
        <w:t>Scirpus</w:t>
      </w:r>
      <w:proofErr w:type="spellEnd"/>
      <w:r>
        <w:t xml:space="preserve">, </w:t>
      </w:r>
      <w:proofErr w:type="spellStart"/>
      <w:r w:rsidRPr="00780D93">
        <w:rPr>
          <w:i/>
        </w:rPr>
        <w:t>Typha</w:t>
      </w:r>
      <w:proofErr w:type="spellEnd"/>
      <w:r>
        <w:t xml:space="preserve">, </w:t>
      </w:r>
      <w:proofErr w:type="spellStart"/>
      <w:r w:rsidRPr="00780D93">
        <w:rPr>
          <w:i/>
        </w:rPr>
        <w:t>Eleocharis</w:t>
      </w:r>
      <w:proofErr w:type="spellEnd"/>
      <w:r w:rsidR="007B0E35">
        <w:t>,</w:t>
      </w:r>
      <w:r>
        <w:t xml:space="preserve"> and </w:t>
      </w:r>
      <w:proofErr w:type="gramStart"/>
      <w:r>
        <w:t>other</w:t>
      </w:r>
      <w:proofErr w:type="gramEnd"/>
      <w:r>
        <w:t xml:space="preserve"> wetland graminoids. This type occurs several years after a stand</w:t>
      </w:r>
      <w:r w:rsidR="007B0E35">
        <w:t>-</w:t>
      </w:r>
      <w:r>
        <w:t>replacing fire.</w:t>
      </w:r>
    </w:p>
    <w:p w:rsidR="00C050F0" w:rsidP="00C050F0" w:rsidRDefault="00C050F0" w14:paraId="797C546D" w14:textId="77777777"/>
    <w:p w:rsidR="00C050F0" w:rsidP="00C050F0" w:rsidRDefault="4F071137" w14:paraId="31BFD934" w14:textId="3F91F1DC">
      <w:r>
        <w:lastRenderedPageBreak/>
        <w:t xml:space="preserve">This class begins approximately </w:t>
      </w:r>
      <w:r w:rsidR="005C71D3">
        <w:t>1yr</w:t>
      </w:r>
      <w:r>
        <w:t xml:space="preserve"> post</w:t>
      </w:r>
      <w:r w:rsidR="00E90850">
        <w:t>-</w:t>
      </w:r>
      <w:r>
        <w:t>replacement disturbance</w:t>
      </w:r>
      <w:r w:rsidR="00780D93">
        <w:t>,</w:t>
      </w:r>
      <w:r>
        <w:t xml:space="preserve"> and persists in the absence of disturbance.</w:t>
      </w:r>
      <w:r w:rsidR="00194DC4">
        <w:t xml:space="preserve"> </w:t>
      </w:r>
      <w:r>
        <w:t>Replacement fire is rare.</w:t>
      </w:r>
    </w:p>
    <w:p w:rsidR="00C050F0" w:rsidP="00C050F0" w:rsidRDefault="00C050F0" w14:paraId="27FC6041" w14:textId="77777777"/>
    <w:p>
      <w:r>
        <w:rPr>
          <w:i/>
          <w:u w:val="single"/>
        </w:rPr>
        <w:t>Maximum Tree Size Class</w:t>
      </w:r>
      <w:br/>
      <w:r>
        <w:t>None</w:t>
      </w:r>
    </w:p>
    <w:p w:rsidR="00C050F0" w:rsidP="00C050F0" w:rsidRDefault="00C050F0" w14:paraId="18057894" w14:textId="77777777">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050F0" w:rsidP="00C050F0" w:rsidRDefault="00C050F0" w14:paraId="2AE534E4" w14:textId="77777777"/>
    <w:p w:rsidR="00C050F0" w:rsidP="00C050F0" w:rsidRDefault="00C050F0" w14:paraId="362AE7C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C050F0" w:rsidR="00C050F0" w:rsidTr="009B70F1" w14:paraId="6B7917AD" w14:textId="77777777">
        <w:tc>
          <w:tcPr>
            <w:tcW w:w="1200" w:type="dxa"/>
            <w:tcBorders>
              <w:top w:val="single" w:color="auto" w:sz="2" w:space="0"/>
              <w:bottom w:val="single" w:color="000000" w:sz="12" w:space="0"/>
            </w:tcBorders>
            <w:shd w:val="clear" w:color="auto" w:fill="auto"/>
          </w:tcPr>
          <w:p w:rsidRPr="00C050F0" w:rsidR="00C050F0" w:rsidP="000A708A" w:rsidRDefault="00C050F0" w14:paraId="270A46D9" w14:textId="77777777">
            <w:pPr>
              <w:rPr>
                <w:b/>
                <w:bCs/>
              </w:rPr>
            </w:pPr>
            <w:r w:rsidRPr="00C050F0">
              <w:rPr>
                <w:b/>
                <w:bCs/>
              </w:rPr>
              <w:t>Symbol</w:t>
            </w:r>
          </w:p>
        </w:tc>
        <w:tc>
          <w:tcPr>
            <w:tcW w:w="2916" w:type="dxa"/>
            <w:tcBorders>
              <w:top w:val="single" w:color="auto" w:sz="2" w:space="0"/>
              <w:bottom w:val="single" w:color="000000" w:sz="12" w:space="0"/>
            </w:tcBorders>
            <w:shd w:val="clear" w:color="auto" w:fill="auto"/>
          </w:tcPr>
          <w:p w:rsidRPr="00C050F0" w:rsidR="00C050F0" w:rsidP="000A708A" w:rsidRDefault="00C050F0" w14:paraId="504CBFA2" w14:textId="77777777">
            <w:pPr>
              <w:rPr>
                <w:b/>
                <w:bCs/>
              </w:rPr>
            </w:pPr>
            <w:r w:rsidRPr="00C050F0">
              <w:rPr>
                <w:b/>
                <w:bCs/>
              </w:rPr>
              <w:t>Scientific Name</w:t>
            </w:r>
          </w:p>
        </w:tc>
        <w:tc>
          <w:tcPr>
            <w:tcW w:w="2916" w:type="dxa"/>
            <w:tcBorders>
              <w:top w:val="single" w:color="auto" w:sz="2" w:space="0"/>
              <w:bottom w:val="single" w:color="000000" w:sz="12" w:space="0"/>
            </w:tcBorders>
            <w:shd w:val="clear" w:color="auto" w:fill="auto"/>
          </w:tcPr>
          <w:p w:rsidRPr="00C050F0" w:rsidR="00C050F0" w:rsidP="000A708A" w:rsidRDefault="00C050F0" w14:paraId="2B608AA9" w14:textId="77777777">
            <w:pPr>
              <w:rPr>
                <w:b/>
                <w:bCs/>
              </w:rPr>
            </w:pPr>
            <w:r w:rsidRPr="00C050F0">
              <w:rPr>
                <w:b/>
                <w:bCs/>
              </w:rPr>
              <w:t>Common Name</w:t>
            </w:r>
          </w:p>
        </w:tc>
        <w:tc>
          <w:tcPr>
            <w:tcW w:w="1956" w:type="dxa"/>
            <w:tcBorders>
              <w:top w:val="single" w:color="auto" w:sz="2" w:space="0"/>
              <w:bottom w:val="single" w:color="000000" w:sz="12" w:space="0"/>
            </w:tcBorders>
            <w:shd w:val="clear" w:color="auto" w:fill="auto"/>
          </w:tcPr>
          <w:p w:rsidRPr="00C050F0" w:rsidR="00C050F0" w:rsidP="000A708A" w:rsidRDefault="00C050F0" w14:paraId="31B442F2" w14:textId="77777777">
            <w:pPr>
              <w:rPr>
                <w:b/>
                <w:bCs/>
              </w:rPr>
            </w:pPr>
            <w:r w:rsidRPr="00C050F0">
              <w:rPr>
                <w:b/>
                <w:bCs/>
              </w:rPr>
              <w:t>Canopy Position</w:t>
            </w:r>
          </w:p>
        </w:tc>
      </w:tr>
      <w:tr w:rsidRPr="00C050F0" w:rsidR="00C050F0" w:rsidTr="009B70F1" w14:paraId="2AFCBBFA" w14:textId="77777777">
        <w:tc>
          <w:tcPr>
            <w:tcW w:w="1200" w:type="dxa"/>
            <w:tcBorders>
              <w:top w:val="single" w:color="000000" w:sz="12" w:space="0"/>
            </w:tcBorders>
            <w:shd w:val="clear" w:color="auto" w:fill="auto"/>
          </w:tcPr>
          <w:p w:rsidRPr="00C050F0" w:rsidR="00C050F0" w:rsidP="000A708A" w:rsidRDefault="00C050F0" w14:paraId="1F8E38EB" w14:textId="346519A8">
            <w:pPr>
              <w:rPr>
                <w:bCs/>
              </w:rPr>
            </w:pPr>
            <w:r w:rsidRPr="00C050F0">
              <w:rPr>
                <w:bCs/>
              </w:rPr>
              <w:t>SCCO</w:t>
            </w:r>
          </w:p>
        </w:tc>
        <w:tc>
          <w:tcPr>
            <w:tcW w:w="2916" w:type="dxa"/>
            <w:tcBorders>
              <w:top w:val="single" w:color="000000" w:sz="12" w:space="0"/>
            </w:tcBorders>
            <w:shd w:val="clear" w:color="auto" w:fill="auto"/>
          </w:tcPr>
          <w:p w:rsidRPr="00C050F0" w:rsidR="00C050F0" w:rsidP="000A708A" w:rsidRDefault="00C050F0" w14:paraId="2E2A4698" w14:textId="77777777">
            <w:proofErr w:type="spellStart"/>
            <w:r w:rsidRPr="00C050F0">
              <w:t>Scirpus</w:t>
            </w:r>
            <w:proofErr w:type="spellEnd"/>
            <w:r w:rsidRPr="00C050F0">
              <w:t xml:space="preserve"> </w:t>
            </w:r>
            <w:proofErr w:type="spellStart"/>
            <w:r w:rsidRPr="00C050F0">
              <w:t>congdonii</w:t>
            </w:r>
            <w:proofErr w:type="spellEnd"/>
          </w:p>
        </w:tc>
        <w:tc>
          <w:tcPr>
            <w:tcW w:w="2916" w:type="dxa"/>
            <w:tcBorders>
              <w:top w:val="single" w:color="000000" w:sz="12" w:space="0"/>
            </w:tcBorders>
            <w:shd w:val="clear" w:color="auto" w:fill="auto"/>
          </w:tcPr>
          <w:p w:rsidRPr="00C050F0" w:rsidR="00C050F0" w:rsidP="000A708A" w:rsidRDefault="00C050F0" w14:paraId="26E30A0A" w14:textId="5CF85AF0">
            <w:r w:rsidRPr="00C050F0">
              <w:t>Congdon</w:t>
            </w:r>
            <w:r w:rsidR="00E90850">
              <w:t>’</w:t>
            </w:r>
            <w:r w:rsidRPr="00C050F0">
              <w:t>s bulrush</w:t>
            </w:r>
          </w:p>
        </w:tc>
        <w:tc>
          <w:tcPr>
            <w:tcW w:w="1956" w:type="dxa"/>
            <w:tcBorders>
              <w:top w:val="single" w:color="000000" w:sz="12" w:space="0"/>
            </w:tcBorders>
            <w:shd w:val="clear" w:color="auto" w:fill="auto"/>
          </w:tcPr>
          <w:p w:rsidRPr="00C050F0" w:rsidR="00C050F0" w:rsidP="000A708A" w:rsidRDefault="00C050F0" w14:paraId="6F04ECC9" w14:textId="77777777">
            <w:r w:rsidRPr="00C050F0">
              <w:t>Upper</w:t>
            </w:r>
          </w:p>
        </w:tc>
      </w:tr>
      <w:tr w:rsidRPr="00C050F0" w:rsidR="00C050F0" w:rsidTr="009B70F1" w14:paraId="659BC8C9" w14:textId="77777777">
        <w:tc>
          <w:tcPr>
            <w:tcW w:w="1200" w:type="dxa"/>
            <w:shd w:val="clear" w:color="auto" w:fill="auto"/>
          </w:tcPr>
          <w:p w:rsidRPr="00C050F0" w:rsidR="00C050F0" w:rsidP="000A708A" w:rsidRDefault="00C050F0" w14:paraId="3CC4414F" w14:textId="77777777">
            <w:pPr>
              <w:rPr>
                <w:bCs/>
              </w:rPr>
            </w:pPr>
            <w:r w:rsidRPr="00C050F0">
              <w:rPr>
                <w:bCs/>
              </w:rPr>
              <w:t>LETR5</w:t>
            </w:r>
          </w:p>
        </w:tc>
        <w:tc>
          <w:tcPr>
            <w:tcW w:w="2916" w:type="dxa"/>
            <w:shd w:val="clear" w:color="auto" w:fill="auto"/>
          </w:tcPr>
          <w:p w:rsidRPr="00C050F0" w:rsidR="00C050F0" w:rsidP="000A708A" w:rsidRDefault="00C050F0" w14:paraId="500A4538" w14:textId="77777777">
            <w:proofErr w:type="spellStart"/>
            <w:r w:rsidRPr="00C050F0">
              <w:t>Leymus</w:t>
            </w:r>
            <w:proofErr w:type="spellEnd"/>
            <w:r w:rsidRPr="00C050F0">
              <w:t xml:space="preserve"> </w:t>
            </w:r>
            <w:proofErr w:type="spellStart"/>
            <w:r w:rsidRPr="00C050F0">
              <w:t>triticoides</w:t>
            </w:r>
            <w:proofErr w:type="spellEnd"/>
          </w:p>
        </w:tc>
        <w:tc>
          <w:tcPr>
            <w:tcW w:w="2916" w:type="dxa"/>
            <w:shd w:val="clear" w:color="auto" w:fill="auto"/>
          </w:tcPr>
          <w:p w:rsidRPr="00C050F0" w:rsidR="00C050F0" w:rsidP="000A708A" w:rsidRDefault="00C050F0" w14:paraId="350E6729" w14:textId="77777777">
            <w:r w:rsidRPr="00C050F0">
              <w:t>Beardless wildrye</w:t>
            </w:r>
          </w:p>
        </w:tc>
        <w:tc>
          <w:tcPr>
            <w:tcW w:w="1956" w:type="dxa"/>
            <w:shd w:val="clear" w:color="auto" w:fill="auto"/>
          </w:tcPr>
          <w:p w:rsidRPr="00C050F0" w:rsidR="00C050F0" w:rsidP="000A708A" w:rsidRDefault="00C050F0" w14:paraId="0498665E" w14:textId="77777777">
            <w:r w:rsidRPr="00C050F0">
              <w:t>Upper</w:t>
            </w:r>
          </w:p>
        </w:tc>
      </w:tr>
      <w:tr w:rsidRPr="00C050F0" w:rsidR="00C050F0" w:rsidTr="009B70F1" w14:paraId="10A454A8" w14:textId="77777777">
        <w:tc>
          <w:tcPr>
            <w:tcW w:w="1200" w:type="dxa"/>
            <w:shd w:val="clear" w:color="auto" w:fill="auto"/>
          </w:tcPr>
          <w:p w:rsidRPr="00C050F0" w:rsidR="00C050F0" w:rsidP="009B70F1" w:rsidRDefault="003F2097" w14:paraId="2472C068" w14:textId="25E94B54">
            <w:pPr>
              <w:rPr>
                <w:bCs/>
              </w:rPr>
            </w:pPr>
            <w:r w:rsidRPr="003F2097">
              <w:rPr>
                <w:bCs/>
              </w:rPr>
              <w:t>TYPHA</w:t>
            </w:r>
          </w:p>
        </w:tc>
        <w:tc>
          <w:tcPr>
            <w:tcW w:w="2916" w:type="dxa"/>
            <w:shd w:val="clear" w:color="auto" w:fill="auto"/>
          </w:tcPr>
          <w:p w:rsidRPr="00C050F0" w:rsidR="00C050F0" w:rsidP="009B70F1" w:rsidRDefault="003F2097" w14:paraId="614C1325" w14:textId="01FBAB9D">
            <w:proofErr w:type="spellStart"/>
            <w:r w:rsidRPr="003F2097">
              <w:t>Typha</w:t>
            </w:r>
            <w:proofErr w:type="spellEnd"/>
          </w:p>
        </w:tc>
        <w:tc>
          <w:tcPr>
            <w:tcW w:w="2916" w:type="dxa"/>
            <w:shd w:val="clear" w:color="auto" w:fill="auto"/>
          </w:tcPr>
          <w:p w:rsidRPr="00C050F0" w:rsidR="00C050F0" w:rsidP="009B70F1" w:rsidRDefault="003F2097" w14:paraId="3E876994" w14:textId="2EF34E33">
            <w:r w:rsidRPr="003F2097">
              <w:t>Cattail</w:t>
            </w:r>
          </w:p>
        </w:tc>
        <w:tc>
          <w:tcPr>
            <w:tcW w:w="1956" w:type="dxa"/>
            <w:shd w:val="clear" w:color="auto" w:fill="auto"/>
          </w:tcPr>
          <w:p w:rsidRPr="00C050F0" w:rsidR="00C050F0" w:rsidP="000A708A" w:rsidRDefault="00C050F0" w14:paraId="6BEA2542" w14:textId="77777777">
            <w:r w:rsidRPr="00C050F0">
              <w:t>Upper</w:t>
            </w:r>
          </w:p>
        </w:tc>
      </w:tr>
      <w:tr w:rsidRPr="00C050F0" w:rsidR="00C050F0" w:rsidTr="009B70F1" w14:paraId="0C84C440" w14:textId="77777777">
        <w:tc>
          <w:tcPr>
            <w:tcW w:w="1200" w:type="dxa"/>
            <w:shd w:val="clear" w:color="auto" w:fill="auto"/>
          </w:tcPr>
          <w:p w:rsidRPr="00C050F0" w:rsidR="00C050F0" w:rsidP="009B70F1" w:rsidRDefault="003F2097" w14:paraId="0B50784B" w14:textId="6D760B5C">
            <w:pPr>
              <w:rPr>
                <w:bCs/>
              </w:rPr>
            </w:pPr>
            <w:r w:rsidRPr="003F2097">
              <w:rPr>
                <w:bCs/>
              </w:rPr>
              <w:t>ELOB2</w:t>
            </w:r>
          </w:p>
        </w:tc>
        <w:tc>
          <w:tcPr>
            <w:tcW w:w="2916" w:type="dxa"/>
            <w:shd w:val="clear" w:color="auto" w:fill="auto"/>
          </w:tcPr>
          <w:p w:rsidRPr="00C050F0" w:rsidR="00C050F0" w:rsidP="009B70F1" w:rsidRDefault="003F2097" w14:paraId="29237EC2" w14:textId="28302D3E">
            <w:proofErr w:type="spellStart"/>
            <w:r w:rsidRPr="003F2097">
              <w:t>Eleocharis</w:t>
            </w:r>
            <w:proofErr w:type="spellEnd"/>
            <w:r w:rsidRPr="003F2097">
              <w:t xml:space="preserve"> </w:t>
            </w:r>
            <w:proofErr w:type="spellStart"/>
            <w:r w:rsidRPr="003F2097">
              <w:t>obtusa</w:t>
            </w:r>
            <w:proofErr w:type="spellEnd"/>
          </w:p>
        </w:tc>
        <w:tc>
          <w:tcPr>
            <w:tcW w:w="2916" w:type="dxa"/>
            <w:shd w:val="clear" w:color="auto" w:fill="auto"/>
          </w:tcPr>
          <w:p w:rsidRPr="00C050F0" w:rsidR="00C050F0" w:rsidP="009B70F1" w:rsidRDefault="003F2097" w14:paraId="51C2A414" w14:textId="5B447CD6">
            <w:r w:rsidRPr="003F2097">
              <w:t xml:space="preserve">Blunt </w:t>
            </w:r>
            <w:proofErr w:type="spellStart"/>
            <w:r w:rsidRPr="003F2097">
              <w:t>spikerush</w:t>
            </w:r>
            <w:proofErr w:type="spellEnd"/>
          </w:p>
        </w:tc>
        <w:tc>
          <w:tcPr>
            <w:tcW w:w="1956" w:type="dxa"/>
            <w:shd w:val="clear" w:color="auto" w:fill="auto"/>
          </w:tcPr>
          <w:p w:rsidRPr="00C050F0" w:rsidR="00C050F0" w:rsidP="000A708A" w:rsidRDefault="00C050F0" w14:paraId="331D77AC" w14:textId="77777777">
            <w:r w:rsidRPr="00C050F0">
              <w:t>Upper</w:t>
            </w:r>
          </w:p>
        </w:tc>
      </w:tr>
    </w:tbl>
    <w:p w:rsidR="00C050F0" w:rsidP="00C050F0" w:rsidRDefault="00C050F0" w14:paraId="5C6978A8" w14:textId="77777777"/>
    <w:p w:rsidR="00C050F0" w:rsidP="00C050F0" w:rsidRDefault="00C050F0" w14:paraId="5546A1B7" w14:textId="77777777">
      <w:pPr>
        <w:pStyle w:val="SClassInfoPara"/>
      </w:pPr>
      <w:r>
        <w:t>Description</w:t>
      </w:r>
    </w:p>
    <w:p w:rsidR="00C050F0" w:rsidP="00C050F0" w:rsidRDefault="4F071137" w14:paraId="11B6DDC6" w14:textId="47947311">
      <w:r>
        <w:t>A matrix of openings and closed</w:t>
      </w:r>
      <w:r w:rsidR="00E90850">
        <w:t>-</w:t>
      </w:r>
      <w:r>
        <w:t>canopy wetland species</w:t>
      </w:r>
      <w:r w:rsidR="00E90850">
        <w:t>,</w:t>
      </w:r>
      <w:r>
        <w:t xml:space="preserve"> including </w:t>
      </w:r>
      <w:proofErr w:type="spellStart"/>
      <w:r w:rsidRPr="00780D93">
        <w:rPr>
          <w:i/>
        </w:rPr>
        <w:t>Scirpus</w:t>
      </w:r>
      <w:proofErr w:type="spellEnd"/>
      <w:r>
        <w:t xml:space="preserve">, </w:t>
      </w:r>
      <w:proofErr w:type="spellStart"/>
      <w:r w:rsidRPr="00780D93">
        <w:rPr>
          <w:i/>
        </w:rPr>
        <w:t>Typha</w:t>
      </w:r>
      <w:proofErr w:type="spellEnd"/>
      <w:r>
        <w:t xml:space="preserve">, </w:t>
      </w:r>
      <w:proofErr w:type="spellStart"/>
      <w:r w:rsidRPr="00780D93">
        <w:rPr>
          <w:i/>
        </w:rPr>
        <w:t>Eleocharis</w:t>
      </w:r>
      <w:proofErr w:type="spellEnd"/>
      <w:r w:rsidR="00E90850">
        <w:t>,</w:t>
      </w:r>
      <w:r>
        <w:t xml:space="preserve"> and </w:t>
      </w:r>
      <w:proofErr w:type="gramStart"/>
      <w:r>
        <w:t>other</w:t>
      </w:r>
      <w:proofErr w:type="gramEnd"/>
      <w:r>
        <w:t xml:space="preserve"> wetland graminoids. This type can occur via two pathways. A mixed</w:t>
      </w:r>
      <w:r w:rsidR="00E90850">
        <w:t>-</w:t>
      </w:r>
      <w:r>
        <w:t>severity fire creates a patchy expression of this type. Alternatively, a rare</w:t>
      </w:r>
      <w:r w:rsidR="00E90850">
        <w:t>,</w:t>
      </w:r>
      <w:r>
        <w:t xml:space="preserve"> extreme stand</w:t>
      </w:r>
      <w:r w:rsidR="00E90850">
        <w:t>-</w:t>
      </w:r>
      <w:r>
        <w:t>replacing fire event (during a drought) would patchily kill rhizomes and</w:t>
      </w:r>
      <w:r w:rsidR="00E90850">
        <w:t>,</w:t>
      </w:r>
      <w:r>
        <w:t xml:space="preserve"> a few years later</w:t>
      </w:r>
      <w:r w:rsidR="00E90850">
        <w:t>,</w:t>
      </w:r>
      <w:r>
        <w:t xml:space="preserve"> create</w:t>
      </w:r>
      <w:r w:rsidR="00E90850">
        <w:t>s</w:t>
      </w:r>
      <w:r>
        <w:t xml:space="preserve"> a patchy expression of this type.</w:t>
      </w:r>
    </w:p>
    <w:p w:rsidR="00C050F0" w:rsidP="00C050F0" w:rsidRDefault="00C050F0" w14:paraId="2F66A4CF" w14:textId="77777777"/>
    <w:p w:rsidR="00C050F0" w:rsidP="00C050F0" w:rsidRDefault="4F071137" w14:paraId="0FCD75AA" w14:textId="273F716A">
      <w:r>
        <w:t xml:space="preserve">Class lasts for approximately </w:t>
      </w:r>
      <w:r w:rsidR="00E90850">
        <w:t>1</w:t>
      </w:r>
      <w:r>
        <w:t>yr. Replacement fire is less frequent than for the closed</w:t>
      </w:r>
      <w:r w:rsidR="00E90850">
        <w:t>-</w:t>
      </w:r>
      <w:r>
        <w:t>canopy stands, but mixed fire is more frequent.</w:t>
      </w:r>
    </w:p>
    <w:p w:rsidR="00C050F0" w:rsidP="00C050F0" w:rsidRDefault="00C050F0" w14:paraId="5827B3C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Mid1:OPN</w:t>
            </w:r>
          </w:p>
        </w:tc>
        <w:tc>
          <w:p>
            <w:pPr>
              <w:jc w:val="center"/>
            </w:pPr>
            <w:r>
              <w:rPr>
                <w:sz w:val="20"/>
              </w:rPr>
              <w:t>2</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050F0" w:rsidP="00C050F0" w:rsidRDefault="00C050F0" w14:paraId="63BD41E4" w14:textId="272B65CC">
      <w:r>
        <w:t xml:space="preserve">Mayer, K.E. and W.F. </w:t>
      </w:r>
      <w:proofErr w:type="spellStart"/>
      <w:r>
        <w:t>Laudenslayer</w:t>
      </w:r>
      <w:proofErr w:type="spellEnd"/>
      <w:r>
        <w:t xml:space="preserve">. 1988. A Guide to Wildlife Habitats of California. Sacramento, CA: State of California, Resources Agency. </w:t>
      </w:r>
      <w:proofErr w:type="spellStart"/>
      <w:r>
        <w:t>Dept</w:t>
      </w:r>
      <w:proofErr w:type="spellEnd"/>
      <w:r>
        <w:t xml:space="preserve"> of Fish and Game. 166 pp.</w:t>
      </w:r>
    </w:p>
    <w:p w:rsidR="00C050F0" w:rsidP="00C050F0" w:rsidRDefault="00C050F0" w14:paraId="6E95B1C6" w14:textId="77777777"/>
    <w:p w:rsidR="00C050F0" w:rsidP="00C050F0" w:rsidRDefault="00C050F0" w14:paraId="7FD1F2FC" w14:textId="77777777">
      <w:r>
        <w:t>NatureServe. 2007. International Ecological Classification Standard: Terrestrial Ecological Classifications. NatureServe Central Databases. Arlington, VA. Data current as of 10 February 2007.</w:t>
      </w:r>
    </w:p>
    <w:p w:rsidR="00C050F0" w:rsidP="00C050F0" w:rsidRDefault="00C050F0" w14:paraId="3463A9B4" w14:textId="77777777"/>
    <w:p w:rsidR="00C050F0" w:rsidP="00C050F0" w:rsidRDefault="00C050F0" w14:paraId="6E72377A" w14:textId="77777777">
      <w:r>
        <w:t>Sawyer, J.O. and T.K. Wolf. In preparation. Manual of California Vegetation, revised. California Native Plant Society.</w:t>
      </w:r>
    </w:p>
    <w:p w:rsidR="00C050F0" w:rsidP="00C050F0" w:rsidRDefault="00C050F0" w14:paraId="2EC74266" w14:textId="77777777"/>
    <w:p w:rsidR="00C050F0" w:rsidP="00C050F0" w:rsidRDefault="00C050F0" w14:paraId="2D4B1F4B" w14:textId="46ED00DA">
      <w:r>
        <w:t xml:space="preserve">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eds. 2005. Fire in California Ecosystems. Berkeley, CA: University of California Press. In press.</w:t>
      </w:r>
    </w:p>
    <w:p w:rsidR="00C050F0" w:rsidP="00C050F0" w:rsidRDefault="00C050F0" w14:paraId="35FC4ABA" w14:textId="77777777"/>
    <w:p w:rsidR="00C050F0" w:rsidP="00C050F0" w:rsidRDefault="00C050F0" w14:paraId="2ACB8A2D" w14:textId="47EEAD53">
      <w:r>
        <w:t>USDA Forest Service, Rocky Mountain Research Station, Fire Sciences Laboratory. Fire Effects Information System [Online]. Available: http://www.fs.fed.us/database/feis/.</w:t>
      </w:r>
      <w:r w:rsidR="00194DC4">
        <w:t xml:space="preserve"> </w:t>
      </w:r>
      <w:r>
        <w:t>Accessed November 3, 2004.</w:t>
      </w:r>
    </w:p>
    <w:p w:rsidRPr="00A43E41" w:rsidR="004D5F12" w:rsidP="00C050F0" w:rsidRDefault="004D5F12" w14:paraId="5D80BA8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F55D4" w14:textId="77777777" w:rsidR="00422090" w:rsidRDefault="00422090">
      <w:r>
        <w:separator/>
      </w:r>
    </w:p>
  </w:endnote>
  <w:endnote w:type="continuationSeparator" w:id="0">
    <w:p w14:paraId="12B0CD7A" w14:textId="77777777" w:rsidR="00422090" w:rsidRDefault="00422090">
      <w:r>
        <w:continuationSeparator/>
      </w:r>
    </w:p>
  </w:endnote>
  <w:endnote w:type="continuationNotice" w:id="1">
    <w:p w14:paraId="35E40744" w14:textId="77777777" w:rsidR="00422090" w:rsidRDefault="00422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9D4BB" w14:textId="77777777" w:rsidR="00C050F0" w:rsidRDefault="00C050F0" w:rsidP="00C050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F771" w14:textId="77777777" w:rsidR="00422090" w:rsidRDefault="00422090">
      <w:r>
        <w:separator/>
      </w:r>
    </w:p>
  </w:footnote>
  <w:footnote w:type="continuationSeparator" w:id="0">
    <w:p w14:paraId="56FE96CF" w14:textId="77777777" w:rsidR="00422090" w:rsidRDefault="00422090">
      <w:r>
        <w:continuationSeparator/>
      </w:r>
    </w:p>
  </w:footnote>
  <w:footnote w:type="continuationNotice" w:id="1">
    <w:p w14:paraId="2C01A00E" w14:textId="77777777" w:rsidR="00422090" w:rsidRDefault="004220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3E04" w14:textId="77777777" w:rsidR="00A43E41" w:rsidRDefault="00A43E41" w:rsidP="00C050F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F0"/>
    <w:rsid w:val="00006AF9"/>
    <w:rsid w:val="0002152F"/>
    <w:rsid w:val="00023101"/>
    <w:rsid w:val="00031661"/>
    <w:rsid w:val="00036067"/>
    <w:rsid w:val="00060925"/>
    <w:rsid w:val="00062E6C"/>
    <w:rsid w:val="000D2569"/>
    <w:rsid w:val="00101405"/>
    <w:rsid w:val="001368CB"/>
    <w:rsid w:val="00140332"/>
    <w:rsid w:val="00154646"/>
    <w:rsid w:val="001601B6"/>
    <w:rsid w:val="00190A7C"/>
    <w:rsid w:val="00191991"/>
    <w:rsid w:val="00194DC4"/>
    <w:rsid w:val="001A0625"/>
    <w:rsid w:val="001A09C3"/>
    <w:rsid w:val="001C2B3F"/>
    <w:rsid w:val="001C6795"/>
    <w:rsid w:val="002035A1"/>
    <w:rsid w:val="002103D4"/>
    <w:rsid w:val="00210B26"/>
    <w:rsid w:val="00240CE1"/>
    <w:rsid w:val="0025768B"/>
    <w:rsid w:val="00266C1F"/>
    <w:rsid w:val="00285F40"/>
    <w:rsid w:val="002A563D"/>
    <w:rsid w:val="002B45B7"/>
    <w:rsid w:val="00300328"/>
    <w:rsid w:val="00301476"/>
    <w:rsid w:val="00313322"/>
    <w:rsid w:val="003301EC"/>
    <w:rsid w:val="00367591"/>
    <w:rsid w:val="003706C4"/>
    <w:rsid w:val="0037120A"/>
    <w:rsid w:val="003C4AA1"/>
    <w:rsid w:val="003C6CFB"/>
    <w:rsid w:val="003D4155"/>
    <w:rsid w:val="003F2097"/>
    <w:rsid w:val="003F322E"/>
    <w:rsid w:val="00400D76"/>
    <w:rsid w:val="004016D3"/>
    <w:rsid w:val="00413292"/>
    <w:rsid w:val="00422090"/>
    <w:rsid w:val="004B3810"/>
    <w:rsid w:val="004B661D"/>
    <w:rsid w:val="004B6FDB"/>
    <w:rsid w:val="004B779E"/>
    <w:rsid w:val="004D5F12"/>
    <w:rsid w:val="00503E44"/>
    <w:rsid w:val="00511556"/>
    <w:rsid w:val="00572597"/>
    <w:rsid w:val="00573E56"/>
    <w:rsid w:val="00587A2E"/>
    <w:rsid w:val="005A033C"/>
    <w:rsid w:val="005B1DDE"/>
    <w:rsid w:val="005C2928"/>
    <w:rsid w:val="005C475F"/>
    <w:rsid w:val="005C71D3"/>
    <w:rsid w:val="005F333A"/>
    <w:rsid w:val="0061440A"/>
    <w:rsid w:val="00621C0C"/>
    <w:rsid w:val="00626A79"/>
    <w:rsid w:val="006440AF"/>
    <w:rsid w:val="00664935"/>
    <w:rsid w:val="00683368"/>
    <w:rsid w:val="00691641"/>
    <w:rsid w:val="006A51EC"/>
    <w:rsid w:val="006C0ECB"/>
    <w:rsid w:val="006D2137"/>
    <w:rsid w:val="006E59C5"/>
    <w:rsid w:val="00700C23"/>
    <w:rsid w:val="0070333C"/>
    <w:rsid w:val="00703CDD"/>
    <w:rsid w:val="00751DBE"/>
    <w:rsid w:val="00760203"/>
    <w:rsid w:val="007742B4"/>
    <w:rsid w:val="00780D93"/>
    <w:rsid w:val="007B0E35"/>
    <w:rsid w:val="007B2B17"/>
    <w:rsid w:val="007B3666"/>
    <w:rsid w:val="007E4B31"/>
    <w:rsid w:val="007F33B2"/>
    <w:rsid w:val="0082183F"/>
    <w:rsid w:val="0083523E"/>
    <w:rsid w:val="00837E4D"/>
    <w:rsid w:val="0085326E"/>
    <w:rsid w:val="00857297"/>
    <w:rsid w:val="008610DF"/>
    <w:rsid w:val="00863049"/>
    <w:rsid w:val="008658E9"/>
    <w:rsid w:val="00867BEE"/>
    <w:rsid w:val="00886A0F"/>
    <w:rsid w:val="008D6868"/>
    <w:rsid w:val="008E273F"/>
    <w:rsid w:val="008E3058"/>
    <w:rsid w:val="008F1823"/>
    <w:rsid w:val="00901410"/>
    <w:rsid w:val="00901CA2"/>
    <w:rsid w:val="009275B8"/>
    <w:rsid w:val="00945DBA"/>
    <w:rsid w:val="00956116"/>
    <w:rsid w:val="00964894"/>
    <w:rsid w:val="00967C07"/>
    <w:rsid w:val="009B1FAA"/>
    <w:rsid w:val="009B70F1"/>
    <w:rsid w:val="009C52D4"/>
    <w:rsid w:val="009C78BA"/>
    <w:rsid w:val="009D6227"/>
    <w:rsid w:val="009E0DB5"/>
    <w:rsid w:val="009F25DF"/>
    <w:rsid w:val="00A43E41"/>
    <w:rsid w:val="00A44540"/>
    <w:rsid w:val="00A44EF7"/>
    <w:rsid w:val="00A714CB"/>
    <w:rsid w:val="00A9365B"/>
    <w:rsid w:val="00B17612"/>
    <w:rsid w:val="00B55CB2"/>
    <w:rsid w:val="00B650FF"/>
    <w:rsid w:val="00B746D4"/>
    <w:rsid w:val="00B92A33"/>
    <w:rsid w:val="00BB346C"/>
    <w:rsid w:val="00BF3879"/>
    <w:rsid w:val="00C0481C"/>
    <w:rsid w:val="00C050F0"/>
    <w:rsid w:val="00C21B4A"/>
    <w:rsid w:val="00C3230C"/>
    <w:rsid w:val="00C52E14"/>
    <w:rsid w:val="00C908F2"/>
    <w:rsid w:val="00CE1E5C"/>
    <w:rsid w:val="00CF5B29"/>
    <w:rsid w:val="00D04D5D"/>
    <w:rsid w:val="00D111B5"/>
    <w:rsid w:val="00D12502"/>
    <w:rsid w:val="00D37B60"/>
    <w:rsid w:val="00D61AC5"/>
    <w:rsid w:val="00D76F3B"/>
    <w:rsid w:val="00D81349"/>
    <w:rsid w:val="00D90718"/>
    <w:rsid w:val="00D96D94"/>
    <w:rsid w:val="00DA2790"/>
    <w:rsid w:val="00DA6645"/>
    <w:rsid w:val="00DB5E0C"/>
    <w:rsid w:val="00DE3A47"/>
    <w:rsid w:val="00DE5B29"/>
    <w:rsid w:val="00E01EC8"/>
    <w:rsid w:val="00E02CF7"/>
    <w:rsid w:val="00E23FCB"/>
    <w:rsid w:val="00E61F9B"/>
    <w:rsid w:val="00E90850"/>
    <w:rsid w:val="00E97299"/>
    <w:rsid w:val="00EC4A14"/>
    <w:rsid w:val="00ED3436"/>
    <w:rsid w:val="00ED69E5"/>
    <w:rsid w:val="00EF6C66"/>
    <w:rsid w:val="00F12753"/>
    <w:rsid w:val="00F55FA9"/>
    <w:rsid w:val="00F86C13"/>
    <w:rsid w:val="00F873A7"/>
    <w:rsid w:val="00F948F2"/>
    <w:rsid w:val="00FA28B7"/>
    <w:rsid w:val="00FC5F4D"/>
    <w:rsid w:val="00FC671A"/>
    <w:rsid w:val="00FE3FF8"/>
    <w:rsid w:val="00FE41CA"/>
    <w:rsid w:val="00FE7C21"/>
    <w:rsid w:val="00FF0FAC"/>
    <w:rsid w:val="4F07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D1560"/>
  <w15:docId w15:val="{0F19E9E7-968B-4B7C-A14D-E6677843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B70F1"/>
    <w:rPr>
      <w:rFonts w:ascii="Tahoma" w:hAnsi="Tahoma" w:cs="Tahoma"/>
      <w:sz w:val="16"/>
      <w:szCs w:val="16"/>
    </w:rPr>
  </w:style>
  <w:style w:type="character" w:customStyle="1" w:styleId="BalloonTextChar">
    <w:name w:val="Balloon Text Char"/>
    <w:basedOn w:val="DefaultParagraphFont"/>
    <w:link w:val="BalloonText"/>
    <w:uiPriority w:val="99"/>
    <w:semiHidden/>
    <w:rsid w:val="009B70F1"/>
    <w:rPr>
      <w:rFonts w:ascii="Tahoma" w:hAnsi="Tahoma" w:cs="Tahoma"/>
      <w:sz w:val="16"/>
      <w:szCs w:val="16"/>
    </w:rPr>
  </w:style>
  <w:style w:type="character" w:styleId="CommentReference">
    <w:name w:val="annotation reference"/>
    <w:basedOn w:val="DefaultParagraphFont"/>
    <w:uiPriority w:val="99"/>
    <w:semiHidden/>
    <w:unhideWhenUsed/>
    <w:rsid w:val="009B70F1"/>
    <w:rPr>
      <w:sz w:val="16"/>
      <w:szCs w:val="16"/>
    </w:rPr>
  </w:style>
  <w:style w:type="paragraph" w:styleId="CommentText">
    <w:name w:val="annotation text"/>
    <w:basedOn w:val="Normal"/>
    <w:link w:val="CommentTextChar"/>
    <w:uiPriority w:val="99"/>
    <w:semiHidden/>
    <w:unhideWhenUsed/>
    <w:rsid w:val="009B70F1"/>
    <w:rPr>
      <w:sz w:val="20"/>
      <w:szCs w:val="20"/>
    </w:rPr>
  </w:style>
  <w:style w:type="character" w:customStyle="1" w:styleId="CommentTextChar">
    <w:name w:val="Comment Text Char"/>
    <w:basedOn w:val="DefaultParagraphFont"/>
    <w:link w:val="CommentText"/>
    <w:uiPriority w:val="99"/>
    <w:semiHidden/>
    <w:rsid w:val="009B70F1"/>
  </w:style>
  <w:style w:type="paragraph" w:styleId="CommentSubject">
    <w:name w:val="annotation subject"/>
    <w:basedOn w:val="CommentText"/>
    <w:next w:val="CommentText"/>
    <w:link w:val="CommentSubjectChar"/>
    <w:uiPriority w:val="99"/>
    <w:semiHidden/>
    <w:unhideWhenUsed/>
    <w:rsid w:val="009B70F1"/>
    <w:rPr>
      <w:b/>
      <w:bCs/>
    </w:rPr>
  </w:style>
  <w:style w:type="character" w:customStyle="1" w:styleId="CommentSubjectChar">
    <w:name w:val="Comment Subject Char"/>
    <w:basedOn w:val="CommentTextChar"/>
    <w:link w:val="CommentSubject"/>
    <w:uiPriority w:val="99"/>
    <w:semiHidden/>
    <w:rsid w:val="009B70F1"/>
    <w:rPr>
      <w:b/>
      <w:bCs/>
    </w:rPr>
  </w:style>
  <w:style w:type="paragraph" w:styleId="ListParagraph">
    <w:name w:val="List Paragraph"/>
    <w:basedOn w:val="Normal"/>
    <w:uiPriority w:val="34"/>
    <w:qFormat/>
    <w:rsid w:val="006440AF"/>
    <w:pPr>
      <w:ind w:left="720"/>
    </w:pPr>
    <w:rPr>
      <w:rFonts w:ascii="Calibri" w:eastAsiaTheme="minorHAnsi" w:hAnsi="Calibri"/>
      <w:sz w:val="22"/>
      <w:szCs w:val="22"/>
    </w:rPr>
  </w:style>
  <w:style w:type="character" w:styleId="Hyperlink">
    <w:name w:val="Hyperlink"/>
    <w:basedOn w:val="DefaultParagraphFont"/>
    <w:rsid w:val="00644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96316">
      <w:bodyDiv w:val="1"/>
      <w:marLeft w:val="0"/>
      <w:marRight w:val="0"/>
      <w:marTop w:val="0"/>
      <w:marBottom w:val="0"/>
      <w:divBdr>
        <w:top w:val="none" w:sz="0" w:space="0" w:color="auto"/>
        <w:left w:val="none" w:sz="0" w:space="0" w:color="auto"/>
        <w:bottom w:val="none" w:sz="0" w:space="0" w:color="auto"/>
        <w:right w:val="none" w:sz="0" w:space="0" w:color="auto"/>
      </w:divBdr>
    </w:div>
    <w:div w:id="21241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2014-08-19T01:12:00Z</cp:lastPrinted>
  <dcterms:created xsi:type="dcterms:W3CDTF">2017-09-13T23:45:00Z</dcterms:created>
  <dcterms:modified xsi:type="dcterms:W3CDTF">2018-06-20T13:45:00Z</dcterms:modified>
</cp:coreProperties>
</file>