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E09" w:rsidP="00D20E09" w:rsidRDefault="00D20E09">
      <w:pPr>
        <w:pStyle w:val="BpSTitle"/>
      </w:pPr>
      <w:r>
        <w:t>13920</w:t>
      </w:r>
    </w:p>
    <w:p w:rsidR="00D20E09" w:rsidP="00D20E09" w:rsidRDefault="00D20E09">
      <w:pPr>
        <w:pStyle w:val="BpSTitle"/>
      </w:pPr>
      <w:proofErr w:type="spellStart"/>
      <w:r>
        <w:t>Tamaulipan</w:t>
      </w:r>
      <w:proofErr w:type="spellEnd"/>
      <w:r>
        <w:t xml:space="preserve"> Calcareous </w:t>
      </w:r>
      <w:proofErr w:type="spellStart"/>
      <w:r>
        <w:t>Thornscrub</w:t>
      </w:r>
      <w:proofErr w:type="spellEnd"/>
    </w:p>
    <w:p w:rsidR="00D20E09" w:rsidP="00D20E09" w:rsidRDefault="00D20E09">
      <w:r>
        <w:t xmlns:w="http://schemas.openxmlformats.org/wordprocessingml/2006/main">BpS Model/Description Version: Aug. 2020</w:t>
      </w:r>
      <w:r>
        <w:tab/>
      </w:r>
      <w:r>
        <w:tab/>
      </w:r>
      <w:r>
        <w:tab/>
      </w:r>
      <w:r>
        <w:tab/>
      </w:r>
      <w:r>
        <w:tab/>
      </w:r>
      <w:r>
        <w:tab/>
      </w:r>
      <w:r>
        <w:tab/>
      </w:r>
    </w:p>
    <w:p w:rsidR="00D20E09" w:rsidP="00D20E09" w:rsidRDefault="00817114">
      <w:r>
        <w:tab/>
      </w:r>
      <w:r>
        <w:tab/>
      </w:r>
      <w:r>
        <w:tab/>
      </w:r>
      <w:r>
        <w:tab/>
      </w:r>
      <w:r>
        <w:tab/>
      </w:r>
      <w:r>
        <w:tab/>
      </w:r>
      <w:r>
        <w:tab/>
      </w:r>
      <w:r>
        <w:tab/>
      </w:r>
      <w:r>
        <w:tab/>
      </w:r>
      <w:r>
        <w:tab/>
        <w:t>Update: 4/17/2018</w:t>
      </w:r>
    </w:p>
    <w:tbl>
      <w:tblPr>
        <w:tblW w:w="786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56"/>
        <w:gridCol w:w="3660"/>
        <w:gridCol w:w="1392"/>
        <w:gridCol w:w="852"/>
      </w:tblGrid>
      <w:tr w:rsidRPr="00D20E09" w:rsidR="00D20E09" w:rsidTr="00D20E09">
        <w:tc>
          <w:tcPr>
            <w:tcW w:w="1956" w:type="dxa"/>
            <w:tcBorders>
              <w:top w:val="single" w:color="auto" w:sz="2" w:space="0"/>
              <w:left w:val="single" w:color="auto" w:sz="12" w:space="0"/>
              <w:bottom w:val="single" w:color="000000" w:sz="12" w:space="0"/>
            </w:tcBorders>
            <w:shd w:val="clear" w:color="auto" w:fill="auto"/>
          </w:tcPr>
          <w:p w:rsidRPr="00D20E09" w:rsidR="00D20E09" w:rsidP="00444E7E" w:rsidRDefault="00D20E09">
            <w:pPr>
              <w:rPr>
                <w:b/>
                <w:bCs/>
              </w:rPr>
            </w:pPr>
            <w:r w:rsidRPr="00D20E09">
              <w:rPr>
                <w:b/>
                <w:bCs/>
              </w:rPr>
              <w:t>Modelers</w:t>
            </w:r>
          </w:p>
        </w:tc>
        <w:tc>
          <w:tcPr>
            <w:tcW w:w="3660" w:type="dxa"/>
            <w:tcBorders>
              <w:top w:val="single" w:color="auto" w:sz="2" w:space="0"/>
              <w:bottom w:val="single" w:color="000000" w:sz="12" w:space="0"/>
              <w:right w:val="single" w:color="000000" w:sz="12" w:space="0"/>
            </w:tcBorders>
            <w:shd w:val="clear" w:color="auto" w:fill="auto"/>
          </w:tcPr>
          <w:p w:rsidRPr="00D20E09" w:rsidR="00D20E09" w:rsidP="00444E7E" w:rsidRDefault="00D20E09">
            <w:pPr>
              <w:rPr>
                <w:b/>
                <w:bCs/>
              </w:rPr>
            </w:pPr>
          </w:p>
        </w:tc>
        <w:tc>
          <w:tcPr>
            <w:tcW w:w="1392" w:type="dxa"/>
            <w:tcBorders>
              <w:top w:val="single" w:color="auto" w:sz="2" w:space="0"/>
              <w:left w:val="single" w:color="000000" w:sz="12" w:space="0"/>
              <w:bottom w:val="single" w:color="000000" w:sz="12" w:space="0"/>
            </w:tcBorders>
            <w:shd w:val="clear" w:color="auto" w:fill="auto"/>
          </w:tcPr>
          <w:p w:rsidRPr="00D20E09" w:rsidR="00D20E09" w:rsidP="00444E7E" w:rsidRDefault="00D20E09">
            <w:pPr>
              <w:rPr>
                <w:b/>
                <w:bCs/>
              </w:rPr>
            </w:pPr>
            <w:r w:rsidRPr="00D20E09">
              <w:rPr>
                <w:b/>
                <w:bCs/>
              </w:rPr>
              <w:t>Reviewers</w:t>
            </w:r>
          </w:p>
        </w:tc>
        <w:tc>
          <w:tcPr>
            <w:tcW w:w="852" w:type="dxa"/>
            <w:tcBorders>
              <w:top w:val="single" w:color="auto" w:sz="2" w:space="0"/>
              <w:bottom w:val="single" w:color="000000" w:sz="12" w:space="0"/>
            </w:tcBorders>
            <w:shd w:val="clear" w:color="auto" w:fill="auto"/>
          </w:tcPr>
          <w:p w:rsidRPr="00D20E09" w:rsidR="00D20E09" w:rsidP="00444E7E" w:rsidRDefault="00D20E09">
            <w:pPr>
              <w:rPr>
                <w:b/>
                <w:bCs/>
              </w:rPr>
            </w:pPr>
          </w:p>
        </w:tc>
      </w:tr>
      <w:tr w:rsidRPr="00D20E09" w:rsidR="00D20E09" w:rsidTr="00D20E09">
        <w:tc>
          <w:tcPr>
            <w:tcW w:w="1956" w:type="dxa"/>
            <w:tcBorders>
              <w:top w:val="single" w:color="000000" w:sz="12" w:space="0"/>
              <w:left w:val="single" w:color="auto" w:sz="12" w:space="0"/>
            </w:tcBorders>
            <w:shd w:val="clear" w:color="auto" w:fill="auto"/>
          </w:tcPr>
          <w:p w:rsidRPr="00D20E09" w:rsidR="00D20E09" w:rsidP="00444E7E" w:rsidRDefault="00D20E09">
            <w:pPr>
              <w:rPr>
                <w:bCs/>
              </w:rPr>
            </w:pPr>
            <w:r w:rsidRPr="00D20E09">
              <w:rPr>
                <w:bCs/>
              </w:rPr>
              <w:t xml:space="preserve">Chris </w:t>
            </w:r>
            <w:proofErr w:type="spellStart"/>
            <w:r w:rsidRPr="00D20E09">
              <w:rPr>
                <w:bCs/>
              </w:rPr>
              <w:t>Haithcock</w:t>
            </w:r>
            <w:proofErr w:type="spellEnd"/>
          </w:p>
        </w:tc>
        <w:tc>
          <w:tcPr>
            <w:tcW w:w="3660" w:type="dxa"/>
            <w:tcBorders>
              <w:top w:val="single" w:color="000000" w:sz="12" w:space="0"/>
              <w:right w:val="single" w:color="000000" w:sz="12" w:space="0"/>
            </w:tcBorders>
            <w:shd w:val="clear" w:color="auto" w:fill="auto"/>
          </w:tcPr>
          <w:p w:rsidRPr="00D20E09" w:rsidR="00D20E09" w:rsidP="00444E7E" w:rsidRDefault="00D20E09">
            <w:r w:rsidRPr="00D20E09">
              <w:t>Chris.Haithcock@tpwd.state.tx.us</w:t>
            </w:r>
          </w:p>
        </w:tc>
        <w:tc>
          <w:tcPr>
            <w:tcW w:w="1392" w:type="dxa"/>
            <w:tcBorders>
              <w:top w:val="single" w:color="000000" w:sz="12" w:space="0"/>
              <w:left w:val="single" w:color="000000" w:sz="12" w:space="0"/>
            </w:tcBorders>
            <w:shd w:val="clear" w:color="auto" w:fill="auto"/>
          </w:tcPr>
          <w:p w:rsidRPr="00D20E09" w:rsidR="00D20E09" w:rsidP="00444E7E" w:rsidRDefault="00D20E09">
            <w:r w:rsidRPr="00D20E09">
              <w:t>None</w:t>
            </w:r>
          </w:p>
        </w:tc>
        <w:tc>
          <w:tcPr>
            <w:tcW w:w="852" w:type="dxa"/>
            <w:tcBorders>
              <w:top w:val="single" w:color="000000" w:sz="12" w:space="0"/>
            </w:tcBorders>
            <w:shd w:val="clear" w:color="auto" w:fill="auto"/>
          </w:tcPr>
          <w:p w:rsidRPr="00D20E09" w:rsidR="00D20E09" w:rsidP="00444E7E" w:rsidRDefault="00D20E09">
            <w:r w:rsidRPr="00D20E09">
              <w:t>None</w:t>
            </w:r>
          </w:p>
        </w:tc>
      </w:tr>
      <w:tr w:rsidRPr="00D20E09" w:rsidR="00D20E09" w:rsidTr="00D20E09">
        <w:tc>
          <w:tcPr>
            <w:tcW w:w="1956" w:type="dxa"/>
            <w:tcBorders>
              <w:left w:val="single" w:color="auto" w:sz="12" w:space="0"/>
            </w:tcBorders>
            <w:shd w:val="clear" w:color="auto" w:fill="auto"/>
          </w:tcPr>
          <w:p w:rsidRPr="00D20E09" w:rsidR="00D20E09" w:rsidP="00444E7E" w:rsidRDefault="00D20E09">
            <w:pPr>
              <w:rPr>
                <w:bCs/>
              </w:rPr>
            </w:pPr>
            <w:r w:rsidRPr="00D20E09">
              <w:rPr>
                <w:bCs/>
              </w:rPr>
              <w:t>Lee Elliott</w:t>
            </w:r>
          </w:p>
        </w:tc>
        <w:tc>
          <w:tcPr>
            <w:tcW w:w="3660" w:type="dxa"/>
            <w:tcBorders>
              <w:right w:val="single" w:color="000000" w:sz="12" w:space="0"/>
            </w:tcBorders>
            <w:shd w:val="clear" w:color="auto" w:fill="auto"/>
          </w:tcPr>
          <w:p w:rsidRPr="00D20E09" w:rsidR="00D20E09" w:rsidP="00444E7E" w:rsidRDefault="00D20E09">
            <w:r w:rsidRPr="00D20E09">
              <w:t>lelliott@tnc.org</w:t>
            </w:r>
          </w:p>
        </w:tc>
        <w:tc>
          <w:tcPr>
            <w:tcW w:w="1392" w:type="dxa"/>
            <w:tcBorders>
              <w:left w:val="single" w:color="000000" w:sz="12" w:space="0"/>
            </w:tcBorders>
            <w:shd w:val="clear" w:color="auto" w:fill="auto"/>
          </w:tcPr>
          <w:p w:rsidRPr="00D20E09" w:rsidR="00D20E09" w:rsidP="00444E7E" w:rsidRDefault="00D20E09">
            <w:r w:rsidRPr="00D20E09">
              <w:t>None</w:t>
            </w:r>
          </w:p>
        </w:tc>
        <w:tc>
          <w:tcPr>
            <w:tcW w:w="852" w:type="dxa"/>
            <w:shd w:val="clear" w:color="auto" w:fill="auto"/>
          </w:tcPr>
          <w:p w:rsidRPr="00D20E09" w:rsidR="00D20E09" w:rsidP="00444E7E" w:rsidRDefault="00D20E09">
            <w:r w:rsidRPr="00D20E09">
              <w:t>None</w:t>
            </w:r>
          </w:p>
        </w:tc>
      </w:tr>
      <w:tr w:rsidRPr="00D20E09" w:rsidR="00D20E09" w:rsidTr="00D20E09">
        <w:tc>
          <w:tcPr>
            <w:tcW w:w="1956" w:type="dxa"/>
            <w:tcBorders>
              <w:left w:val="single" w:color="auto" w:sz="12" w:space="0"/>
              <w:bottom w:val="single" w:color="auto" w:sz="2" w:space="0"/>
            </w:tcBorders>
            <w:shd w:val="clear" w:color="auto" w:fill="auto"/>
          </w:tcPr>
          <w:p w:rsidRPr="00D20E09" w:rsidR="00D20E09" w:rsidP="00444E7E" w:rsidRDefault="00D20E09">
            <w:pPr>
              <w:rPr>
                <w:bCs/>
              </w:rPr>
            </w:pPr>
            <w:r w:rsidRPr="00D20E09">
              <w:rPr>
                <w:bCs/>
              </w:rPr>
              <w:t>None</w:t>
            </w:r>
          </w:p>
        </w:tc>
        <w:tc>
          <w:tcPr>
            <w:tcW w:w="3660" w:type="dxa"/>
            <w:tcBorders>
              <w:right w:val="single" w:color="000000" w:sz="12" w:space="0"/>
            </w:tcBorders>
            <w:shd w:val="clear" w:color="auto" w:fill="auto"/>
          </w:tcPr>
          <w:p w:rsidRPr="00D20E09" w:rsidR="00D20E09" w:rsidP="00444E7E" w:rsidRDefault="00D20E09">
            <w:r w:rsidRPr="00D20E09">
              <w:t>None</w:t>
            </w:r>
          </w:p>
        </w:tc>
        <w:tc>
          <w:tcPr>
            <w:tcW w:w="1392" w:type="dxa"/>
            <w:tcBorders>
              <w:left w:val="single" w:color="000000" w:sz="12" w:space="0"/>
              <w:bottom w:val="single" w:color="auto" w:sz="2" w:space="0"/>
            </w:tcBorders>
            <w:shd w:val="clear" w:color="auto" w:fill="auto"/>
          </w:tcPr>
          <w:p w:rsidRPr="00D20E09" w:rsidR="00D20E09" w:rsidP="00444E7E" w:rsidRDefault="00D20E09">
            <w:r w:rsidRPr="00D20E09">
              <w:t>None</w:t>
            </w:r>
          </w:p>
        </w:tc>
        <w:tc>
          <w:tcPr>
            <w:tcW w:w="852" w:type="dxa"/>
            <w:shd w:val="clear" w:color="auto" w:fill="auto"/>
          </w:tcPr>
          <w:p w:rsidRPr="00D20E09" w:rsidR="00D20E09" w:rsidP="00444E7E" w:rsidRDefault="00D20E09">
            <w:r w:rsidRPr="00D20E09">
              <w:t>None</w:t>
            </w:r>
          </w:p>
        </w:tc>
      </w:tr>
    </w:tbl>
    <w:p w:rsidR="00D20E09" w:rsidP="00D20E09" w:rsidRDefault="00D20E09"/>
    <w:p w:rsidR="00D20E09" w:rsidP="00D20E09" w:rsidRDefault="00D20E09">
      <w:pPr>
        <w:pStyle w:val="InfoPara"/>
      </w:pPr>
      <w:r>
        <w:t>Vegetation Type</w:t>
      </w:r>
    </w:p>
    <w:p w:rsidR="00D20E09" w:rsidP="00D20E09" w:rsidRDefault="00D20E09">
      <w:r>
        <w:t>Shrubland</w:t>
      </w:r>
    </w:p>
    <w:p w:rsidR="00D20E09" w:rsidP="00D20E09" w:rsidRDefault="00D20E09">
      <w:pPr>
        <w:pStyle w:val="InfoPara"/>
      </w:pPr>
      <w:r>
        <w:t>Map Zones</w:t>
      </w:r>
    </w:p>
    <w:p w:rsidR="00D20E09" w:rsidP="00D20E09" w:rsidRDefault="00D20E09">
      <w:r>
        <w:t>36</w:t>
      </w:r>
    </w:p>
    <w:p w:rsidR="00D20E09" w:rsidP="00D20E09" w:rsidRDefault="00D20E09">
      <w:pPr>
        <w:pStyle w:val="InfoPara"/>
      </w:pPr>
      <w:r>
        <w:t>Geographic Range</w:t>
      </w:r>
    </w:p>
    <w:p w:rsidR="00D20E09" w:rsidP="00D20E09" w:rsidRDefault="00D20E09">
      <w:r>
        <w:t>Occurs from Starr County north and to the vicinity of Goliad County and westward in a band along the Rio Grande, including Zapata, Webb and Maverick counties</w:t>
      </w:r>
      <w:r w:rsidR="00817114">
        <w:t>, Texas.</w:t>
      </w:r>
    </w:p>
    <w:p w:rsidR="00D20E09" w:rsidP="00D20E09" w:rsidRDefault="00D20E09">
      <w:pPr>
        <w:pStyle w:val="InfoPara"/>
      </w:pPr>
      <w:r>
        <w:t>Biophysical Site Description</w:t>
      </w:r>
    </w:p>
    <w:p w:rsidR="00D20E09" w:rsidP="00D20E09" w:rsidRDefault="00D20E09">
      <w:r>
        <w:t>Shrublands generally occur on thin-soiled calcareous substrates on upland sites, including on caliche of the Goliad formation and calcareous gravels.</w:t>
      </w:r>
    </w:p>
    <w:p w:rsidR="00D20E09" w:rsidP="00D20E09" w:rsidRDefault="00D20E09">
      <w:pPr>
        <w:pStyle w:val="InfoPara"/>
      </w:pPr>
      <w:r>
        <w:t>Vegetation Description</w:t>
      </w:r>
    </w:p>
    <w:p w:rsidR="00D20E09" w:rsidP="00D20E09" w:rsidRDefault="00D20E09">
      <w:r>
        <w:t>Texas barometer bush (</w:t>
      </w:r>
      <w:proofErr w:type="spellStart"/>
      <w:r w:rsidRPr="00817114">
        <w:rPr>
          <w:i/>
        </w:rPr>
        <w:t>Leucophyllum</w:t>
      </w:r>
      <w:proofErr w:type="spellEnd"/>
      <w:r w:rsidRPr="00817114">
        <w:rPr>
          <w:i/>
        </w:rPr>
        <w:t xml:space="preserve"> </w:t>
      </w:r>
      <w:proofErr w:type="spellStart"/>
      <w:r w:rsidRPr="00817114">
        <w:rPr>
          <w:i/>
        </w:rPr>
        <w:t>frutescens</w:t>
      </w:r>
      <w:proofErr w:type="spellEnd"/>
      <w:r>
        <w:t>), guajillo (</w:t>
      </w:r>
      <w:r w:rsidRPr="00817114">
        <w:rPr>
          <w:i/>
        </w:rPr>
        <w:t xml:space="preserve">Acacia </w:t>
      </w:r>
      <w:proofErr w:type="spellStart"/>
      <w:r w:rsidRPr="00817114">
        <w:rPr>
          <w:i/>
        </w:rPr>
        <w:t>berlandieri</w:t>
      </w:r>
      <w:proofErr w:type="spellEnd"/>
      <w:r>
        <w:t xml:space="preserve">), </w:t>
      </w:r>
      <w:proofErr w:type="spellStart"/>
      <w:r>
        <w:t>blackbrush</w:t>
      </w:r>
      <w:proofErr w:type="spellEnd"/>
      <w:r>
        <w:t xml:space="preserve"> acacia (</w:t>
      </w:r>
      <w:r w:rsidRPr="00817114">
        <w:rPr>
          <w:i/>
        </w:rPr>
        <w:t xml:space="preserve">A. </w:t>
      </w:r>
      <w:proofErr w:type="spellStart"/>
      <w:r w:rsidRPr="00817114">
        <w:rPr>
          <w:i/>
        </w:rPr>
        <w:t>rigidula</w:t>
      </w:r>
      <w:proofErr w:type="spellEnd"/>
      <w:r>
        <w:t>), Texas kidneywood (</w:t>
      </w:r>
      <w:proofErr w:type="spellStart"/>
      <w:r w:rsidRPr="00817114">
        <w:rPr>
          <w:i/>
        </w:rPr>
        <w:t>Eysenhardtia</w:t>
      </w:r>
      <w:proofErr w:type="spellEnd"/>
      <w:r w:rsidRPr="00817114">
        <w:rPr>
          <w:i/>
        </w:rPr>
        <w:t xml:space="preserve"> </w:t>
      </w:r>
      <w:proofErr w:type="spellStart"/>
      <w:r w:rsidRPr="00817114">
        <w:rPr>
          <w:i/>
        </w:rPr>
        <w:t>texana</w:t>
      </w:r>
      <w:proofErr w:type="spellEnd"/>
      <w:r>
        <w:t xml:space="preserve">), </w:t>
      </w:r>
      <w:proofErr w:type="spellStart"/>
      <w:r>
        <w:t>goatbush</w:t>
      </w:r>
      <w:proofErr w:type="spellEnd"/>
      <w:r>
        <w:t xml:space="preserve"> (</w:t>
      </w:r>
      <w:proofErr w:type="spellStart"/>
      <w:r w:rsidRPr="00817114">
        <w:rPr>
          <w:i/>
        </w:rPr>
        <w:t>Castela</w:t>
      </w:r>
      <w:proofErr w:type="spellEnd"/>
      <w:r w:rsidRPr="00817114">
        <w:rPr>
          <w:i/>
        </w:rPr>
        <w:t xml:space="preserve"> </w:t>
      </w:r>
      <w:proofErr w:type="spellStart"/>
      <w:r w:rsidRPr="00817114">
        <w:rPr>
          <w:i/>
        </w:rPr>
        <w:t>erecta</w:t>
      </w:r>
      <w:proofErr w:type="spellEnd"/>
      <w:r>
        <w:t xml:space="preserve">), </w:t>
      </w:r>
      <w:proofErr w:type="spellStart"/>
      <w:r>
        <w:t>whitebrush</w:t>
      </w:r>
      <w:proofErr w:type="spellEnd"/>
      <w:r>
        <w:t xml:space="preserve"> (</w:t>
      </w:r>
      <w:proofErr w:type="spellStart"/>
      <w:r w:rsidRPr="00817114">
        <w:rPr>
          <w:i/>
        </w:rPr>
        <w:t>Aloysia</w:t>
      </w:r>
      <w:proofErr w:type="spellEnd"/>
      <w:r w:rsidRPr="00817114">
        <w:rPr>
          <w:i/>
        </w:rPr>
        <w:t xml:space="preserve"> gratissima</w:t>
      </w:r>
      <w:r>
        <w:t>), shrubby blue sage (</w:t>
      </w:r>
      <w:r w:rsidRPr="00817114">
        <w:rPr>
          <w:i/>
        </w:rPr>
        <w:t xml:space="preserve">Salvia </w:t>
      </w:r>
      <w:proofErr w:type="spellStart"/>
      <w:r w:rsidRPr="00817114">
        <w:rPr>
          <w:i/>
        </w:rPr>
        <w:t>ballotiflora</w:t>
      </w:r>
      <w:proofErr w:type="spellEnd"/>
      <w:r>
        <w:t>) and Texas lignum-vitae (</w:t>
      </w:r>
      <w:proofErr w:type="spellStart"/>
      <w:r w:rsidRPr="00817114">
        <w:rPr>
          <w:i/>
        </w:rPr>
        <w:t>Guajacum</w:t>
      </w:r>
      <w:proofErr w:type="spellEnd"/>
      <w:r w:rsidRPr="00817114">
        <w:rPr>
          <w:i/>
        </w:rPr>
        <w:t xml:space="preserve"> </w:t>
      </w:r>
      <w:proofErr w:type="spellStart"/>
      <w:r w:rsidRPr="00817114">
        <w:rPr>
          <w:i/>
        </w:rPr>
        <w:t>angustifolium</w:t>
      </w:r>
      <w:proofErr w:type="spellEnd"/>
      <w:r>
        <w:t>) may dominate the system. Other shrubs include Mexican oregano (</w:t>
      </w:r>
      <w:proofErr w:type="spellStart"/>
      <w:r w:rsidRPr="00817114">
        <w:rPr>
          <w:i/>
        </w:rPr>
        <w:t>Lippia</w:t>
      </w:r>
      <w:proofErr w:type="spellEnd"/>
      <w:r w:rsidRPr="00817114">
        <w:rPr>
          <w:i/>
        </w:rPr>
        <w:t xml:space="preserve"> </w:t>
      </w:r>
      <w:proofErr w:type="spellStart"/>
      <w:r w:rsidRPr="00817114">
        <w:rPr>
          <w:i/>
        </w:rPr>
        <w:t>graveolens</w:t>
      </w:r>
      <w:proofErr w:type="spellEnd"/>
      <w:r>
        <w:t>), Texas torchwood (</w:t>
      </w:r>
      <w:r w:rsidRPr="00817114">
        <w:rPr>
          <w:i/>
        </w:rPr>
        <w:t xml:space="preserve">Amyris </w:t>
      </w:r>
      <w:proofErr w:type="spellStart"/>
      <w:r w:rsidRPr="00817114">
        <w:rPr>
          <w:i/>
        </w:rPr>
        <w:t>texana</w:t>
      </w:r>
      <w:proofErr w:type="spellEnd"/>
      <w:r>
        <w:t>), crown of thorns (</w:t>
      </w:r>
      <w:proofErr w:type="spellStart"/>
      <w:r w:rsidRPr="00817114">
        <w:rPr>
          <w:i/>
        </w:rPr>
        <w:t>Koeberlinia</w:t>
      </w:r>
      <w:proofErr w:type="spellEnd"/>
      <w:r w:rsidRPr="00817114">
        <w:rPr>
          <w:i/>
        </w:rPr>
        <w:t xml:space="preserve"> spinosa</w:t>
      </w:r>
      <w:r>
        <w:t>), Don Quixote’s lace (</w:t>
      </w:r>
      <w:r w:rsidRPr="00817114">
        <w:rPr>
          <w:i/>
        </w:rPr>
        <w:t xml:space="preserve">Yucca </w:t>
      </w:r>
      <w:proofErr w:type="spellStart"/>
      <w:r w:rsidRPr="00817114">
        <w:rPr>
          <w:i/>
        </w:rPr>
        <w:t>treculeana</w:t>
      </w:r>
      <w:proofErr w:type="spellEnd"/>
      <w:r>
        <w:t xml:space="preserve">), </w:t>
      </w:r>
      <w:proofErr w:type="spellStart"/>
      <w:r>
        <w:t>leatherstem</w:t>
      </w:r>
      <w:proofErr w:type="spellEnd"/>
      <w:r>
        <w:t xml:space="preserve"> (</w:t>
      </w:r>
      <w:r w:rsidRPr="00817114">
        <w:rPr>
          <w:i/>
        </w:rPr>
        <w:t xml:space="preserve">Jatropha </w:t>
      </w:r>
      <w:proofErr w:type="spellStart"/>
      <w:r w:rsidRPr="00817114">
        <w:rPr>
          <w:i/>
        </w:rPr>
        <w:t>dioica</w:t>
      </w:r>
      <w:proofErr w:type="spellEnd"/>
      <w:r>
        <w:t>), pepperbush (</w:t>
      </w:r>
      <w:r w:rsidRPr="00817114">
        <w:rPr>
          <w:i/>
        </w:rPr>
        <w:t>Croton humilis</w:t>
      </w:r>
      <w:r>
        <w:t xml:space="preserve">), wild </w:t>
      </w:r>
      <w:proofErr w:type="spellStart"/>
      <w:r>
        <w:t>crapemyrtle</w:t>
      </w:r>
      <w:proofErr w:type="spellEnd"/>
      <w:r>
        <w:t xml:space="preserve"> (</w:t>
      </w:r>
      <w:r w:rsidRPr="00817114">
        <w:rPr>
          <w:i/>
        </w:rPr>
        <w:t>Malpighia glabra</w:t>
      </w:r>
      <w:r>
        <w:t xml:space="preserve">) and hairy </w:t>
      </w:r>
      <w:proofErr w:type="spellStart"/>
      <w:r>
        <w:t>wedelia</w:t>
      </w:r>
      <w:proofErr w:type="spellEnd"/>
      <w:r>
        <w:t xml:space="preserve"> (</w:t>
      </w:r>
      <w:proofErr w:type="spellStart"/>
      <w:r w:rsidRPr="00817114">
        <w:rPr>
          <w:i/>
        </w:rPr>
        <w:t>Wedelia</w:t>
      </w:r>
      <w:proofErr w:type="spellEnd"/>
      <w:r w:rsidRPr="00817114">
        <w:rPr>
          <w:i/>
        </w:rPr>
        <w:t xml:space="preserve"> </w:t>
      </w:r>
      <w:proofErr w:type="spellStart"/>
      <w:r w:rsidRPr="00817114">
        <w:rPr>
          <w:i/>
        </w:rPr>
        <w:t>hispida</w:t>
      </w:r>
      <w:proofErr w:type="spellEnd"/>
      <w:r>
        <w:t>). A sparse overstory canopy composed of mesquite (</w:t>
      </w:r>
      <w:r w:rsidRPr="00817114">
        <w:rPr>
          <w:i/>
        </w:rPr>
        <w:t xml:space="preserve">Prosopis </w:t>
      </w:r>
      <w:proofErr w:type="spellStart"/>
      <w:r w:rsidRPr="00817114">
        <w:rPr>
          <w:i/>
        </w:rPr>
        <w:t>glandulosa</w:t>
      </w:r>
      <w:proofErr w:type="spellEnd"/>
      <w:r>
        <w:t>), sometimes with Texas paloverde (</w:t>
      </w:r>
      <w:r w:rsidRPr="00817114">
        <w:rPr>
          <w:i/>
        </w:rPr>
        <w:t xml:space="preserve">Parkinsonia </w:t>
      </w:r>
      <w:proofErr w:type="spellStart"/>
      <w:r w:rsidRPr="00817114">
        <w:rPr>
          <w:i/>
        </w:rPr>
        <w:t>texana</w:t>
      </w:r>
      <w:proofErr w:type="spellEnd"/>
      <w:r>
        <w:t xml:space="preserve">), </w:t>
      </w:r>
      <w:proofErr w:type="spellStart"/>
      <w:r>
        <w:t>anacahuita</w:t>
      </w:r>
      <w:proofErr w:type="spellEnd"/>
      <w:r>
        <w:t xml:space="preserve"> (</w:t>
      </w:r>
      <w:r w:rsidRPr="00817114">
        <w:rPr>
          <w:i/>
        </w:rPr>
        <w:t xml:space="preserve">Cordia </w:t>
      </w:r>
      <w:proofErr w:type="spellStart"/>
      <w:r w:rsidRPr="00817114">
        <w:rPr>
          <w:i/>
        </w:rPr>
        <w:t>boissieri</w:t>
      </w:r>
      <w:proofErr w:type="spellEnd"/>
      <w:r>
        <w:t>) and Texas ebony (</w:t>
      </w:r>
      <w:proofErr w:type="spellStart"/>
      <w:r w:rsidRPr="00817114">
        <w:rPr>
          <w:i/>
        </w:rPr>
        <w:t>Ebenopsis</w:t>
      </w:r>
      <w:proofErr w:type="spellEnd"/>
      <w:r w:rsidRPr="00817114">
        <w:rPr>
          <w:i/>
        </w:rPr>
        <w:t xml:space="preserve"> </w:t>
      </w:r>
      <w:proofErr w:type="spellStart"/>
      <w:r w:rsidRPr="00817114">
        <w:rPr>
          <w:i/>
        </w:rPr>
        <w:t>ebano</w:t>
      </w:r>
      <w:proofErr w:type="spellEnd"/>
      <w:r>
        <w:t>) to the south. Cacti present include Christmas cactus (</w:t>
      </w:r>
      <w:r w:rsidRPr="00817114">
        <w:rPr>
          <w:i/>
        </w:rPr>
        <w:t xml:space="preserve">Opuntia </w:t>
      </w:r>
      <w:proofErr w:type="spellStart"/>
      <w:r w:rsidRPr="00817114">
        <w:rPr>
          <w:i/>
        </w:rPr>
        <w:t>leptocaulis</w:t>
      </w:r>
      <w:proofErr w:type="spellEnd"/>
      <w:r>
        <w:t>), cactus apple (</w:t>
      </w:r>
      <w:r w:rsidRPr="00817114">
        <w:rPr>
          <w:i/>
        </w:rPr>
        <w:t xml:space="preserve">O. </w:t>
      </w:r>
      <w:proofErr w:type="spellStart"/>
      <w:r w:rsidRPr="00817114">
        <w:rPr>
          <w:i/>
        </w:rPr>
        <w:t>engelmannii</w:t>
      </w:r>
      <w:proofErr w:type="spellEnd"/>
      <w:r>
        <w:t>), horse crippler (</w:t>
      </w:r>
      <w:proofErr w:type="spellStart"/>
      <w:r w:rsidRPr="00817114">
        <w:rPr>
          <w:i/>
        </w:rPr>
        <w:t>Echinocactus</w:t>
      </w:r>
      <w:proofErr w:type="spellEnd"/>
      <w:r w:rsidRPr="00817114">
        <w:rPr>
          <w:i/>
        </w:rPr>
        <w:t xml:space="preserve"> </w:t>
      </w:r>
      <w:proofErr w:type="spellStart"/>
      <w:r w:rsidRPr="00817114">
        <w:rPr>
          <w:i/>
        </w:rPr>
        <w:t>texensis</w:t>
      </w:r>
      <w:proofErr w:type="spellEnd"/>
      <w:r>
        <w:t>) and pitaya (</w:t>
      </w:r>
      <w:proofErr w:type="spellStart"/>
      <w:r w:rsidRPr="00817114">
        <w:rPr>
          <w:i/>
        </w:rPr>
        <w:t>Echinocereus</w:t>
      </w:r>
      <w:proofErr w:type="spellEnd"/>
      <w:r w:rsidRPr="00817114">
        <w:rPr>
          <w:i/>
        </w:rPr>
        <w:t xml:space="preserve"> </w:t>
      </w:r>
      <w:proofErr w:type="spellStart"/>
      <w:r w:rsidRPr="00817114">
        <w:rPr>
          <w:i/>
        </w:rPr>
        <w:t>enneacanthus</w:t>
      </w:r>
      <w:proofErr w:type="spellEnd"/>
      <w:r>
        <w:t xml:space="preserve">). In the understory, woody </w:t>
      </w:r>
      <w:proofErr w:type="spellStart"/>
      <w:r>
        <w:t>crinklemat</w:t>
      </w:r>
      <w:proofErr w:type="spellEnd"/>
      <w:r>
        <w:t xml:space="preserve"> (</w:t>
      </w:r>
      <w:proofErr w:type="spellStart"/>
      <w:r w:rsidRPr="00817114">
        <w:rPr>
          <w:i/>
        </w:rPr>
        <w:t>Tiquilia</w:t>
      </w:r>
      <w:proofErr w:type="spellEnd"/>
      <w:r w:rsidRPr="00817114">
        <w:rPr>
          <w:i/>
        </w:rPr>
        <w:t xml:space="preserve"> </w:t>
      </w:r>
      <w:proofErr w:type="spellStart"/>
      <w:r w:rsidRPr="00817114">
        <w:rPr>
          <w:i/>
        </w:rPr>
        <w:t>canescens</w:t>
      </w:r>
      <w:proofErr w:type="spellEnd"/>
      <w:r>
        <w:t>) may frequently occur. Some geographic variation occurs within this system with species such as mescal bean (</w:t>
      </w:r>
      <w:proofErr w:type="spellStart"/>
      <w:r w:rsidRPr="00817114">
        <w:rPr>
          <w:i/>
        </w:rPr>
        <w:t>Sophora</w:t>
      </w:r>
      <w:proofErr w:type="spellEnd"/>
      <w:r w:rsidRPr="00817114">
        <w:rPr>
          <w:i/>
        </w:rPr>
        <w:t xml:space="preserve"> </w:t>
      </w:r>
      <w:proofErr w:type="spellStart"/>
      <w:r w:rsidRPr="00817114">
        <w:rPr>
          <w:i/>
        </w:rPr>
        <w:t>secundiflora</w:t>
      </w:r>
      <w:proofErr w:type="spellEnd"/>
      <w:r>
        <w:t xml:space="preserve">) frequent on the northern part of the range and </w:t>
      </w:r>
      <w:proofErr w:type="spellStart"/>
      <w:r>
        <w:t>barreta</w:t>
      </w:r>
      <w:proofErr w:type="spellEnd"/>
      <w:r>
        <w:t xml:space="preserve"> (</w:t>
      </w:r>
      <w:proofErr w:type="spellStart"/>
      <w:r w:rsidRPr="00817114">
        <w:rPr>
          <w:i/>
        </w:rPr>
        <w:t>Helietta</w:t>
      </w:r>
      <w:proofErr w:type="spellEnd"/>
      <w:r w:rsidRPr="00817114">
        <w:rPr>
          <w:i/>
        </w:rPr>
        <w:t xml:space="preserve"> </w:t>
      </w:r>
      <w:proofErr w:type="spellStart"/>
      <w:r w:rsidRPr="00817114">
        <w:rPr>
          <w:i/>
        </w:rPr>
        <w:t>parvifolia</w:t>
      </w:r>
      <w:proofErr w:type="spellEnd"/>
      <w:r>
        <w:t xml:space="preserve">), heartleaf </w:t>
      </w:r>
      <w:proofErr w:type="spellStart"/>
      <w:r>
        <w:t>rosemallow</w:t>
      </w:r>
      <w:proofErr w:type="spellEnd"/>
      <w:r>
        <w:t xml:space="preserve"> (</w:t>
      </w:r>
      <w:r w:rsidRPr="00817114">
        <w:rPr>
          <w:i/>
        </w:rPr>
        <w:t xml:space="preserve">Hibiscus </w:t>
      </w:r>
      <w:proofErr w:type="spellStart"/>
      <w:r w:rsidRPr="00817114">
        <w:rPr>
          <w:i/>
        </w:rPr>
        <w:t>martianus</w:t>
      </w:r>
      <w:proofErr w:type="spellEnd"/>
      <w:r>
        <w:t xml:space="preserve">), </w:t>
      </w:r>
      <w:proofErr w:type="spellStart"/>
      <w:r>
        <w:t>anacahuita</w:t>
      </w:r>
      <w:proofErr w:type="spellEnd"/>
      <w:r>
        <w:t xml:space="preserve"> (</w:t>
      </w:r>
      <w:r w:rsidRPr="00817114">
        <w:rPr>
          <w:i/>
        </w:rPr>
        <w:t xml:space="preserve">Cordia </w:t>
      </w:r>
      <w:proofErr w:type="spellStart"/>
      <w:r w:rsidRPr="00817114">
        <w:rPr>
          <w:i/>
        </w:rPr>
        <w:t>boissieri</w:t>
      </w:r>
      <w:proofErr w:type="spellEnd"/>
      <w:r>
        <w:t xml:space="preserve">), Gregg’s </w:t>
      </w:r>
      <w:proofErr w:type="spellStart"/>
      <w:r>
        <w:t>saddlebush</w:t>
      </w:r>
      <w:proofErr w:type="spellEnd"/>
      <w:r>
        <w:t xml:space="preserve"> (</w:t>
      </w:r>
      <w:proofErr w:type="spellStart"/>
      <w:r w:rsidRPr="00817114">
        <w:rPr>
          <w:i/>
        </w:rPr>
        <w:t>Mortonia</w:t>
      </w:r>
      <w:proofErr w:type="spellEnd"/>
      <w:r w:rsidRPr="00817114">
        <w:rPr>
          <w:i/>
        </w:rPr>
        <w:t xml:space="preserve"> </w:t>
      </w:r>
      <w:proofErr w:type="spellStart"/>
      <w:r w:rsidRPr="00817114">
        <w:rPr>
          <w:i/>
        </w:rPr>
        <w:t>greggii</w:t>
      </w:r>
      <w:proofErr w:type="spellEnd"/>
      <w:r>
        <w:t>) and shrubby bullseye (</w:t>
      </w:r>
      <w:proofErr w:type="spellStart"/>
      <w:r w:rsidRPr="00817114">
        <w:rPr>
          <w:i/>
        </w:rPr>
        <w:t>Gochnatia</w:t>
      </w:r>
      <w:proofErr w:type="spellEnd"/>
      <w:r w:rsidRPr="00817114">
        <w:rPr>
          <w:i/>
        </w:rPr>
        <w:t xml:space="preserve"> </w:t>
      </w:r>
      <w:proofErr w:type="spellStart"/>
      <w:r w:rsidRPr="00817114">
        <w:rPr>
          <w:i/>
        </w:rPr>
        <w:t>hypoleuca</w:t>
      </w:r>
      <w:proofErr w:type="spellEnd"/>
      <w:r>
        <w:t>) occurring on southern areas.</w:t>
      </w:r>
    </w:p>
    <w:p w:rsidR="00D20E09" w:rsidP="00D20E09" w:rsidRDefault="00D20E0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LEFR3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Leucophyllum frutescens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Texas barometer 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ACBE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berlandieri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Guajillo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rigidula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Blackbrush acacia</w:t>
            </w:r>
          </w:p>
        </w:tc>
      </w:tr>
    </w:tbl>
    <w:p>
      <w:r>
        <w:rPr>
          <w:sz w:val="16"/>
        </w:rPr>
        <w:t>Species names are from the NRCS PLANTS database. Check species codes at http://plants.usda.gov.</w:t>
      </w:r>
    </w:p>
    <w:p w:rsidR="00D20E09" w:rsidP="00D20E09" w:rsidRDefault="00D20E09">
      <w:pPr>
        <w:pStyle w:val="InfoPara"/>
      </w:pPr>
      <w:r>
        <w:lastRenderedPageBreak/>
        <w:t>Disturbance Description</w:t>
      </w:r>
    </w:p>
    <w:p w:rsidR="00D20E09" w:rsidP="00D20E09" w:rsidRDefault="00D20E09">
      <w:r>
        <w:t xml:space="preserve">Erosion occurs on these sites, creating gullies, but not causing a shift in the community. Fire played little to no role in this system, though may have spread into the margins of this </w:t>
      </w:r>
      <w:r w:rsidR="00817114">
        <w:t>Biophysical Setting (</w:t>
      </w:r>
      <w:r>
        <w:t>BpS</w:t>
      </w:r>
      <w:r w:rsidR="00817114">
        <w:t>)</w:t>
      </w:r>
      <w:r>
        <w:t xml:space="preserve"> during drought and high wind conditions.</w:t>
      </w:r>
    </w:p>
    <w:p w:rsidR="00D20E09" w:rsidP="00D20E09" w:rsidRDefault="00D20E09"/>
    <w:p w:rsidR="00D20E09" w:rsidP="00D20E09" w:rsidRDefault="00D20E09">
      <w:r>
        <w:t>No known disturbance would cause marked changes, although drought is included in the VDDT model as a maintenance event and may result in a minor reduction in the shrub canopy cover.</w:t>
      </w:r>
    </w:p>
    <w:p w:rsidR="00D20E09" w:rsidP="00D20E09" w:rsidRDefault="00D20E0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20E09" w:rsidP="00D20E09" w:rsidRDefault="00D20E09">
      <w:pPr>
        <w:pStyle w:val="InfoPara"/>
      </w:pPr>
      <w:r>
        <w:t>Scale Description</w:t>
      </w:r>
    </w:p>
    <w:p w:rsidR="00D20E09" w:rsidP="00D20E09" w:rsidRDefault="00D20E09">
      <w:r>
        <w:t>Large patch to matrix on ridgetops, covering 1</w:t>
      </w:r>
      <w:r w:rsidR="00270332">
        <w:t>,</w:t>
      </w:r>
      <w:r>
        <w:t>000</w:t>
      </w:r>
      <w:r w:rsidR="00817114">
        <w:t>-100,000+</w:t>
      </w:r>
      <w:r>
        <w:t xml:space="preserve"> acres.</w:t>
      </w:r>
    </w:p>
    <w:p w:rsidR="00D20E09" w:rsidP="00D20E09" w:rsidRDefault="00D20E09">
      <w:pPr>
        <w:pStyle w:val="InfoPara"/>
      </w:pPr>
      <w:r>
        <w:t>Adjacency or Identification Concerns</w:t>
      </w:r>
    </w:p>
    <w:p w:rsidR="00D20E09" w:rsidP="00D20E09" w:rsidRDefault="00D20E09">
      <w:r>
        <w:t>Some situations soils develop in sufficient depth to allow a community that is intermediate between BpS 1392 and BpS 1390.</w:t>
      </w:r>
    </w:p>
    <w:p w:rsidR="00D80DE6" w:rsidP="00D20E09" w:rsidRDefault="00D20E09">
      <w:pPr>
        <w:pStyle w:val="InfoPara"/>
      </w:pPr>
      <w:r>
        <w:t>Issues or Problems</w:t>
      </w:r>
    </w:p>
    <w:p w:rsidR="00D20E09" w:rsidP="00E1761D" w:rsidRDefault="00D20E09">
      <w:pPr>
        <w:pStyle w:val="InfoPara"/>
      </w:pPr>
      <w:r>
        <w:t>Native Uncharacteristic Conditions</w:t>
      </w:r>
    </w:p>
    <w:p w:rsidR="00D20E09" w:rsidP="00D20E09" w:rsidRDefault="00D20E09">
      <w:pPr>
        <w:pStyle w:val="InfoPara"/>
      </w:pPr>
      <w:r>
        <w:t>Comments</w:t>
      </w:r>
    </w:p>
    <w:p w:rsidR="00D80DE6" w:rsidP="00D20E09" w:rsidRDefault="00D20E09">
      <w:r>
        <w:t>This model was created for</w:t>
      </w:r>
      <w:r w:rsidR="00817114">
        <w:t xml:space="preserve"> map zone</w:t>
      </w:r>
      <w:r>
        <w:t xml:space="preserve"> </w:t>
      </w:r>
      <w:r w:rsidR="00817114">
        <w:t>(</w:t>
      </w:r>
      <w:r>
        <w:t>MZ</w:t>
      </w:r>
      <w:r w:rsidR="00817114">
        <w:t>)</w:t>
      </w:r>
      <w:r>
        <w:t>36. Suggested reviewers for MZ36: Lisa Williams and Tim Fulbright (TAMU-Kingsville).</w:t>
      </w:r>
      <w:bookmarkStart w:name="_GoBack" w:id="0"/>
      <w:bookmarkEnd w:id="0"/>
    </w:p>
    <w:p w:rsidR="00D20E09" w:rsidP="00D20E09" w:rsidRDefault="00D20E09">
      <w:pPr>
        <w:pStyle w:val="ReportSection"/>
      </w:pPr>
      <w:r>
        <w:t>Succession Classes</w:t>
      </w:r>
    </w:p>
    <w:p w:rsidR="00D20E09" w:rsidP="00D20E09" w:rsidRDefault="00D20E0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20E09" w:rsidP="00D20E09" w:rsidRDefault="00D20E09">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Closed</w:t>
      </w:r>
    </w:p>
    <w:p w:rsidR="00D20E09" w:rsidP="00D20E09" w:rsidRDefault="00D20E09"/>
    <w:p w:rsidR="00D20E09" w:rsidP="00D20E09" w:rsidRDefault="00D20E0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08"/>
        <w:gridCol w:w="2484"/>
        <w:gridCol w:w="1956"/>
      </w:tblGrid>
      <w:tr w:rsidRPr="00D20E09" w:rsidR="00D20E09" w:rsidTr="00D20E09">
        <w:tc>
          <w:tcPr>
            <w:tcW w:w="1104" w:type="dxa"/>
            <w:tcBorders>
              <w:top w:val="single" w:color="auto" w:sz="2" w:space="0"/>
              <w:bottom w:val="single" w:color="000000" w:sz="12" w:space="0"/>
            </w:tcBorders>
            <w:shd w:val="clear" w:color="auto" w:fill="auto"/>
          </w:tcPr>
          <w:p w:rsidRPr="00D20E09" w:rsidR="00D20E09" w:rsidP="009709D2" w:rsidRDefault="00D20E09">
            <w:pPr>
              <w:rPr>
                <w:b/>
                <w:bCs/>
              </w:rPr>
            </w:pPr>
            <w:r w:rsidRPr="00D20E09">
              <w:rPr>
                <w:b/>
                <w:bCs/>
              </w:rPr>
              <w:t>Symbol</w:t>
            </w:r>
          </w:p>
        </w:tc>
        <w:tc>
          <w:tcPr>
            <w:tcW w:w="2808" w:type="dxa"/>
            <w:tcBorders>
              <w:top w:val="single" w:color="auto" w:sz="2" w:space="0"/>
              <w:bottom w:val="single" w:color="000000" w:sz="12" w:space="0"/>
            </w:tcBorders>
            <w:shd w:val="clear" w:color="auto" w:fill="auto"/>
          </w:tcPr>
          <w:p w:rsidRPr="00D20E09" w:rsidR="00D20E09" w:rsidP="009709D2" w:rsidRDefault="00D20E09">
            <w:pPr>
              <w:rPr>
                <w:b/>
                <w:bCs/>
              </w:rPr>
            </w:pPr>
            <w:r w:rsidRPr="00D20E09">
              <w:rPr>
                <w:b/>
                <w:bCs/>
              </w:rPr>
              <w:t>Scientific Name</w:t>
            </w:r>
          </w:p>
        </w:tc>
        <w:tc>
          <w:tcPr>
            <w:tcW w:w="2484" w:type="dxa"/>
            <w:tcBorders>
              <w:top w:val="single" w:color="auto" w:sz="2" w:space="0"/>
              <w:bottom w:val="single" w:color="000000" w:sz="12" w:space="0"/>
            </w:tcBorders>
            <w:shd w:val="clear" w:color="auto" w:fill="auto"/>
          </w:tcPr>
          <w:p w:rsidRPr="00D20E09" w:rsidR="00D20E09" w:rsidP="009709D2" w:rsidRDefault="00D20E09">
            <w:pPr>
              <w:rPr>
                <w:b/>
                <w:bCs/>
              </w:rPr>
            </w:pPr>
            <w:r w:rsidRPr="00D20E09">
              <w:rPr>
                <w:b/>
                <w:bCs/>
              </w:rPr>
              <w:t>Common Name</w:t>
            </w:r>
          </w:p>
        </w:tc>
        <w:tc>
          <w:tcPr>
            <w:tcW w:w="1956" w:type="dxa"/>
            <w:tcBorders>
              <w:top w:val="single" w:color="auto" w:sz="2" w:space="0"/>
              <w:bottom w:val="single" w:color="000000" w:sz="12" w:space="0"/>
            </w:tcBorders>
            <w:shd w:val="clear" w:color="auto" w:fill="auto"/>
          </w:tcPr>
          <w:p w:rsidRPr="00D20E09" w:rsidR="00D20E09" w:rsidP="009709D2" w:rsidRDefault="00D20E09">
            <w:pPr>
              <w:rPr>
                <w:b/>
                <w:bCs/>
              </w:rPr>
            </w:pPr>
            <w:r w:rsidRPr="00D20E09">
              <w:rPr>
                <w:b/>
                <w:bCs/>
              </w:rPr>
              <w:t>Canopy Position</w:t>
            </w:r>
          </w:p>
        </w:tc>
      </w:tr>
      <w:tr w:rsidRPr="00D20E09" w:rsidR="00D20E09" w:rsidTr="00D20E09">
        <w:tc>
          <w:tcPr>
            <w:tcW w:w="1104" w:type="dxa"/>
            <w:tcBorders>
              <w:top w:val="single" w:color="000000" w:sz="12" w:space="0"/>
            </w:tcBorders>
            <w:shd w:val="clear" w:color="auto" w:fill="auto"/>
          </w:tcPr>
          <w:p w:rsidRPr="00D20E09" w:rsidR="00D20E09" w:rsidP="009709D2" w:rsidRDefault="00D20E09">
            <w:pPr>
              <w:rPr>
                <w:bCs/>
              </w:rPr>
            </w:pPr>
            <w:r w:rsidRPr="00D20E09">
              <w:rPr>
                <w:bCs/>
              </w:rPr>
              <w:t>LEFR3</w:t>
            </w:r>
          </w:p>
        </w:tc>
        <w:tc>
          <w:tcPr>
            <w:tcW w:w="2808" w:type="dxa"/>
            <w:tcBorders>
              <w:top w:val="single" w:color="000000" w:sz="12" w:space="0"/>
            </w:tcBorders>
            <w:shd w:val="clear" w:color="auto" w:fill="auto"/>
          </w:tcPr>
          <w:p w:rsidRPr="00D20E09" w:rsidR="00D20E09" w:rsidP="009709D2" w:rsidRDefault="00D20E09">
            <w:proofErr w:type="spellStart"/>
            <w:r w:rsidRPr="00D20E09">
              <w:t>Leucophyllum</w:t>
            </w:r>
            <w:proofErr w:type="spellEnd"/>
            <w:r w:rsidRPr="00D20E09">
              <w:t xml:space="preserve"> </w:t>
            </w:r>
            <w:proofErr w:type="spellStart"/>
            <w:r w:rsidRPr="00D20E09">
              <w:t>frutescens</w:t>
            </w:r>
            <w:proofErr w:type="spellEnd"/>
          </w:p>
        </w:tc>
        <w:tc>
          <w:tcPr>
            <w:tcW w:w="2484" w:type="dxa"/>
            <w:tcBorders>
              <w:top w:val="single" w:color="000000" w:sz="12" w:space="0"/>
            </w:tcBorders>
            <w:shd w:val="clear" w:color="auto" w:fill="auto"/>
          </w:tcPr>
          <w:p w:rsidRPr="00D20E09" w:rsidR="00D20E09" w:rsidP="009709D2" w:rsidRDefault="00D20E09">
            <w:r w:rsidRPr="00D20E09">
              <w:t>Texas barometer bush</w:t>
            </w:r>
          </w:p>
        </w:tc>
        <w:tc>
          <w:tcPr>
            <w:tcW w:w="1956" w:type="dxa"/>
            <w:tcBorders>
              <w:top w:val="single" w:color="000000" w:sz="12" w:space="0"/>
            </w:tcBorders>
            <w:shd w:val="clear" w:color="auto" w:fill="auto"/>
          </w:tcPr>
          <w:p w:rsidRPr="00D20E09" w:rsidR="00D20E09" w:rsidP="009709D2" w:rsidRDefault="00D20E09">
            <w:r w:rsidRPr="00D20E09">
              <w:t>Upper</w:t>
            </w:r>
          </w:p>
        </w:tc>
      </w:tr>
      <w:tr w:rsidRPr="00D20E09" w:rsidR="00D20E09" w:rsidTr="00D20E09">
        <w:tc>
          <w:tcPr>
            <w:tcW w:w="1104" w:type="dxa"/>
            <w:shd w:val="clear" w:color="auto" w:fill="auto"/>
          </w:tcPr>
          <w:p w:rsidRPr="00D20E09" w:rsidR="00D20E09" w:rsidP="009709D2" w:rsidRDefault="00D20E09">
            <w:pPr>
              <w:rPr>
                <w:bCs/>
              </w:rPr>
            </w:pPr>
            <w:r w:rsidRPr="00D20E09">
              <w:rPr>
                <w:bCs/>
              </w:rPr>
              <w:t>ACBE</w:t>
            </w:r>
          </w:p>
        </w:tc>
        <w:tc>
          <w:tcPr>
            <w:tcW w:w="2808" w:type="dxa"/>
            <w:shd w:val="clear" w:color="auto" w:fill="auto"/>
          </w:tcPr>
          <w:p w:rsidRPr="00D20E09" w:rsidR="00D20E09" w:rsidP="009709D2" w:rsidRDefault="00D20E09">
            <w:r w:rsidRPr="00D20E09">
              <w:t xml:space="preserve">Acacia </w:t>
            </w:r>
            <w:proofErr w:type="spellStart"/>
            <w:r w:rsidRPr="00D20E09">
              <w:t>berlandieri</w:t>
            </w:r>
            <w:proofErr w:type="spellEnd"/>
          </w:p>
        </w:tc>
        <w:tc>
          <w:tcPr>
            <w:tcW w:w="2484" w:type="dxa"/>
            <w:shd w:val="clear" w:color="auto" w:fill="auto"/>
          </w:tcPr>
          <w:p w:rsidRPr="00D20E09" w:rsidR="00D20E09" w:rsidP="009709D2" w:rsidRDefault="00D20E09">
            <w:r w:rsidRPr="00D20E09">
              <w:t>Guajillo</w:t>
            </w:r>
          </w:p>
        </w:tc>
        <w:tc>
          <w:tcPr>
            <w:tcW w:w="1956" w:type="dxa"/>
            <w:shd w:val="clear" w:color="auto" w:fill="auto"/>
          </w:tcPr>
          <w:p w:rsidRPr="00D20E09" w:rsidR="00D20E09" w:rsidP="009709D2" w:rsidRDefault="00D20E09">
            <w:r w:rsidRPr="00D20E09">
              <w:t>Upper</w:t>
            </w:r>
          </w:p>
        </w:tc>
      </w:tr>
      <w:tr w:rsidRPr="00D20E09" w:rsidR="00D20E09" w:rsidTr="00D20E09">
        <w:tc>
          <w:tcPr>
            <w:tcW w:w="1104" w:type="dxa"/>
            <w:shd w:val="clear" w:color="auto" w:fill="auto"/>
          </w:tcPr>
          <w:p w:rsidRPr="00D20E09" w:rsidR="00D20E09" w:rsidP="009709D2" w:rsidRDefault="00D20E09">
            <w:pPr>
              <w:rPr>
                <w:bCs/>
              </w:rPr>
            </w:pPr>
            <w:r w:rsidRPr="00D20E09">
              <w:rPr>
                <w:bCs/>
              </w:rPr>
              <w:t>PRGL2</w:t>
            </w:r>
          </w:p>
        </w:tc>
        <w:tc>
          <w:tcPr>
            <w:tcW w:w="2808" w:type="dxa"/>
            <w:shd w:val="clear" w:color="auto" w:fill="auto"/>
          </w:tcPr>
          <w:p w:rsidRPr="00D20E09" w:rsidR="00D20E09" w:rsidP="009709D2" w:rsidRDefault="00D20E09">
            <w:r w:rsidRPr="00D20E09">
              <w:t xml:space="preserve">Prosopis </w:t>
            </w:r>
            <w:proofErr w:type="spellStart"/>
            <w:r w:rsidRPr="00D20E09">
              <w:t>glandulosa</w:t>
            </w:r>
            <w:proofErr w:type="spellEnd"/>
          </w:p>
        </w:tc>
        <w:tc>
          <w:tcPr>
            <w:tcW w:w="2484" w:type="dxa"/>
            <w:shd w:val="clear" w:color="auto" w:fill="auto"/>
          </w:tcPr>
          <w:p w:rsidRPr="00D20E09" w:rsidR="00D20E09" w:rsidP="009709D2" w:rsidRDefault="00D20E09">
            <w:r w:rsidRPr="00D20E09">
              <w:t>Honey mesquite</w:t>
            </w:r>
          </w:p>
        </w:tc>
        <w:tc>
          <w:tcPr>
            <w:tcW w:w="1956" w:type="dxa"/>
            <w:shd w:val="clear" w:color="auto" w:fill="auto"/>
          </w:tcPr>
          <w:p w:rsidRPr="00D20E09" w:rsidR="00D20E09" w:rsidP="009709D2" w:rsidRDefault="00D20E09">
            <w:r w:rsidRPr="00D20E09">
              <w:t>Upper</w:t>
            </w:r>
          </w:p>
        </w:tc>
      </w:tr>
      <w:tr w:rsidRPr="00D20E09" w:rsidR="00D20E09" w:rsidTr="00D20E09">
        <w:tc>
          <w:tcPr>
            <w:tcW w:w="1104" w:type="dxa"/>
            <w:shd w:val="clear" w:color="auto" w:fill="auto"/>
          </w:tcPr>
          <w:p w:rsidRPr="00D20E09" w:rsidR="00D20E09" w:rsidP="009709D2" w:rsidRDefault="00D20E09">
            <w:pPr>
              <w:rPr>
                <w:bCs/>
              </w:rPr>
            </w:pPr>
            <w:r w:rsidRPr="00D20E09">
              <w:rPr>
                <w:bCs/>
              </w:rPr>
              <w:t>ACRI</w:t>
            </w:r>
          </w:p>
        </w:tc>
        <w:tc>
          <w:tcPr>
            <w:tcW w:w="2808" w:type="dxa"/>
            <w:shd w:val="clear" w:color="auto" w:fill="auto"/>
          </w:tcPr>
          <w:p w:rsidRPr="00D20E09" w:rsidR="00D20E09" w:rsidP="009709D2" w:rsidRDefault="00D20E09">
            <w:r w:rsidRPr="00D20E09">
              <w:t xml:space="preserve">Acacia </w:t>
            </w:r>
            <w:proofErr w:type="spellStart"/>
            <w:r w:rsidRPr="00D20E09">
              <w:t>rigidula</w:t>
            </w:r>
            <w:proofErr w:type="spellEnd"/>
          </w:p>
        </w:tc>
        <w:tc>
          <w:tcPr>
            <w:tcW w:w="2484" w:type="dxa"/>
            <w:shd w:val="clear" w:color="auto" w:fill="auto"/>
          </w:tcPr>
          <w:p w:rsidRPr="00D20E09" w:rsidR="00D20E09" w:rsidP="009709D2" w:rsidRDefault="00D20E09">
            <w:proofErr w:type="spellStart"/>
            <w:r w:rsidRPr="00D20E09">
              <w:t>Blackbrush</w:t>
            </w:r>
            <w:proofErr w:type="spellEnd"/>
            <w:r w:rsidRPr="00D20E09">
              <w:t xml:space="preserve"> acacia</w:t>
            </w:r>
          </w:p>
        </w:tc>
        <w:tc>
          <w:tcPr>
            <w:tcW w:w="1956" w:type="dxa"/>
            <w:shd w:val="clear" w:color="auto" w:fill="auto"/>
          </w:tcPr>
          <w:p w:rsidRPr="00D20E09" w:rsidR="00D20E09" w:rsidP="009709D2" w:rsidRDefault="00D20E09">
            <w:r w:rsidRPr="00D20E09">
              <w:t>Upper</w:t>
            </w:r>
          </w:p>
        </w:tc>
      </w:tr>
    </w:tbl>
    <w:p w:rsidR="00D20E09" w:rsidP="00D20E09" w:rsidRDefault="00D20E09"/>
    <w:p w:rsidR="00D20E09" w:rsidP="00D20E09" w:rsidRDefault="00D20E09">
      <w:pPr>
        <w:pStyle w:val="SClassInfoPara"/>
      </w:pPr>
      <w:r>
        <w:t>Description</w:t>
      </w:r>
    </w:p>
    <w:p w:rsidR="00D20E09" w:rsidP="00D20E09" w:rsidRDefault="00D20E09">
      <w:r>
        <w:t>Dense shrubland, generally 40-90% cover with sparse cover from emergent overstory species. Little disturbance affects this shrubland BpS. Low fine fuel loadings make fire spread in this BpS minimal except under extreme windy and dry conditions when fire may spread into it from surrounding sites. Species are drought resistant. However, this BpS occurs in large patch to matrix scale and marginal fires likely spread little into the interior portions of occurrences.</w:t>
      </w:r>
    </w:p>
    <w:p w:rsidR="00D20E09" w:rsidP="00D20E09" w:rsidRDefault="00D20E09"/>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Early1:CLS</w:t>
            </w:r>
          </w:p>
        </w:tc>
        <w:tc>
          <w:p>
            <w:pPr>
              <w:jc w:val="center"/>
            </w:pPr>
            <w:r>
              <w:rPr>
                <w:sz w:val="20"/>
              </w:rPr>
              <w:t>0</w:t>
            </w:r>
          </w:p>
        </w:tc>
        <w:tc>
          <w:p>
            <w:pPr>
              <w:jc w:val="center"/>
            </w:pPr>
            <w:r>
              <w:rPr>
                <w:sz w:val="20"/>
              </w:rPr>
              <w:t>Early1:CLS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Early1:CLS</w:t>
            </w:r>
          </w:p>
        </w:tc>
        <w:tc>
          <w:p>
            <w:pPr>
              <w:jc w:val="center"/>
            </w:pPr>
            <w:r>
              <w:rPr>
                <w:sz w:val="20"/>
              </w:rPr>
              <w:t>Early1:CLS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20E09" w:rsidP="00D20E09" w:rsidRDefault="00D20E09">
      <w:r>
        <w:t>NatureServe. 2007. International Ecological Classification Standard: Terrestrial Ecological Classifications. NatureServe Central Databases. Arlington, VA, U.S.A. Data current as of 10 February 2007.</w:t>
      </w:r>
    </w:p>
    <w:p w:rsidRPr="00A43E41" w:rsidR="004D5F12" w:rsidP="00D20E0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5C1" w:rsidRDefault="008B45C1">
      <w:r>
        <w:separator/>
      </w:r>
    </w:p>
  </w:endnote>
  <w:endnote w:type="continuationSeparator" w:id="0">
    <w:p w:rsidR="008B45C1" w:rsidRDefault="008B4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E09" w:rsidRDefault="00D20E09" w:rsidP="00D20E0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5C1" w:rsidRDefault="008B45C1">
      <w:r>
        <w:separator/>
      </w:r>
    </w:p>
  </w:footnote>
  <w:footnote w:type="continuationSeparator" w:id="0">
    <w:p w:rsidR="008B45C1" w:rsidRDefault="008B4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20E0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E0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25D"/>
    <w:rsid w:val="00227B1B"/>
    <w:rsid w:val="00231FCD"/>
    <w:rsid w:val="002373C6"/>
    <w:rsid w:val="00240CE1"/>
    <w:rsid w:val="00241698"/>
    <w:rsid w:val="0024318D"/>
    <w:rsid w:val="0024326E"/>
    <w:rsid w:val="002553D4"/>
    <w:rsid w:val="0025768B"/>
    <w:rsid w:val="00260279"/>
    <w:rsid w:val="002618B0"/>
    <w:rsid w:val="00265072"/>
    <w:rsid w:val="00266C1F"/>
    <w:rsid w:val="00270332"/>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5724"/>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12B8"/>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17114"/>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5C1"/>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080D"/>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80E"/>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0E09"/>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0DE6"/>
    <w:rsid w:val="00D81349"/>
    <w:rsid w:val="00D83E2B"/>
    <w:rsid w:val="00D84B65"/>
    <w:rsid w:val="00D85B75"/>
    <w:rsid w:val="00D877AF"/>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1761D"/>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47AFB"/>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ED19E"/>
  <w15:docId w15:val="{88C7879E-A71A-4E24-9635-BA0AC4F0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80DE6"/>
    <w:pPr>
      <w:ind w:left="720"/>
    </w:pPr>
    <w:rPr>
      <w:rFonts w:ascii="Calibri" w:eastAsia="Calibri" w:hAnsi="Calibri"/>
      <w:sz w:val="22"/>
      <w:szCs w:val="22"/>
    </w:rPr>
  </w:style>
  <w:style w:type="character" w:styleId="Hyperlink">
    <w:name w:val="Hyperlink"/>
    <w:rsid w:val="00D80DE6"/>
    <w:rPr>
      <w:color w:val="0000FF"/>
      <w:u w:val="single"/>
    </w:rPr>
  </w:style>
  <w:style w:type="paragraph" w:styleId="BalloonText">
    <w:name w:val="Balloon Text"/>
    <w:basedOn w:val="Normal"/>
    <w:link w:val="BalloonTextChar"/>
    <w:uiPriority w:val="99"/>
    <w:semiHidden/>
    <w:unhideWhenUsed/>
    <w:rsid w:val="008171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1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50078">
      <w:bodyDiv w:val="1"/>
      <w:marLeft w:val="0"/>
      <w:marRight w:val="0"/>
      <w:marTop w:val="0"/>
      <w:marBottom w:val="0"/>
      <w:divBdr>
        <w:top w:val="none" w:sz="0" w:space="0" w:color="auto"/>
        <w:left w:val="none" w:sz="0" w:space="0" w:color="auto"/>
        <w:bottom w:val="none" w:sz="0" w:space="0" w:color="auto"/>
        <w:right w:val="none" w:sz="0" w:space="0" w:color="auto"/>
      </w:divBdr>
    </w:div>
    <w:div w:id="98809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2014-08-21T14:49:00Z</cp:lastPrinted>
  <dcterms:created xsi:type="dcterms:W3CDTF">2018-04-17T21:55:00Z</dcterms:created>
  <dcterms:modified xsi:type="dcterms:W3CDTF">2019-01-29T19:20:00Z</dcterms:modified>
</cp:coreProperties>
</file>