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365" w:rsidP="000A4365" w:rsidRDefault="000A4365">
      <w:pPr>
        <w:pStyle w:val="BpSTitle"/>
      </w:pPr>
      <w:r>
        <w:t>14120</w:t>
      </w:r>
    </w:p>
    <w:p w:rsidR="000A4365" w:rsidP="000A4365" w:rsidRDefault="000A4365">
      <w:pPr>
        <w:pStyle w:val="BpSTitle"/>
      </w:pPr>
      <w:r>
        <w:t>North-Central Interior Sand and Gravel Tallgrass Prairie</w:t>
      </w:r>
    </w:p>
    <w:p w:rsidR="000A4365" w:rsidP="000A4365" w:rsidRDefault="000A4365">
      <w:r>
        <w:t xmlns:w="http://schemas.openxmlformats.org/wordprocessingml/2006/main">BpS Model/Description Version: Aug. 2020</w:t>
      </w:r>
      <w:r>
        <w:tab/>
      </w:r>
      <w:r>
        <w:tab/>
      </w:r>
      <w:r>
        <w:tab/>
      </w:r>
      <w:r>
        <w:tab/>
      </w:r>
      <w:r>
        <w:tab/>
      </w:r>
      <w:r>
        <w:tab/>
      </w:r>
      <w:r>
        <w:tab/>
      </w:r>
    </w:p>
    <w:p w:rsidR="000A4365" w:rsidP="000A4365" w:rsidRDefault="00D45B7A">
      <w:r>
        <w:tab/>
      </w:r>
      <w:r>
        <w:tab/>
      </w:r>
      <w:r>
        <w:tab/>
      </w:r>
      <w:r>
        <w:tab/>
      </w:r>
      <w:r>
        <w:tab/>
      </w:r>
      <w:r>
        <w:tab/>
      </w:r>
      <w:r>
        <w:tab/>
      </w:r>
      <w:r>
        <w:tab/>
      </w:r>
      <w:r>
        <w:tab/>
      </w:r>
      <w:r>
        <w:tab/>
        <w:t>Update: 4/16/2018</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68"/>
        <w:gridCol w:w="2802"/>
        <w:gridCol w:w="1704"/>
        <w:gridCol w:w="2802"/>
      </w:tblGrid>
      <w:tr w:rsidRPr="000A4365" w:rsidR="000A4365" w:rsidTr="000A4365">
        <w:tc>
          <w:tcPr>
            <w:tcW w:w="2268" w:type="dxa"/>
            <w:tcBorders>
              <w:top w:val="single" w:color="auto" w:sz="2" w:space="0"/>
              <w:left w:val="single" w:color="auto" w:sz="12" w:space="0"/>
              <w:bottom w:val="single" w:color="000000" w:sz="12" w:space="0"/>
            </w:tcBorders>
            <w:shd w:val="clear" w:color="auto" w:fill="auto"/>
          </w:tcPr>
          <w:p w:rsidRPr="000A4365" w:rsidR="000A4365" w:rsidP="00CF6D14" w:rsidRDefault="000A4365">
            <w:pPr>
              <w:rPr>
                <w:b/>
                <w:bCs/>
              </w:rPr>
            </w:pPr>
            <w:r w:rsidRPr="000A4365">
              <w:rPr>
                <w:b/>
                <w:bCs/>
              </w:rPr>
              <w:t>Modelers</w:t>
            </w:r>
          </w:p>
        </w:tc>
        <w:tc>
          <w:tcPr>
            <w:tcW w:w="2802" w:type="dxa"/>
            <w:tcBorders>
              <w:top w:val="single" w:color="auto" w:sz="2" w:space="0"/>
              <w:bottom w:val="single" w:color="000000" w:sz="12" w:space="0"/>
              <w:right w:val="single" w:color="000000" w:sz="12" w:space="0"/>
            </w:tcBorders>
            <w:shd w:val="clear" w:color="auto" w:fill="auto"/>
          </w:tcPr>
          <w:p w:rsidRPr="000A4365" w:rsidR="000A4365" w:rsidP="00CF6D14" w:rsidRDefault="000A4365">
            <w:pPr>
              <w:rPr>
                <w:b/>
                <w:bCs/>
              </w:rPr>
            </w:pPr>
          </w:p>
        </w:tc>
        <w:tc>
          <w:tcPr>
            <w:tcW w:w="1704" w:type="dxa"/>
            <w:tcBorders>
              <w:top w:val="single" w:color="auto" w:sz="2" w:space="0"/>
              <w:left w:val="single" w:color="000000" w:sz="12" w:space="0"/>
              <w:bottom w:val="single" w:color="000000" w:sz="12" w:space="0"/>
            </w:tcBorders>
            <w:shd w:val="clear" w:color="auto" w:fill="auto"/>
          </w:tcPr>
          <w:p w:rsidRPr="000A4365" w:rsidR="000A4365" w:rsidP="00CF6D14" w:rsidRDefault="000A4365">
            <w:pPr>
              <w:rPr>
                <w:b/>
                <w:bCs/>
              </w:rPr>
            </w:pPr>
            <w:r w:rsidRPr="000A4365">
              <w:rPr>
                <w:b/>
                <w:bCs/>
              </w:rPr>
              <w:t>Reviewers</w:t>
            </w:r>
          </w:p>
        </w:tc>
        <w:tc>
          <w:tcPr>
            <w:tcW w:w="2802" w:type="dxa"/>
            <w:tcBorders>
              <w:top w:val="single" w:color="auto" w:sz="2" w:space="0"/>
              <w:bottom w:val="single" w:color="000000" w:sz="12" w:space="0"/>
            </w:tcBorders>
            <w:shd w:val="clear" w:color="auto" w:fill="auto"/>
          </w:tcPr>
          <w:p w:rsidRPr="000A4365" w:rsidR="000A4365" w:rsidP="00CF6D14" w:rsidRDefault="000A4365">
            <w:pPr>
              <w:rPr>
                <w:b/>
                <w:bCs/>
              </w:rPr>
            </w:pPr>
          </w:p>
        </w:tc>
      </w:tr>
      <w:tr w:rsidRPr="000A4365" w:rsidR="000A4365" w:rsidTr="000A4365">
        <w:tc>
          <w:tcPr>
            <w:tcW w:w="2268" w:type="dxa"/>
            <w:tcBorders>
              <w:top w:val="single" w:color="000000" w:sz="12" w:space="0"/>
              <w:left w:val="single" w:color="auto" w:sz="12" w:space="0"/>
            </w:tcBorders>
            <w:shd w:val="clear" w:color="auto" w:fill="auto"/>
          </w:tcPr>
          <w:p w:rsidRPr="000A4365" w:rsidR="000A4365" w:rsidP="00CF6D14" w:rsidRDefault="000A4365">
            <w:pPr>
              <w:rPr>
                <w:bCs/>
              </w:rPr>
            </w:pPr>
            <w:r w:rsidRPr="000A4365">
              <w:rPr>
                <w:bCs/>
              </w:rPr>
              <w:t>John Harrington</w:t>
            </w:r>
          </w:p>
        </w:tc>
        <w:tc>
          <w:tcPr>
            <w:tcW w:w="2802" w:type="dxa"/>
            <w:tcBorders>
              <w:top w:val="single" w:color="000000" w:sz="12" w:space="0"/>
              <w:right w:val="single" w:color="000000" w:sz="12" w:space="0"/>
            </w:tcBorders>
            <w:shd w:val="clear" w:color="auto" w:fill="auto"/>
          </w:tcPr>
          <w:p w:rsidRPr="000A4365" w:rsidR="000A4365" w:rsidP="00CF6D14" w:rsidRDefault="000A4365">
            <w:r w:rsidRPr="000A4365">
              <w:t>jaharrin@wisc.edu</w:t>
            </w:r>
          </w:p>
        </w:tc>
        <w:tc>
          <w:tcPr>
            <w:tcW w:w="1704" w:type="dxa"/>
            <w:tcBorders>
              <w:top w:val="single" w:color="000000" w:sz="12" w:space="0"/>
              <w:left w:val="single" w:color="000000" w:sz="12" w:space="0"/>
            </w:tcBorders>
            <w:shd w:val="clear" w:color="auto" w:fill="auto"/>
          </w:tcPr>
          <w:p w:rsidRPr="000A4365" w:rsidR="000A4365" w:rsidP="00CF6D14" w:rsidRDefault="000A4365">
            <w:r w:rsidRPr="000A4365">
              <w:t>Doug Cox</w:t>
            </w:r>
          </w:p>
        </w:tc>
        <w:tc>
          <w:tcPr>
            <w:tcW w:w="2802" w:type="dxa"/>
            <w:tcBorders>
              <w:top w:val="single" w:color="000000" w:sz="12" w:space="0"/>
            </w:tcBorders>
            <w:shd w:val="clear" w:color="auto" w:fill="auto"/>
          </w:tcPr>
          <w:p w:rsidRPr="000A4365" w:rsidR="000A4365" w:rsidP="00CF6D14" w:rsidRDefault="000A4365">
            <w:r w:rsidRPr="000A4365">
              <w:t>mteecology@frontiernet.net</w:t>
            </w:r>
          </w:p>
        </w:tc>
      </w:tr>
      <w:tr w:rsidRPr="000A4365" w:rsidR="000A4365" w:rsidTr="000A4365">
        <w:tc>
          <w:tcPr>
            <w:tcW w:w="2268" w:type="dxa"/>
            <w:tcBorders>
              <w:left w:val="single" w:color="auto" w:sz="12" w:space="0"/>
            </w:tcBorders>
            <w:shd w:val="clear" w:color="auto" w:fill="auto"/>
          </w:tcPr>
          <w:p w:rsidRPr="000A4365" w:rsidR="000A4365" w:rsidP="00CF6D14" w:rsidRDefault="000A4365">
            <w:pPr>
              <w:rPr>
                <w:bCs/>
              </w:rPr>
            </w:pPr>
            <w:r w:rsidRPr="000A4365">
              <w:rPr>
                <w:bCs/>
              </w:rPr>
              <w:t>Richard Henderson</w:t>
            </w:r>
          </w:p>
        </w:tc>
        <w:tc>
          <w:tcPr>
            <w:tcW w:w="2802" w:type="dxa"/>
            <w:tcBorders>
              <w:right w:val="single" w:color="000000" w:sz="12" w:space="0"/>
            </w:tcBorders>
            <w:shd w:val="clear" w:color="auto" w:fill="auto"/>
          </w:tcPr>
          <w:p w:rsidRPr="000A4365" w:rsidR="000A4365" w:rsidP="00CF6D14" w:rsidRDefault="000A4365">
            <w:r w:rsidRPr="000A4365">
              <w:t>Richard.Henderson@wisconsin.gov</w:t>
            </w:r>
          </w:p>
        </w:tc>
        <w:tc>
          <w:tcPr>
            <w:tcW w:w="1704" w:type="dxa"/>
            <w:tcBorders>
              <w:left w:val="single" w:color="000000" w:sz="12" w:space="0"/>
            </w:tcBorders>
            <w:shd w:val="clear" w:color="auto" w:fill="auto"/>
          </w:tcPr>
          <w:p w:rsidRPr="000A4365" w:rsidR="000A4365" w:rsidP="00CF6D14" w:rsidRDefault="000A4365">
            <w:r w:rsidRPr="000A4365">
              <w:t>Mike Kost</w:t>
            </w:r>
          </w:p>
        </w:tc>
        <w:tc>
          <w:tcPr>
            <w:tcW w:w="2802" w:type="dxa"/>
            <w:shd w:val="clear" w:color="auto" w:fill="auto"/>
          </w:tcPr>
          <w:p w:rsidRPr="000A4365" w:rsidR="000A4365" w:rsidP="00CF6D14" w:rsidRDefault="000A4365">
            <w:r w:rsidRPr="000A4365">
              <w:t>kostma@michigan.gov</w:t>
            </w:r>
          </w:p>
        </w:tc>
      </w:tr>
      <w:tr w:rsidRPr="000A4365" w:rsidR="000A4365" w:rsidTr="000A4365">
        <w:tc>
          <w:tcPr>
            <w:tcW w:w="2268" w:type="dxa"/>
            <w:tcBorders>
              <w:left w:val="single" w:color="auto" w:sz="12" w:space="0"/>
              <w:bottom w:val="single" w:color="auto" w:sz="2" w:space="0"/>
            </w:tcBorders>
            <w:shd w:val="clear" w:color="auto" w:fill="auto"/>
          </w:tcPr>
          <w:p w:rsidRPr="000A4365" w:rsidR="000A4365" w:rsidP="00CF6D14" w:rsidRDefault="000A4365">
            <w:pPr>
              <w:rPr>
                <w:bCs/>
              </w:rPr>
            </w:pPr>
            <w:r w:rsidRPr="000A4365">
              <w:rPr>
                <w:bCs/>
              </w:rPr>
              <w:t>Brad Slaughter</w:t>
            </w:r>
          </w:p>
        </w:tc>
        <w:tc>
          <w:tcPr>
            <w:tcW w:w="2802" w:type="dxa"/>
            <w:tcBorders>
              <w:right w:val="single" w:color="000000" w:sz="12" w:space="0"/>
            </w:tcBorders>
            <w:shd w:val="clear" w:color="auto" w:fill="auto"/>
          </w:tcPr>
          <w:p w:rsidRPr="000A4365" w:rsidR="000A4365" w:rsidP="00CF6D14" w:rsidRDefault="000A4365">
            <w:r w:rsidRPr="000A4365">
              <w:t>slaughterb@michigan.gov</w:t>
            </w:r>
          </w:p>
        </w:tc>
        <w:tc>
          <w:tcPr>
            <w:tcW w:w="1704" w:type="dxa"/>
            <w:tcBorders>
              <w:left w:val="single" w:color="000000" w:sz="12" w:space="0"/>
              <w:bottom w:val="single" w:color="auto" w:sz="2" w:space="0"/>
            </w:tcBorders>
            <w:shd w:val="clear" w:color="auto" w:fill="auto"/>
          </w:tcPr>
          <w:p w:rsidRPr="000A4365" w:rsidR="000A4365" w:rsidP="00CF6D14" w:rsidRDefault="000A4365">
            <w:r w:rsidRPr="000A4365">
              <w:t xml:space="preserve">Becky </w:t>
            </w:r>
            <w:proofErr w:type="spellStart"/>
            <w:r w:rsidRPr="000A4365">
              <w:t>Schillo</w:t>
            </w:r>
            <w:proofErr w:type="spellEnd"/>
          </w:p>
        </w:tc>
        <w:tc>
          <w:tcPr>
            <w:tcW w:w="2802" w:type="dxa"/>
            <w:shd w:val="clear" w:color="auto" w:fill="auto"/>
          </w:tcPr>
          <w:p w:rsidRPr="000A4365" w:rsidR="000A4365" w:rsidP="00CF6D14" w:rsidRDefault="000A4365">
            <w:r w:rsidRPr="000A4365">
              <w:t>SchilloR@michigan.gov</w:t>
            </w:r>
          </w:p>
        </w:tc>
      </w:tr>
    </w:tbl>
    <w:p w:rsidR="000A4365" w:rsidP="000A4365" w:rsidRDefault="000A4365"/>
    <w:p w:rsidR="000A4365" w:rsidP="000A4365" w:rsidRDefault="000A4365">
      <w:pPr>
        <w:pStyle w:val="InfoPara"/>
      </w:pPr>
      <w:r>
        <w:t>Vegetation Type</w:t>
      </w:r>
    </w:p>
    <w:p w:rsidR="000A4365" w:rsidP="000A4365" w:rsidRDefault="000A4365">
      <w:r>
        <w:t>Herbaceous</w:t>
      </w:r>
    </w:p>
    <w:p w:rsidR="000A4365" w:rsidP="000A4365" w:rsidRDefault="000A4365">
      <w:pPr>
        <w:pStyle w:val="InfoPara"/>
      </w:pPr>
      <w:r>
        <w:t>Map Zones</w:t>
      </w:r>
    </w:p>
    <w:p w:rsidR="000A4365" w:rsidP="000A4365" w:rsidRDefault="000A4365">
      <w:r>
        <w:t>52</w:t>
      </w:r>
    </w:p>
    <w:p w:rsidR="000A4365" w:rsidP="000A4365" w:rsidRDefault="000A4365">
      <w:pPr>
        <w:pStyle w:val="InfoPara"/>
      </w:pPr>
      <w:r>
        <w:t>Geographic Range</w:t>
      </w:r>
    </w:p>
    <w:p w:rsidR="000A4365" w:rsidP="000A4365" w:rsidRDefault="000A4365">
      <w:r>
        <w:t xml:space="preserve">This </w:t>
      </w:r>
      <w:r w:rsidR="00D45B7A">
        <w:t>Biophysical Setting (</w:t>
      </w:r>
      <w:r>
        <w:t>BpS</w:t>
      </w:r>
      <w:r w:rsidR="00D45B7A">
        <w:t>)</w:t>
      </w:r>
      <w:r>
        <w:t xml:space="preserve"> occurs on glacial features such as kames, eskers, moraines, sandplains, along eoli</w:t>
      </w:r>
      <w:bookmarkStart w:name="_GoBack" w:id="0"/>
      <w:bookmarkEnd w:id="0"/>
      <w:r>
        <w:t>an dunes, and on lakeplains, excluding the Great Lakes, in the northern Midwest, primarily M</w:t>
      </w:r>
      <w:r w:rsidR="00D45B7A">
        <w:t>innesota</w:t>
      </w:r>
      <w:r>
        <w:t>, W</w:t>
      </w:r>
      <w:r w:rsidR="00D45B7A">
        <w:t>isconsin</w:t>
      </w:r>
      <w:r>
        <w:t xml:space="preserve"> and M</w:t>
      </w:r>
      <w:r w:rsidR="00D45B7A">
        <w:t>ichigan</w:t>
      </w:r>
      <w:r>
        <w:t xml:space="preserve"> (NatureServe 2007). In </w:t>
      </w:r>
      <w:r w:rsidR="00D45B7A">
        <w:t>map zone (</w:t>
      </w:r>
      <w:r>
        <w:t>MZ</w:t>
      </w:r>
      <w:r w:rsidR="00D45B7A">
        <w:t xml:space="preserve">) </w:t>
      </w:r>
      <w:r>
        <w:t xml:space="preserve">52, this system was likely of local occurrence, where prairie would have occupied small patches in a matrix of oak savanna and oak-hickory forest, likely concentrated in the Southern Michigan/Northern Indiana Drift Plains Ecoregion of northern </w:t>
      </w:r>
      <w:proofErr w:type="spellStart"/>
      <w:r>
        <w:t>I</w:t>
      </w:r>
      <w:r w:rsidR="00D45B7A">
        <w:t>indiana</w:t>
      </w:r>
      <w:proofErr w:type="spellEnd"/>
      <w:r>
        <w:t xml:space="preserve"> (Woods et al. 1998). Smaller, more widely dispersed occurrences would have occurred on appropriate substrates in the till plains of west-central O</w:t>
      </w:r>
      <w:r w:rsidR="00D45B7A">
        <w:t>hio</w:t>
      </w:r>
      <w:r>
        <w:t xml:space="preserve"> and central I</w:t>
      </w:r>
      <w:r w:rsidR="00D45B7A">
        <w:t>ndiana.</w:t>
      </w:r>
    </w:p>
    <w:p w:rsidR="000A4365" w:rsidP="000A4365" w:rsidRDefault="000A4365">
      <w:pPr>
        <w:pStyle w:val="InfoPara"/>
      </w:pPr>
      <w:r>
        <w:t>Biophysical Site Description</w:t>
      </w:r>
    </w:p>
    <w:p w:rsidR="000A4365" w:rsidP="000A4365" w:rsidRDefault="000A4365">
      <w:r>
        <w:t>Within MZ52, North-Central Interior Sand and Gravel Tallgrass Prairie occupied kames, eskers, moraines, lakeplains, and sandplains characterized by a sandy, rocky, or gravelly substrate. This BpS was likely concentrated in the Southern Michigan/Northern Indiana Drift Plains Ecoregion of northern Indiana, where these glacial features are common (Woods et al. 1998). The BpS also occurred locally on the rolling till plains of west-central Ohio and central Indiana, where substrate and natural disturbances favored the development of sand and gravel prairie. This model abstracts prairie types to include xeric and dry-mesic types (Curtis 1959).</w:t>
      </w:r>
    </w:p>
    <w:p w:rsidR="000A4365" w:rsidP="000A4365" w:rsidRDefault="000A4365">
      <w:pPr>
        <w:pStyle w:val="InfoPara"/>
      </w:pPr>
      <w:r>
        <w:t>Vegetation Description</w:t>
      </w:r>
    </w:p>
    <w:p w:rsidR="000A4365" w:rsidP="000A4365" w:rsidRDefault="000A4365">
      <w:r>
        <w:t xml:space="preserve">Grasses formed the matrix of the prairie with </w:t>
      </w:r>
      <w:proofErr w:type="spellStart"/>
      <w:r>
        <w:t>sideoats</w:t>
      </w:r>
      <w:proofErr w:type="spellEnd"/>
      <w:r>
        <w:t xml:space="preserve"> </w:t>
      </w:r>
      <w:proofErr w:type="spellStart"/>
      <w:r>
        <w:t>grama</w:t>
      </w:r>
      <w:proofErr w:type="spellEnd"/>
      <w:r>
        <w:t xml:space="preserve"> (</w:t>
      </w:r>
      <w:proofErr w:type="spellStart"/>
      <w:r w:rsidRPr="00D313D5">
        <w:rPr>
          <w:i/>
        </w:rPr>
        <w:t>Bouteloua</w:t>
      </w:r>
      <w:proofErr w:type="spellEnd"/>
      <w:r w:rsidRPr="00D313D5">
        <w:rPr>
          <w:i/>
        </w:rPr>
        <w:t xml:space="preserve"> </w:t>
      </w:r>
      <w:proofErr w:type="spellStart"/>
      <w:r w:rsidRPr="00D313D5">
        <w:rPr>
          <w:i/>
        </w:rPr>
        <w:t>curtipendula</w:t>
      </w:r>
      <w:proofErr w:type="spellEnd"/>
      <w:r>
        <w:t>) and little bluestem (</w:t>
      </w:r>
      <w:proofErr w:type="spellStart"/>
      <w:r w:rsidRPr="00D313D5">
        <w:rPr>
          <w:i/>
        </w:rPr>
        <w:t>Schizachyrium</w:t>
      </w:r>
      <w:proofErr w:type="spellEnd"/>
      <w:r w:rsidRPr="00D313D5">
        <w:rPr>
          <w:i/>
        </w:rPr>
        <w:t xml:space="preserve"> </w:t>
      </w:r>
      <w:proofErr w:type="spellStart"/>
      <w:r w:rsidRPr="00D313D5">
        <w:rPr>
          <w:i/>
        </w:rPr>
        <w:t>scoparium</w:t>
      </w:r>
      <w:proofErr w:type="spellEnd"/>
      <w:r>
        <w:t>) being the main indicator species. Big bluestem (</w:t>
      </w:r>
      <w:proofErr w:type="spellStart"/>
      <w:r w:rsidRPr="00D313D5">
        <w:rPr>
          <w:i/>
        </w:rPr>
        <w:t>Andropogon</w:t>
      </w:r>
      <w:proofErr w:type="spellEnd"/>
      <w:r w:rsidRPr="00D313D5">
        <w:rPr>
          <w:i/>
        </w:rPr>
        <w:t xml:space="preserve"> </w:t>
      </w:r>
      <w:proofErr w:type="spellStart"/>
      <w:r w:rsidRPr="00D313D5">
        <w:rPr>
          <w:i/>
        </w:rPr>
        <w:t>gerardii</w:t>
      </w:r>
      <w:proofErr w:type="spellEnd"/>
      <w:r>
        <w:t>), Indian grass (</w:t>
      </w:r>
      <w:proofErr w:type="spellStart"/>
      <w:r w:rsidRPr="00D313D5">
        <w:rPr>
          <w:i/>
        </w:rPr>
        <w:t>Sorghastrum</w:t>
      </w:r>
      <w:proofErr w:type="spellEnd"/>
      <w:r w:rsidRPr="00D313D5">
        <w:rPr>
          <w:i/>
        </w:rPr>
        <w:t xml:space="preserve"> </w:t>
      </w:r>
      <w:proofErr w:type="spellStart"/>
      <w:r w:rsidRPr="00D313D5">
        <w:rPr>
          <w:i/>
        </w:rPr>
        <w:t>nutans</w:t>
      </w:r>
      <w:proofErr w:type="spellEnd"/>
      <w:r>
        <w:t xml:space="preserve">), </w:t>
      </w:r>
      <w:proofErr w:type="spellStart"/>
      <w:r>
        <w:t>needlegrass</w:t>
      </w:r>
      <w:proofErr w:type="spellEnd"/>
      <w:r>
        <w:t xml:space="preserve"> (</w:t>
      </w:r>
      <w:proofErr w:type="spellStart"/>
      <w:r w:rsidRPr="00D313D5">
        <w:rPr>
          <w:i/>
        </w:rPr>
        <w:t>Hesperostipa</w:t>
      </w:r>
      <w:proofErr w:type="spellEnd"/>
      <w:r w:rsidRPr="00D313D5">
        <w:rPr>
          <w:i/>
        </w:rPr>
        <w:t xml:space="preserve"> </w:t>
      </w:r>
      <w:proofErr w:type="spellStart"/>
      <w:r w:rsidRPr="00D313D5">
        <w:rPr>
          <w:i/>
        </w:rPr>
        <w:t>spartea</w:t>
      </w:r>
      <w:proofErr w:type="spellEnd"/>
      <w:r>
        <w:t xml:space="preserve">) and prairie </w:t>
      </w:r>
      <w:proofErr w:type="spellStart"/>
      <w:r>
        <w:t>dropseed</w:t>
      </w:r>
      <w:proofErr w:type="spellEnd"/>
      <w:r>
        <w:t xml:space="preserve"> (</w:t>
      </w:r>
      <w:proofErr w:type="spellStart"/>
      <w:r w:rsidRPr="00D313D5">
        <w:rPr>
          <w:i/>
        </w:rPr>
        <w:t>Sporobolus</w:t>
      </w:r>
      <w:proofErr w:type="spellEnd"/>
      <w:r w:rsidRPr="00D313D5">
        <w:rPr>
          <w:i/>
        </w:rPr>
        <w:t xml:space="preserve"> </w:t>
      </w:r>
      <w:proofErr w:type="spellStart"/>
      <w:r w:rsidRPr="00D313D5">
        <w:rPr>
          <w:i/>
        </w:rPr>
        <w:t>heterolepsis</w:t>
      </w:r>
      <w:proofErr w:type="spellEnd"/>
      <w:r>
        <w:t>) also dominate many dry to dry-mesic prairies (Whitney 1994). Numerous forbs such as composites</w:t>
      </w:r>
      <w:r w:rsidR="002C1182">
        <w:t xml:space="preserve"> – </w:t>
      </w:r>
      <w:r w:rsidRPr="00D313D5" w:rsidR="002C1182">
        <w:rPr>
          <w:i/>
        </w:rPr>
        <w:t>Aster</w:t>
      </w:r>
      <w:r w:rsidR="002C1182">
        <w:t xml:space="preserve"> </w:t>
      </w:r>
      <w:r>
        <w:t xml:space="preserve">spp., </w:t>
      </w:r>
      <w:r w:rsidRPr="00D313D5">
        <w:rPr>
          <w:i/>
        </w:rPr>
        <w:t xml:space="preserve">Silphium </w:t>
      </w:r>
      <w:r>
        <w:t xml:space="preserve">spp., </w:t>
      </w:r>
      <w:proofErr w:type="spellStart"/>
      <w:r>
        <w:t>blazingstars</w:t>
      </w:r>
      <w:proofErr w:type="spellEnd"/>
      <w:r>
        <w:t xml:space="preserve"> (</w:t>
      </w:r>
      <w:proofErr w:type="spellStart"/>
      <w:r w:rsidRPr="00D313D5">
        <w:rPr>
          <w:i/>
        </w:rPr>
        <w:t>Liatris</w:t>
      </w:r>
      <w:proofErr w:type="spellEnd"/>
      <w:r w:rsidRPr="00D313D5">
        <w:rPr>
          <w:i/>
        </w:rPr>
        <w:t xml:space="preserve"> </w:t>
      </w:r>
      <w:r>
        <w:t>spp.) and coneflower (</w:t>
      </w:r>
      <w:r w:rsidRPr="00D313D5">
        <w:rPr>
          <w:i/>
        </w:rPr>
        <w:t>Echinacea pallida</w:t>
      </w:r>
      <w:r>
        <w:t>), legumes</w:t>
      </w:r>
      <w:r w:rsidR="002C1182">
        <w:t xml:space="preserve">, </w:t>
      </w:r>
      <w:r>
        <w:t>prairie clovers (</w:t>
      </w:r>
      <w:proofErr w:type="spellStart"/>
      <w:r w:rsidRPr="00D313D5">
        <w:rPr>
          <w:i/>
        </w:rPr>
        <w:t>Petalostemum</w:t>
      </w:r>
      <w:proofErr w:type="spellEnd"/>
      <w:r>
        <w:t xml:space="preserve"> spp.), </w:t>
      </w:r>
      <w:proofErr w:type="spellStart"/>
      <w:r>
        <w:t>roundheaded</w:t>
      </w:r>
      <w:proofErr w:type="spellEnd"/>
      <w:r>
        <w:t xml:space="preserve"> </w:t>
      </w:r>
      <w:proofErr w:type="spellStart"/>
      <w:r>
        <w:t>bushclover</w:t>
      </w:r>
      <w:proofErr w:type="spellEnd"/>
      <w:r>
        <w:t xml:space="preserve"> (</w:t>
      </w:r>
      <w:r w:rsidRPr="00D313D5">
        <w:rPr>
          <w:i/>
        </w:rPr>
        <w:t xml:space="preserve">Lespedeza </w:t>
      </w:r>
      <w:proofErr w:type="spellStart"/>
      <w:r w:rsidRPr="00D313D5">
        <w:rPr>
          <w:i/>
        </w:rPr>
        <w:t>capitata</w:t>
      </w:r>
      <w:proofErr w:type="spellEnd"/>
      <w:r>
        <w:t>) and leadplant (</w:t>
      </w:r>
      <w:proofErr w:type="spellStart"/>
      <w:r w:rsidRPr="00D313D5">
        <w:rPr>
          <w:i/>
        </w:rPr>
        <w:t>Amorpha</w:t>
      </w:r>
      <w:proofErr w:type="spellEnd"/>
      <w:r w:rsidRPr="00D313D5">
        <w:rPr>
          <w:i/>
        </w:rPr>
        <w:t xml:space="preserve"> </w:t>
      </w:r>
      <w:proofErr w:type="spellStart"/>
      <w:r w:rsidRPr="00D313D5">
        <w:rPr>
          <w:i/>
        </w:rPr>
        <w:t>canescens</w:t>
      </w:r>
      <w:proofErr w:type="spellEnd"/>
      <w:r>
        <w:t>) amongst many others</w:t>
      </w:r>
      <w:r w:rsidR="002C1182">
        <w:t xml:space="preserve"> – were </w:t>
      </w:r>
      <w:r>
        <w:t>also present. Fuel complexes consisted of short- or tall-grass prairie forbs and shrubs with little or no tree regeneration.</w:t>
      </w:r>
    </w:p>
    <w:p w:rsidR="000A4365" w:rsidP="000A4365" w:rsidRDefault="000A4365"/>
    <w:p w:rsidR="000A4365" w:rsidP="000A4365" w:rsidRDefault="000A4365">
      <w:r>
        <w:lastRenderedPageBreak/>
        <w:t>Oak grubs and shrubs characterize this system. Recurring fires in advanced oak regeneration stimulates the resprouting response evidenced by the grubs or multi-stemmed stump sprouts of black oak (</w:t>
      </w:r>
      <w:r w:rsidRPr="00D313D5">
        <w:rPr>
          <w:i/>
        </w:rPr>
        <w:t xml:space="preserve">Q. </w:t>
      </w:r>
      <w:proofErr w:type="spellStart"/>
      <w:r w:rsidRPr="00D313D5">
        <w:rPr>
          <w:i/>
        </w:rPr>
        <w:t>velutina</w:t>
      </w:r>
      <w:proofErr w:type="spellEnd"/>
      <w:r>
        <w:t>), bur oak (</w:t>
      </w:r>
      <w:r w:rsidRPr="00D313D5">
        <w:rPr>
          <w:i/>
        </w:rPr>
        <w:t xml:space="preserve">Q. </w:t>
      </w:r>
      <w:proofErr w:type="spellStart"/>
      <w:r w:rsidRPr="00D313D5">
        <w:rPr>
          <w:i/>
        </w:rPr>
        <w:t>macrocarpa</w:t>
      </w:r>
      <w:proofErr w:type="spellEnd"/>
      <w:r>
        <w:t>), white oak (</w:t>
      </w:r>
      <w:r w:rsidRPr="00D313D5">
        <w:rPr>
          <w:i/>
        </w:rPr>
        <w:t>Q. alba)</w:t>
      </w:r>
      <w:r>
        <w:t xml:space="preserve"> and others (Abrams 1992). Shrub species include New Jersey tea (</w:t>
      </w:r>
      <w:r w:rsidRPr="00D313D5">
        <w:rPr>
          <w:i/>
        </w:rPr>
        <w:t xml:space="preserve">Ceanothus </w:t>
      </w:r>
      <w:proofErr w:type="spellStart"/>
      <w:r w:rsidRPr="00D313D5">
        <w:rPr>
          <w:i/>
        </w:rPr>
        <w:t>americanus</w:t>
      </w:r>
      <w:proofErr w:type="spellEnd"/>
      <w:r>
        <w:t>), hazelnut (</w:t>
      </w:r>
      <w:proofErr w:type="spellStart"/>
      <w:r w:rsidRPr="00D313D5">
        <w:rPr>
          <w:i/>
        </w:rPr>
        <w:t>Coylus</w:t>
      </w:r>
      <w:proofErr w:type="spellEnd"/>
      <w:r w:rsidRPr="00D313D5">
        <w:rPr>
          <w:i/>
        </w:rPr>
        <w:t xml:space="preserve">, </w:t>
      </w:r>
      <w:proofErr w:type="spellStart"/>
      <w:r w:rsidRPr="00D313D5">
        <w:rPr>
          <w:i/>
        </w:rPr>
        <w:t>americana</w:t>
      </w:r>
      <w:proofErr w:type="spellEnd"/>
      <w:r>
        <w:t>), gray dogwood (</w:t>
      </w:r>
      <w:proofErr w:type="spellStart"/>
      <w:r w:rsidRPr="00D313D5">
        <w:rPr>
          <w:i/>
        </w:rPr>
        <w:t>Cornus</w:t>
      </w:r>
      <w:proofErr w:type="spellEnd"/>
      <w:r w:rsidRPr="00D313D5">
        <w:rPr>
          <w:i/>
        </w:rPr>
        <w:t xml:space="preserve"> </w:t>
      </w:r>
      <w:proofErr w:type="spellStart"/>
      <w:r w:rsidRPr="00D313D5">
        <w:rPr>
          <w:i/>
        </w:rPr>
        <w:t>racemosa</w:t>
      </w:r>
      <w:proofErr w:type="spellEnd"/>
      <w:r>
        <w:t>) and sumac (</w:t>
      </w:r>
      <w:proofErr w:type="spellStart"/>
      <w:r w:rsidRPr="00D313D5">
        <w:rPr>
          <w:i/>
        </w:rPr>
        <w:t>Rhus</w:t>
      </w:r>
      <w:proofErr w:type="spellEnd"/>
      <w:r>
        <w:t xml:space="preserve"> spp.). Over a period of years, massive root systems developed, and the term </w:t>
      </w:r>
      <w:r w:rsidR="002C1182">
        <w:t>"</w:t>
      </w:r>
      <w:r>
        <w:t>grub</w:t>
      </w:r>
      <w:r w:rsidR="002C1182">
        <w:t>"</w:t>
      </w:r>
      <w:r>
        <w:t xml:space="preserve"> (from the German </w:t>
      </w:r>
      <w:proofErr w:type="spellStart"/>
      <w:r w:rsidRPr="00D313D5">
        <w:rPr>
          <w:i/>
        </w:rPr>
        <w:t>gruben</w:t>
      </w:r>
      <w:proofErr w:type="spellEnd"/>
      <w:r>
        <w:t>, 'to dig'), referenced the laborious method of removing these root wads in clearing areas for planting (Anderson and Bowles 1999). Fuel complexes were characterized as “stunted brush prairie” comprised of mixed prairie grasses and forbs with coppicing oak stems about 1-1.5m in height (Curtis 1959, Anderson and Bowles 1999).</w:t>
      </w:r>
    </w:p>
    <w:p w:rsidR="000A4365" w:rsidP="000A4365" w:rsidRDefault="000A4365">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HESP11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spartea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Porcupinegrass</w:t>
            </w:r>
          </w:p>
        </w:tc>
      </w:tr>
    </w:tbl>
    <w:p>
      <w:r>
        <w:rPr>
          <w:sz w:val="16"/>
        </w:rPr>
        <w:t>Species names are from the NRCS PLANTS database. Check species codes at http://plants.usda.gov.</w:t>
      </w:r>
    </w:p>
    <w:p w:rsidR="000A4365" w:rsidP="000A4365" w:rsidRDefault="000A4365">
      <w:pPr>
        <w:pStyle w:val="InfoPara"/>
      </w:pPr>
      <w:r>
        <w:t>Disturbance Description</w:t>
      </w:r>
    </w:p>
    <w:p w:rsidR="000A4365" w:rsidP="000A4365" w:rsidRDefault="000A4365">
      <w:r>
        <w:t>Historically, before European settlement, frequent fires impacted this prairie system every 1-5yrs, maintaining grass and forb vegetation. Insect and small mammal herbivory impacts composition and dominance (Howe et al 2006). Large mammals were present in low densities, main grazers were elk and deer with impacts likely being minimal.</w:t>
      </w:r>
    </w:p>
    <w:p w:rsidR="000A4365" w:rsidP="000A4365" w:rsidRDefault="000A4365"/>
    <w:p w:rsidR="000A4365" w:rsidP="000A4365" w:rsidRDefault="000A4365">
      <w:r>
        <w:t xml:space="preserve">Shrub and tree establishment and longevity was influenced by fire intensity and return interval. </w:t>
      </w:r>
    </w:p>
    <w:p w:rsidR="000A4365" w:rsidP="000A4365" w:rsidRDefault="000A4365"/>
    <w:p w:rsidR="000A4365" w:rsidP="000A4365" w:rsidRDefault="000A4365">
      <w:r>
        <w:t>Fire intensity will be influenced by topography, weather, productivity and aspect. For example, productive soils on level terrains supported more intensive fires and the areas with fire breaks or leeward sides/north-facing slopes generally supported more savanna types. Fire intensity varied based on humidity and temperature. Fire intensity also varies with aspect and slope. For example</w:t>
      </w:r>
      <w:r w:rsidR="002C1182">
        <w:t>,</w:t>
      </w:r>
      <w:r>
        <w:t xml:space="preserve"> south and west facing steep slopes would have burned at a higher intensity resulting in few trees and shrubs.</w:t>
      </w:r>
    </w:p>
    <w:p w:rsidR="000A4365" w:rsidP="000A4365" w:rsidRDefault="000A4365"/>
    <w:p w:rsidR="000A4365" w:rsidP="000A4365" w:rsidRDefault="000A4365">
      <w:r>
        <w:t>Oak wilt occurred on sand prairies and likely resulted in mortality of larger oak groups especially when they occurred in high densities. This was not modeled due to the general lack of larger oak groups in this BpS.</w:t>
      </w:r>
    </w:p>
    <w:p w:rsidR="000A4365" w:rsidP="000A4365" w:rsidRDefault="000A4365"/>
    <w:p w:rsidR="000A4365" w:rsidP="000A4365" w:rsidRDefault="000A4365">
      <w:r>
        <w:t>Diseases and insects can impact species composition. However, specific impacts are not clearly understood and therefore not modeled.</w:t>
      </w:r>
    </w:p>
    <w:p w:rsidR="000A4365" w:rsidP="000A4365" w:rsidRDefault="000A4365"/>
    <w:p w:rsidR="000A4365" w:rsidP="000A4365" w:rsidRDefault="002C1182">
      <w:r>
        <w:t>T</w:t>
      </w:r>
      <w:r w:rsidR="000A4365">
        <w:t>here was a grazing and fire interaction</w:t>
      </w:r>
      <w:r>
        <w:t xml:space="preserve"> within the western ranges of this type in Wisconsin and Minnesota</w:t>
      </w:r>
      <w:r w:rsidR="000A4365">
        <w:t>. As one moves east in this region fire increases to where it is the major disturbance factor for this type and grazing drops out as an influence.</w:t>
      </w:r>
    </w:p>
    <w:p w:rsidR="000A4365" w:rsidP="000A4365" w:rsidRDefault="000A4365"/>
    <w:p w:rsidR="000A4365" w:rsidP="000A4365" w:rsidRDefault="000A4365">
      <w:r>
        <w:t xml:space="preserve">Proximity of seed source is important to probability of shrub and tree invasion. Proximity is related to isolation of trees/ shrubs. Less edge equals lower probability of tree/shrub invasion. </w:t>
      </w:r>
    </w:p>
    <w:p w:rsidR="000A4365" w:rsidP="000A4365" w:rsidRDefault="000A4365"/>
    <w:p w:rsidR="000A4365" w:rsidP="000A4365" w:rsidRDefault="000A4365">
      <w:r>
        <w:lastRenderedPageBreak/>
        <w:t>Health and vigor of the sod influences shrub/tree invasion. Better health of sod reduces probability of successful establishment of trees and shrubs.</w:t>
      </w:r>
    </w:p>
    <w:p w:rsidR="000A4365" w:rsidP="000A4365" w:rsidRDefault="000A4365">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w:t>
            </w:r>
          </w:p>
        </w:tc>
        <w:tc>
          <w:p>
            <w:pPr>
              <w:jc w:val="center"/>
            </w:pPr>
            <w:r>
              <w:t>96</w:t>
            </w:r>
          </w:p>
        </w:tc>
        <w:tc>
          <w:p>
            <w:pPr>
              <w:jc w:val="center"/>
            </w:pPr>
            <w:r>
              <w:t>1</w:t>
            </w:r>
          </w:p>
        </w:tc>
        <w:tc>
          <w:p>
            <w:pPr>
              <w:jc w:val="center"/>
            </w:pPr>
            <w:r>
              <w:t>8</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90</w:t>
            </w:r>
          </w:p>
        </w:tc>
        <w:tc>
          <w:p>
            <w:pPr>
              <w:jc w:val="center"/>
            </w:pPr>
            <w:r>
              <w:t>4</w:t>
            </w:r>
          </w:p>
        </w:tc>
        <w:tc>
          <w:p>
            <w:pPr>
              <w:jc w:val="center"/>
            </w:pPr>
            <w:r>
              <w:t/>
            </w:r>
          </w:p>
        </w:tc>
        <w:tc>
          <w:p>
            <w:pPr>
              <w:jc w:val="center"/>
            </w:pPr>
            <w:r>
              <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4365" w:rsidP="000A4365" w:rsidRDefault="000A4365">
      <w:pPr>
        <w:pStyle w:val="InfoPara"/>
      </w:pPr>
      <w:r>
        <w:t>Scale Description</w:t>
      </w:r>
    </w:p>
    <w:p w:rsidR="000A4365" w:rsidP="000A4365" w:rsidRDefault="000A4365">
      <w:r>
        <w:t>Within regions of varied topography, type patches are typically small (&lt;200ac) limited by topography, but in regions of level topography on extensive sands and gravel deposits these could be much larger.</w:t>
      </w:r>
    </w:p>
    <w:p w:rsidR="000A4365" w:rsidP="000A4365" w:rsidRDefault="000A4365">
      <w:pPr>
        <w:pStyle w:val="InfoPara"/>
      </w:pPr>
      <w:r>
        <w:t>Adjacency or Identification Concerns</w:t>
      </w:r>
    </w:p>
    <w:p w:rsidR="000A4365" w:rsidP="000A4365" w:rsidRDefault="000A4365">
      <w:r>
        <w:t xml:space="preserve">North-central interior oak savanna, North-central oak barrens, central tallgrass prairie, and adjacent sedge meadows and wet prairie are the systems that would be adjacent to this BpS. </w:t>
      </w:r>
    </w:p>
    <w:p w:rsidR="000A4365" w:rsidP="000A4365" w:rsidRDefault="000A4365"/>
    <w:p w:rsidR="000A4365" w:rsidP="000A4365" w:rsidRDefault="000A4365">
      <w:r>
        <w:t>Synonymous local classifications include bluff prairie, hill prairie, sand prairie, limestone prairie, dry prairie</w:t>
      </w:r>
    </w:p>
    <w:p w:rsidR="000A4365" w:rsidP="000A4365" w:rsidRDefault="000A4365"/>
    <w:p w:rsidR="000A4365" w:rsidP="000A4365" w:rsidRDefault="000A4365">
      <w:r>
        <w:t xml:space="preserve">This Bps might be confused with the central tallgrass prairie systems. </w:t>
      </w:r>
    </w:p>
    <w:p w:rsidR="000A4365" w:rsidP="000A4365" w:rsidRDefault="000A4365"/>
    <w:p w:rsidR="000A4365" w:rsidP="000A4365" w:rsidRDefault="000A4365">
      <w:r>
        <w:t>In the absence of historic fire invasive problems have increased dramatically, including eastern red cedar (</w:t>
      </w:r>
      <w:proofErr w:type="spellStart"/>
      <w:r w:rsidRPr="00D313D5">
        <w:rPr>
          <w:i/>
        </w:rPr>
        <w:t>Juniperus</w:t>
      </w:r>
      <w:proofErr w:type="spellEnd"/>
      <w:r w:rsidRPr="00D313D5">
        <w:rPr>
          <w:i/>
        </w:rPr>
        <w:t xml:space="preserve"> </w:t>
      </w:r>
      <w:proofErr w:type="spellStart"/>
      <w:r w:rsidRPr="00D313D5">
        <w:rPr>
          <w:i/>
        </w:rPr>
        <w:t>virginiana</w:t>
      </w:r>
      <w:proofErr w:type="spellEnd"/>
      <w:r>
        <w:t>). Exotics that have become invasive due to agricultural practices and roadside plantings include leafy spurge (</w:t>
      </w:r>
      <w:r w:rsidRPr="00D313D5">
        <w:rPr>
          <w:i/>
        </w:rPr>
        <w:t xml:space="preserve">Euphorbia </w:t>
      </w:r>
      <w:proofErr w:type="spellStart"/>
      <w:r w:rsidRPr="00D313D5">
        <w:rPr>
          <w:i/>
        </w:rPr>
        <w:t>esula</w:t>
      </w:r>
      <w:proofErr w:type="spellEnd"/>
      <w:r>
        <w:t>), knapweed, sweet clover (</w:t>
      </w:r>
      <w:proofErr w:type="spellStart"/>
      <w:r w:rsidRPr="00D313D5">
        <w:rPr>
          <w:i/>
        </w:rPr>
        <w:t>Melilotus</w:t>
      </w:r>
      <w:proofErr w:type="spellEnd"/>
      <w:r w:rsidRPr="00D313D5">
        <w:rPr>
          <w:i/>
        </w:rPr>
        <w:t xml:space="preserve"> alba</w:t>
      </w:r>
      <w:r>
        <w:t>), and crown vetch, and birds foot trefoil. Domestic livestock grazing is also an issue.</w:t>
      </w:r>
    </w:p>
    <w:p w:rsidR="000A4365" w:rsidP="000A4365" w:rsidRDefault="000A4365"/>
    <w:p w:rsidR="000A4365" w:rsidP="000A4365" w:rsidRDefault="000A4365">
      <w:r>
        <w:t>Today this system has severely reduced native cover (</w:t>
      </w:r>
      <w:r w:rsidR="002C1182">
        <w:t>~</w:t>
      </w:r>
      <w:r>
        <w:t>99% loss) due to conversion to other uses such as agriculture. Altering of the type is due to grazing and reduced fire resulting in greater shrub and tree component</w:t>
      </w:r>
      <w:r w:rsidR="002C1182">
        <w:t xml:space="preserve">, </w:t>
      </w:r>
      <w:proofErr w:type="spellStart"/>
      <w:r w:rsidR="002C1182">
        <w:t>e.g</w:t>
      </w:r>
      <w:proofErr w:type="spellEnd"/>
      <w:r w:rsidR="002C1182">
        <w:t xml:space="preserve">, </w:t>
      </w:r>
      <w:r>
        <w:t>red cedar (</w:t>
      </w:r>
      <w:proofErr w:type="spellStart"/>
      <w:r w:rsidRPr="00D313D5">
        <w:rPr>
          <w:i/>
        </w:rPr>
        <w:t>Juniperus</w:t>
      </w:r>
      <w:proofErr w:type="spellEnd"/>
      <w:r w:rsidRPr="00D313D5">
        <w:rPr>
          <w:i/>
        </w:rPr>
        <w:t xml:space="preserve"> </w:t>
      </w:r>
      <w:proofErr w:type="spellStart"/>
      <w:r w:rsidRPr="00D313D5">
        <w:rPr>
          <w:i/>
        </w:rPr>
        <w:t>virginiana</w:t>
      </w:r>
      <w:proofErr w:type="spellEnd"/>
      <w:r w:rsidRPr="00D313D5">
        <w:rPr>
          <w:i/>
        </w:rPr>
        <w:t>),</w:t>
      </w:r>
      <w:r>
        <w:t xml:space="preserve"> oak species (</w:t>
      </w:r>
      <w:r w:rsidRPr="00D313D5">
        <w:rPr>
          <w:i/>
        </w:rPr>
        <w:t xml:space="preserve">Quercus </w:t>
      </w:r>
      <w:r>
        <w:t>spp.,</w:t>
      </w:r>
      <w:r w:rsidR="002C1182">
        <w:t>)</w:t>
      </w:r>
      <w:r>
        <w:t xml:space="preserve"> and a variety of native and non</w:t>
      </w:r>
      <w:r w:rsidR="002C1182">
        <w:t>-</w:t>
      </w:r>
      <w:r>
        <w:t>native shrubs, and non</w:t>
      </w:r>
      <w:r w:rsidR="002C1182">
        <w:t>-</w:t>
      </w:r>
      <w:r>
        <w:t xml:space="preserve">native cool season grasses (brome, bluegrass, </w:t>
      </w:r>
      <w:proofErr w:type="spellStart"/>
      <w:r>
        <w:t>quackgrass</w:t>
      </w:r>
      <w:proofErr w:type="spellEnd"/>
      <w:r>
        <w:t>, redtop)</w:t>
      </w:r>
      <w:r w:rsidR="002C1182">
        <w:t>,</w:t>
      </w:r>
      <w:r>
        <w:t xml:space="preserve"> resulting in reduced diversity.</w:t>
      </w:r>
    </w:p>
    <w:p w:rsidR="000A4365" w:rsidP="000A4365" w:rsidRDefault="000A4365"/>
    <w:p w:rsidR="000A4365" w:rsidP="000A4365" w:rsidRDefault="000A4365">
      <w:r>
        <w:t>Agriculture on level sand prairie where irrigation will support crops is a type conversion that might be present today such that the historical condition is unidentifiable. Invasion of cool season grasses and shrubs often mask the identification of this type.</w:t>
      </w:r>
    </w:p>
    <w:p w:rsidR="000A4365" w:rsidP="000A4365" w:rsidRDefault="000A4365"/>
    <w:p w:rsidR="000A4365" w:rsidP="000A4365" w:rsidRDefault="000A4365">
      <w:r>
        <w:t>Again, species composition and structure was dependent on local factors such as topography, soil conditions, fire regime, plant competition, and plant-animal interactions (Anderson and Bowles 1999).</w:t>
      </w:r>
    </w:p>
    <w:p w:rsidR="000A4365" w:rsidP="000A4365" w:rsidRDefault="000A4365">
      <w:pPr>
        <w:pStyle w:val="InfoPara"/>
      </w:pPr>
      <w:r>
        <w:t>Issues or Problems</w:t>
      </w:r>
    </w:p>
    <w:p w:rsidR="000A4365" w:rsidP="000A4365" w:rsidRDefault="000A4365">
      <w:r>
        <w:lastRenderedPageBreak/>
        <w:t>The plant/animal interactions are not fully understood for this model and numerous studies of these phenomena are ongoing. Research exists for bison/fire interaction in detail. Also, there is possible overlap with the North-Central Interior Oak Savanna model. There is variation in oak species composition across the broad region covered by this model (i.e., bur oak [</w:t>
      </w:r>
      <w:r w:rsidRPr="00D313D5">
        <w:rPr>
          <w:i/>
        </w:rPr>
        <w:t xml:space="preserve">Quercus </w:t>
      </w:r>
      <w:proofErr w:type="spellStart"/>
      <w:r w:rsidRPr="00D313D5">
        <w:rPr>
          <w:i/>
        </w:rPr>
        <w:t>macrocarpa</w:t>
      </w:r>
      <w:proofErr w:type="spellEnd"/>
      <w:r>
        <w:t xml:space="preserve">] occurs in the western portion of the range). </w:t>
      </w:r>
    </w:p>
    <w:p w:rsidR="000A4365" w:rsidP="000A4365" w:rsidRDefault="000A4365"/>
    <w:p w:rsidR="000A4365" w:rsidP="000A4365" w:rsidRDefault="000A4365">
      <w:r>
        <w:t>For all oak systems, oak wilt is becoming more wide-spread due to an increased number of mature oaks, and the amount of wood being moved around.</w:t>
      </w:r>
    </w:p>
    <w:p w:rsidR="000A4365" w:rsidP="000A4365" w:rsidRDefault="000A4365">
      <w:pPr>
        <w:pStyle w:val="InfoPara"/>
      </w:pPr>
      <w:r>
        <w:t>Native Uncharacteristic Conditions</w:t>
      </w:r>
    </w:p>
    <w:p w:rsidR="000A4365" w:rsidP="000A4365" w:rsidRDefault="000A4365">
      <w:r>
        <w:t>Many small trees and shrubs would be uncharacteristic of this system historically but occurs today due to the lack of fire. Domestic livestock grazing has eliminated many native species and has altered species composition. There is not much of the grassy stages left due to altered fire regimes and with grazing the species have shifted.</w:t>
      </w:r>
    </w:p>
    <w:p w:rsidR="000A4365" w:rsidP="000A4365" w:rsidRDefault="000A4365">
      <w:pPr>
        <w:pStyle w:val="InfoPara"/>
      </w:pPr>
      <w:r>
        <w:t>Comments</w:t>
      </w:r>
    </w:p>
    <w:p w:rsidR="00EC7050" w:rsidP="00EC7050" w:rsidRDefault="00EC7050">
      <w:pPr>
        <w:rPr>
          <w:b/>
        </w:rPr>
      </w:pPr>
    </w:p>
    <w:p w:rsidR="000A4365" w:rsidP="000A4365" w:rsidRDefault="000A4365">
      <w:pPr>
        <w:pStyle w:val="ReportSection"/>
      </w:pPr>
      <w:r>
        <w:t>Succession Classes</w:t>
      </w:r>
    </w:p>
    <w:p w:rsidR="000A4365" w:rsidP="000A4365" w:rsidRDefault="000A4365"/>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4365" w:rsidP="000A4365" w:rsidRDefault="000A4365">
      <w:pPr>
        <w:pStyle w:val="InfoPara"/>
        <w:pBdr>
          <w:top w:val="single" w:color="auto" w:sz="4" w:space="1"/>
        </w:pBdr>
      </w:pPr>
      <w:r xmlns:w="http://schemas.openxmlformats.org/wordprocessingml/2006/main">
        <w:t>Class A</w:t>
      </w:r>
      <w:r xmlns:w="http://schemas.openxmlformats.org/wordprocessingml/2006/main">
        <w:tab/>
        <w:t>81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0A4365" w:rsidP="000A4365" w:rsidRDefault="000A436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880"/>
        <w:gridCol w:w="1860"/>
        <w:gridCol w:w="1956"/>
      </w:tblGrid>
      <w:tr w:rsidRPr="000A4365" w:rsidR="000A4365" w:rsidTr="000A4365">
        <w:tc>
          <w:tcPr>
            <w:tcW w:w="1176" w:type="dxa"/>
            <w:tcBorders>
              <w:top w:val="single" w:color="auto" w:sz="2" w:space="0"/>
              <w:bottom w:val="single" w:color="000000" w:sz="12" w:space="0"/>
            </w:tcBorders>
            <w:shd w:val="clear" w:color="auto" w:fill="auto"/>
          </w:tcPr>
          <w:p w:rsidRPr="000A4365" w:rsidR="000A4365" w:rsidP="000819E6" w:rsidRDefault="000A4365">
            <w:pPr>
              <w:rPr>
                <w:b/>
                <w:bCs/>
              </w:rPr>
            </w:pPr>
            <w:r w:rsidRPr="000A4365">
              <w:rPr>
                <w:b/>
                <w:bCs/>
              </w:rPr>
              <w:t>Symbol</w:t>
            </w:r>
          </w:p>
        </w:tc>
        <w:tc>
          <w:tcPr>
            <w:tcW w:w="2880" w:type="dxa"/>
            <w:tcBorders>
              <w:top w:val="single" w:color="auto" w:sz="2" w:space="0"/>
              <w:bottom w:val="single" w:color="000000" w:sz="12" w:space="0"/>
            </w:tcBorders>
            <w:shd w:val="clear" w:color="auto" w:fill="auto"/>
          </w:tcPr>
          <w:p w:rsidRPr="000A4365" w:rsidR="000A4365" w:rsidP="000819E6" w:rsidRDefault="000A4365">
            <w:pPr>
              <w:rPr>
                <w:b/>
                <w:bCs/>
              </w:rPr>
            </w:pPr>
            <w:r w:rsidRPr="000A4365">
              <w:rPr>
                <w:b/>
                <w:bCs/>
              </w:rPr>
              <w:t>Scientific Name</w:t>
            </w:r>
          </w:p>
        </w:tc>
        <w:tc>
          <w:tcPr>
            <w:tcW w:w="1860" w:type="dxa"/>
            <w:tcBorders>
              <w:top w:val="single" w:color="auto" w:sz="2" w:space="0"/>
              <w:bottom w:val="single" w:color="000000" w:sz="12" w:space="0"/>
            </w:tcBorders>
            <w:shd w:val="clear" w:color="auto" w:fill="auto"/>
          </w:tcPr>
          <w:p w:rsidRPr="000A4365" w:rsidR="000A4365" w:rsidP="000819E6" w:rsidRDefault="000A4365">
            <w:pPr>
              <w:rPr>
                <w:b/>
                <w:bCs/>
              </w:rPr>
            </w:pPr>
            <w:r w:rsidRPr="000A4365">
              <w:rPr>
                <w:b/>
                <w:bCs/>
              </w:rPr>
              <w:t>Common Name</w:t>
            </w:r>
          </w:p>
        </w:tc>
        <w:tc>
          <w:tcPr>
            <w:tcW w:w="1956" w:type="dxa"/>
            <w:tcBorders>
              <w:top w:val="single" w:color="auto" w:sz="2" w:space="0"/>
              <w:bottom w:val="single" w:color="000000" w:sz="12" w:space="0"/>
            </w:tcBorders>
            <w:shd w:val="clear" w:color="auto" w:fill="auto"/>
          </w:tcPr>
          <w:p w:rsidRPr="000A4365" w:rsidR="000A4365" w:rsidP="000819E6" w:rsidRDefault="000A4365">
            <w:pPr>
              <w:rPr>
                <w:b/>
                <w:bCs/>
              </w:rPr>
            </w:pPr>
            <w:r w:rsidRPr="000A4365">
              <w:rPr>
                <w:b/>
                <w:bCs/>
              </w:rPr>
              <w:t>Canopy Position</w:t>
            </w:r>
          </w:p>
        </w:tc>
      </w:tr>
      <w:tr w:rsidRPr="000A4365" w:rsidR="000A4365" w:rsidTr="000A4365">
        <w:tc>
          <w:tcPr>
            <w:tcW w:w="1176" w:type="dxa"/>
            <w:tcBorders>
              <w:top w:val="single" w:color="000000" w:sz="12" w:space="0"/>
            </w:tcBorders>
            <w:shd w:val="clear" w:color="auto" w:fill="auto"/>
          </w:tcPr>
          <w:p w:rsidRPr="000A4365" w:rsidR="000A4365" w:rsidP="000819E6" w:rsidRDefault="000A4365">
            <w:pPr>
              <w:rPr>
                <w:bCs/>
              </w:rPr>
            </w:pPr>
            <w:r w:rsidRPr="000A4365">
              <w:rPr>
                <w:bCs/>
              </w:rPr>
              <w:t>SCSC</w:t>
            </w:r>
          </w:p>
        </w:tc>
        <w:tc>
          <w:tcPr>
            <w:tcW w:w="2880" w:type="dxa"/>
            <w:tcBorders>
              <w:top w:val="single" w:color="000000" w:sz="12" w:space="0"/>
            </w:tcBorders>
            <w:shd w:val="clear" w:color="auto" w:fill="auto"/>
          </w:tcPr>
          <w:p w:rsidRPr="000A4365" w:rsidR="000A4365" w:rsidP="000819E6" w:rsidRDefault="000A4365">
            <w:proofErr w:type="spellStart"/>
            <w:r w:rsidRPr="000A4365">
              <w:t>Schizachyrium</w:t>
            </w:r>
            <w:proofErr w:type="spellEnd"/>
            <w:r w:rsidRPr="000A4365">
              <w:t xml:space="preserve"> </w:t>
            </w:r>
            <w:proofErr w:type="spellStart"/>
            <w:r w:rsidRPr="000A4365">
              <w:t>scoparium</w:t>
            </w:r>
            <w:proofErr w:type="spellEnd"/>
          </w:p>
        </w:tc>
        <w:tc>
          <w:tcPr>
            <w:tcW w:w="1860" w:type="dxa"/>
            <w:tcBorders>
              <w:top w:val="single" w:color="000000" w:sz="12" w:space="0"/>
            </w:tcBorders>
            <w:shd w:val="clear" w:color="auto" w:fill="auto"/>
          </w:tcPr>
          <w:p w:rsidRPr="000A4365" w:rsidR="000A4365" w:rsidP="000819E6" w:rsidRDefault="000A4365">
            <w:r w:rsidRPr="000A4365">
              <w:t>Little bluestem</w:t>
            </w:r>
          </w:p>
        </w:tc>
        <w:tc>
          <w:tcPr>
            <w:tcW w:w="1956" w:type="dxa"/>
            <w:tcBorders>
              <w:top w:val="single" w:color="000000" w:sz="12" w:space="0"/>
            </w:tcBorders>
            <w:shd w:val="clear" w:color="auto" w:fill="auto"/>
          </w:tcPr>
          <w:p w:rsidRPr="000A4365" w:rsidR="000A4365" w:rsidP="000819E6" w:rsidRDefault="000A4365">
            <w:r w:rsidRPr="000A4365">
              <w:t>Upper</w:t>
            </w:r>
          </w:p>
        </w:tc>
      </w:tr>
      <w:tr w:rsidRPr="000A4365" w:rsidR="000A4365" w:rsidTr="000A4365">
        <w:tc>
          <w:tcPr>
            <w:tcW w:w="1176" w:type="dxa"/>
            <w:shd w:val="clear" w:color="auto" w:fill="auto"/>
          </w:tcPr>
          <w:p w:rsidRPr="000A4365" w:rsidR="000A4365" w:rsidP="000819E6" w:rsidRDefault="000A4365">
            <w:pPr>
              <w:rPr>
                <w:bCs/>
              </w:rPr>
            </w:pPr>
            <w:r w:rsidRPr="000A4365">
              <w:rPr>
                <w:bCs/>
              </w:rPr>
              <w:t>SONU2</w:t>
            </w:r>
          </w:p>
        </w:tc>
        <w:tc>
          <w:tcPr>
            <w:tcW w:w="2880" w:type="dxa"/>
            <w:shd w:val="clear" w:color="auto" w:fill="auto"/>
          </w:tcPr>
          <w:p w:rsidRPr="000A4365" w:rsidR="000A4365" w:rsidP="000819E6" w:rsidRDefault="000A4365">
            <w:proofErr w:type="spellStart"/>
            <w:r w:rsidRPr="000A4365">
              <w:t>Sorghastrum</w:t>
            </w:r>
            <w:proofErr w:type="spellEnd"/>
            <w:r w:rsidRPr="000A4365">
              <w:t xml:space="preserve"> </w:t>
            </w:r>
            <w:proofErr w:type="spellStart"/>
            <w:r w:rsidRPr="000A4365">
              <w:t>nutans</w:t>
            </w:r>
            <w:proofErr w:type="spellEnd"/>
          </w:p>
        </w:tc>
        <w:tc>
          <w:tcPr>
            <w:tcW w:w="1860" w:type="dxa"/>
            <w:shd w:val="clear" w:color="auto" w:fill="auto"/>
          </w:tcPr>
          <w:p w:rsidRPr="000A4365" w:rsidR="000A4365" w:rsidP="000819E6" w:rsidRDefault="000A4365">
            <w:proofErr w:type="spellStart"/>
            <w:r w:rsidRPr="000A4365">
              <w:t>Indiangrass</w:t>
            </w:r>
            <w:proofErr w:type="spellEnd"/>
          </w:p>
        </w:tc>
        <w:tc>
          <w:tcPr>
            <w:tcW w:w="1956" w:type="dxa"/>
            <w:shd w:val="clear" w:color="auto" w:fill="auto"/>
          </w:tcPr>
          <w:p w:rsidRPr="000A4365" w:rsidR="000A4365" w:rsidP="000819E6" w:rsidRDefault="000A4365">
            <w:r w:rsidRPr="000A4365">
              <w:t>Upper</w:t>
            </w:r>
          </w:p>
        </w:tc>
      </w:tr>
      <w:tr w:rsidRPr="000A4365" w:rsidR="000A4365" w:rsidTr="000A4365">
        <w:tc>
          <w:tcPr>
            <w:tcW w:w="1176" w:type="dxa"/>
            <w:shd w:val="clear" w:color="auto" w:fill="auto"/>
          </w:tcPr>
          <w:p w:rsidRPr="000A4365" w:rsidR="000A4365" w:rsidP="000819E6" w:rsidRDefault="000A4365">
            <w:pPr>
              <w:rPr>
                <w:bCs/>
              </w:rPr>
            </w:pPr>
            <w:r w:rsidRPr="000A4365">
              <w:rPr>
                <w:bCs/>
              </w:rPr>
              <w:t>BOCU</w:t>
            </w:r>
          </w:p>
        </w:tc>
        <w:tc>
          <w:tcPr>
            <w:tcW w:w="2880" w:type="dxa"/>
            <w:shd w:val="clear" w:color="auto" w:fill="auto"/>
          </w:tcPr>
          <w:p w:rsidRPr="000A4365" w:rsidR="000A4365" w:rsidP="000819E6" w:rsidRDefault="000A4365">
            <w:proofErr w:type="spellStart"/>
            <w:r w:rsidRPr="000A4365">
              <w:t>Bouteloua</w:t>
            </w:r>
            <w:proofErr w:type="spellEnd"/>
            <w:r w:rsidRPr="000A4365">
              <w:t xml:space="preserve"> </w:t>
            </w:r>
            <w:proofErr w:type="spellStart"/>
            <w:r w:rsidRPr="000A4365">
              <w:t>curtipendula</w:t>
            </w:r>
            <w:proofErr w:type="spellEnd"/>
          </w:p>
        </w:tc>
        <w:tc>
          <w:tcPr>
            <w:tcW w:w="1860" w:type="dxa"/>
            <w:shd w:val="clear" w:color="auto" w:fill="auto"/>
          </w:tcPr>
          <w:p w:rsidRPr="000A4365" w:rsidR="000A4365" w:rsidP="000819E6" w:rsidRDefault="000A4365">
            <w:proofErr w:type="spellStart"/>
            <w:r w:rsidRPr="000A4365">
              <w:t>Sideoats</w:t>
            </w:r>
            <w:proofErr w:type="spellEnd"/>
            <w:r w:rsidRPr="000A4365">
              <w:t xml:space="preserve"> </w:t>
            </w:r>
            <w:proofErr w:type="spellStart"/>
            <w:r w:rsidRPr="000A4365">
              <w:t>grama</w:t>
            </w:r>
            <w:proofErr w:type="spellEnd"/>
          </w:p>
        </w:tc>
        <w:tc>
          <w:tcPr>
            <w:tcW w:w="1956" w:type="dxa"/>
            <w:shd w:val="clear" w:color="auto" w:fill="auto"/>
          </w:tcPr>
          <w:p w:rsidRPr="000A4365" w:rsidR="000A4365" w:rsidP="000819E6" w:rsidRDefault="000A4365">
            <w:r w:rsidRPr="000A4365">
              <w:t>Upper</w:t>
            </w:r>
          </w:p>
        </w:tc>
      </w:tr>
      <w:tr w:rsidRPr="000A4365" w:rsidR="000A4365" w:rsidTr="000A4365">
        <w:tc>
          <w:tcPr>
            <w:tcW w:w="1176" w:type="dxa"/>
            <w:shd w:val="clear" w:color="auto" w:fill="auto"/>
          </w:tcPr>
          <w:p w:rsidRPr="000A4365" w:rsidR="000A4365" w:rsidP="000819E6" w:rsidRDefault="000A4365">
            <w:pPr>
              <w:rPr>
                <w:bCs/>
              </w:rPr>
            </w:pPr>
            <w:r w:rsidRPr="000A4365">
              <w:rPr>
                <w:bCs/>
              </w:rPr>
              <w:t>HESP11</w:t>
            </w:r>
          </w:p>
        </w:tc>
        <w:tc>
          <w:tcPr>
            <w:tcW w:w="2880" w:type="dxa"/>
            <w:shd w:val="clear" w:color="auto" w:fill="auto"/>
          </w:tcPr>
          <w:p w:rsidRPr="000A4365" w:rsidR="000A4365" w:rsidP="000819E6" w:rsidRDefault="000A4365">
            <w:proofErr w:type="spellStart"/>
            <w:r w:rsidRPr="000A4365">
              <w:t>Hesperostipa</w:t>
            </w:r>
            <w:proofErr w:type="spellEnd"/>
            <w:r w:rsidRPr="000A4365">
              <w:t xml:space="preserve"> </w:t>
            </w:r>
            <w:proofErr w:type="spellStart"/>
            <w:r w:rsidRPr="000A4365">
              <w:t>spartea</w:t>
            </w:r>
            <w:proofErr w:type="spellEnd"/>
          </w:p>
        </w:tc>
        <w:tc>
          <w:tcPr>
            <w:tcW w:w="1860" w:type="dxa"/>
            <w:shd w:val="clear" w:color="auto" w:fill="auto"/>
          </w:tcPr>
          <w:p w:rsidRPr="000A4365" w:rsidR="000A4365" w:rsidP="000819E6" w:rsidRDefault="000A4365">
            <w:proofErr w:type="spellStart"/>
            <w:r w:rsidRPr="000A4365">
              <w:t>Porcupinegrass</w:t>
            </w:r>
            <w:proofErr w:type="spellEnd"/>
          </w:p>
        </w:tc>
        <w:tc>
          <w:tcPr>
            <w:tcW w:w="1956" w:type="dxa"/>
            <w:shd w:val="clear" w:color="auto" w:fill="auto"/>
          </w:tcPr>
          <w:p w:rsidRPr="000A4365" w:rsidR="000A4365" w:rsidP="000819E6" w:rsidRDefault="000A4365">
            <w:r w:rsidRPr="000A4365">
              <w:t>Upper</w:t>
            </w:r>
          </w:p>
        </w:tc>
      </w:tr>
    </w:tbl>
    <w:p w:rsidR="000A4365" w:rsidP="000A4365" w:rsidRDefault="000A4365"/>
    <w:p w:rsidR="000A4365" w:rsidP="000A4365" w:rsidRDefault="000A4365">
      <w:pPr>
        <w:pStyle w:val="SClassInfoPara"/>
      </w:pPr>
      <w:r>
        <w:t>Description</w:t>
      </w:r>
    </w:p>
    <w:p w:rsidR="000A4365" w:rsidP="000A4365" w:rsidRDefault="000A4365">
      <w:r>
        <w:t>Grasses formed the matrix of the prairie with big bluestem (</w:t>
      </w:r>
      <w:proofErr w:type="spellStart"/>
      <w:r w:rsidRPr="00D313D5">
        <w:rPr>
          <w:i/>
        </w:rPr>
        <w:t>Andropogon</w:t>
      </w:r>
      <w:proofErr w:type="spellEnd"/>
      <w:r w:rsidRPr="00D313D5">
        <w:rPr>
          <w:i/>
        </w:rPr>
        <w:t xml:space="preserve"> </w:t>
      </w:r>
      <w:proofErr w:type="spellStart"/>
      <w:r w:rsidRPr="00D313D5">
        <w:rPr>
          <w:i/>
        </w:rPr>
        <w:t>gerardii</w:t>
      </w:r>
      <w:proofErr w:type="spellEnd"/>
      <w:r>
        <w:t>), Indian grass (</w:t>
      </w:r>
      <w:proofErr w:type="spellStart"/>
      <w:r w:rsidRPr="00D313D5">
        <w:rPr>
          <w:i/>
        </w:rPr>
        <w:t>Sorghastrum</w:t>
      </w:r>
      <w:proofErr w:type="spellEnd"/>
      <w:r w:rsidRPr="00D313D5">
        <w:rPr>
          <w:i/>
        </w:rPr>
        <w:t xml:space="preserve"> </w:t>
      </w:r>
      <w:proofErr w:type="spellStart"/>
      <w:r w:rsidRPr="00D313D5">
        <w:rPr>
          <w:i/>
        </w:rPr>
        <w:t>nutans</w:t>
      </w:r>
      <w:proofErr w:type="spellEnd"/>
      <w:r>
        <w:t>), little bluestem (</w:t>
      </w:r>
      <w:proofErr w:type="spellStart"/>
      <w:r w:rsidRPr="00D313D5">
        <w:rPr>
          <w:i/>
        </w:rPr>
        <w:t>Schizachyrium</w:t>
      </w:r>
      <w:proofErr w:type="spellEnd"/>
      <w:r w:rsidRPr="00D313D5">
        <w:rPr>
          <w:i/>
        </w:rPr>
        <w:t xml:space="preserve"> </w:t>
      </w:r>
      <w:proofErr w:type="spellStart"/>
      <w:r w:rsidRPr="00D313D5">
        <w:rPr>
          <w:i/>
        </w:rPr>
        <w:t>scoparium</w:t>
      </w:r>
      <w:proofErr w:type="spellEnd"/>
      <w:r>
        <w:t xml:space="preserve">), </w:t>
      </w:r>
      <w:proofErr w:type="spellStart"/>
      <w:r>
        <w:t>needlegrass</w:t>
      </w:r>
      <w:proofErr w:type="spellEnd"/>
      <w:r>
        <w:t xml:space="preserve"> (</w:t>
      </w:r>
      <w:proofErr w:type="spellStart"/>
      <w:r w:rsidRPr="00D313D5">
        <w:rPr>
          <w:i/>
        </w:rPr>
        <w:t>Hesperostipa</w:t>
      </w:r>
      <w:proofErr w:type="spellEnd"/>
      <w:r w:rsidRPr="00D313D5">
        <w:rPr>
          <w:i/>
        </w:rPr>
        <w:t xml:space="preserve"> </w:t>
      </w:r>
      <w:proofErr w:type="spellStart"/>
      <w:r w:rsidRPr="00D313D5">
        <w:rPr>
          <w:i/>
        </w:rPr>
        <w:t>spartea</w:t>
      </w:r>
      <w:proofErr w:type="spellEnd"/>
      <w:r>
        <w:t xml:space="preserve">), prairie </w:t>
      </w:r>
      <w:proofErr w:type="spellStart"/>
      <w:r>
        <w:t>dropseed</w:t>
      </w:r>
      <w:proofErr w:type="spellEnd"/>
      <w:r>
        <w:t xml:space="preserve"> (</w:t>
      </w:r>
      <w:proofErr w:type="spellStart"/>
      <w:r w:rsidRPr="00D313D5">
        <w:rPr>
          <w:i/>
        </w:rPr>
        <w:t>Sporobolus</w:t>
      </w:r>
      <w:proofErr w:type="spellEnd"/>
      <w:r w:rsidRPr="00D313D5">
        <w:rPr>
          <w:i/>
        </w:rPr>
        <w:t xml:space="preserve"> </w:t>
      </w:r>
      <w:proofErr w:type="spellStart"/>
      <w:r w:rsidRPr="00D313D5">
        <w:rPr>
          <w:i/>
        </w:rPr>
        <w:t>heterolepsis</w:t>
      </w:r>
      <w:proofErr w:type="spellEnd"/>
      <w:r>
        <w:t xml:space="preserve">) and </w:t>
      </w:r>
      <w:proofErr w:type="spellStart"/>
      <w:r>
        <w:t>sideoats</w:t>
      </w:r>
      <w:proofErr w:type="spellEnd"/>
      <w:r>
        <w:t xml:space="preserve"> </w:t>
      </w:r>
      <w:proofErr w:type="spellStart"/>
      <w:r>
        <w:t>grama</w:t>
      </w:r>
      <w:proofErr w:type="spellEnd"/>
      <w:r>
        <w:t xml:space="preserve"> (</w:t>
      </w:r>
      <w:proofErr w:type="spellStart"/>
      <w:r w:rsidRPr="00D313D5">
        <w:rPr>
          <w:i/>
        </w:rPr>
        <w:t>Bouteloua</w:t>
      </w:r>
      <w:proofErr w:type="spellEnd"/>
      <w:r w:rsidRPr="00D313D5">
        <w:rPr>
          <w:i/>
        </w:rPr>
        <w:t xml:space="preserve"> </w:t>
      </w:r>
      <w:proofErr w:type="spellStart"/>
      <w:r w:rsidRPr="00D313D5">
        <w:rPr>
          <w:i/>
        </w:rPr>
        <w:t>curtipendula</w:t>
      </w:r>
      <w:proofErr w:type="spellEnd"/>
      <w:r>
        <w:t>) dominating many dry to dry-mesic prairies (Whitney 1994). Numerous forbs such as composites</w:t>
      </w:r>
      <w:r w:rsidR="002C1182">
        <w:t xml:space="preserve"> – </w:t>
      </w:r>
      <w:r w:rsidRPr="00D313D5" w:rsidR="002C1182">
        <w:rPr>
          <w:i/>
        </w:rPr>
        <w:t>Aster</w:t>
      </w:r>
      <w:r w:rsidR="002C1182">
        <w:t xml:space="preserve"> </w:t>
      </w:r>
      <w:r>
        <w:t xml:space="preserve">spp., </w:t>
      </w:r>
      <w:r w:rsidRPr="00D313D5">
        <w:rPr>
          <w:i/>
        </w:rPr>
        <w:t xml:space="preserve">Silphium </w:t>
      </w:r>
      <w:r>
        <w:t xml:space="preserve">spp., </w:t>
      </w:r>
      <w:proofErr w:type="spellStart"/>
      <w:r>
        <w:t>blazingstars</w:t>
      </w:r>
      <w:proofErr w:type="spellEnd"/>
      <w:r>
        <w:t xml:space="preserve"> (</w:t>
      </w:r>
      <w:proofErr w:type="spellStart"/>
      <w:r w:rsidRPr="00D313D5">
        <w:rPr>
          <w:i/>
        </w:rPr>
        <w:t>Liatris</w:t>
      </w:r>
      <w:proofErr w:type="spellEnd"/>
      <w:r>
        <w:t xml:space="preserve"> spp.), and coneflower (</w:t>
      </w:r>
      <w:proofErr w:type="spellStart"/>
      <w:r w:rsidRPr="00D313D5">
        <w:rPr>
          <w:i/>
        </w:rPr>
        <w:t>Echinaceas</w:t>
      </w:r>
      <w:proofErr w:type="spellEnd"/>
      <w:r w:rsidRPr="00D313D5">
        <w:rPr>
          <w:i/>
        </w:rPr>
        <w:t xml:space="preserve"> pallida</w:t>
      </w:r>
      <w:r>
        <w:t>), legumes</w:t>
      </w:r>
      <w:r w:rsidR="00D313D5">
        <w:t xml:space="preserve">, prairie </w:t>
      </w:r>
      <w:r>
        <w:t>clovers (</w:t>
      </w:r>
      <w:proofErr w:type="spellStart"/>
      <w:r w:rsidRPr="00D313D5">
        <w:rPr>
          <w:i/>
        </w:rPr>
        <w:t>Petalostemum</w:t>
      </w:r>
      <w:proofErr w:type="spellEnd"/>
      <w:r w:rsidRPr="00D313D5">
        <w:rPr>
          <w:i/>
        </w:rPr>
        <w:t xml:space="preserve"> </w:t>
      </w:r>
      <w:r>
        <w:t xml:space="preserve">spp.), </w:t>
      </w:r>
      <w:proofErr w:type="spellStart"/>
      <w:r>
        <w:t>roundheaded</w:t>
      </w:r>
      <w:proofErr w:type="spellEnd"/>
      <w:r>
        <w:t xml:space="preserve"> </w:t>
      </w:r>
      <w:proofErr w:type="spellStart"/>
      <w:r>
        <w:t>bushclover</w:t>
      </w:r>
      <w:proofErr w:type="spellEnd"/>
      <w:r>
        <w:t xml:space="preserve"> (</w:t>
      </w:r>
      <w:r w:rsidRPr="00D313D5">
        <w:rPr>
          <w:i/>
        </w:rPr>
        <w:t xml:space="preserve">Lespedeza </w:t>
      </w:r>
      <w:proofErr w:type="spellStart"/>
      <w:r w:rsidRPr="00D313D5">
        <w:rPr>
          <w:i/>
        </w:rPr>
        <w:t>capitata</w:t>
      </w:r>
      <w:proofErr w:type="spellEnd"/>
      <w:r>
        <w:t>), and leadplant (</w:t>
      </w:r>
      <w:proofErr w:type="spellStart"/>
      <w:r w:rsidRPr="00D313D5">
        <w:rPr>
          <w:i/>
        </w:rPr>
        <w:t>Amorpha</w:t>
      </w:r>
      <w:proofErr w:type="spellEnd"/>
      <w:r w:rsidRPr="00D313D5">
        <w:rPr>
          <w:i/>
        </w:rPr>
        <w:t xml:space="preserve"> </w:t>
      </w:r>
      <w:proofErr w:type="spellStart"/>
      <w:r w:rsidRPr="00D313D5">
        <w:rPr>
          <w:i/>
        </w:rPr>
        <w:t>canescens</w:t>
      </w:r>
      <w:proofErr w:type="spellEnd"/>
      <w:r>
        <w:t>) among many others</w:t>
      </w:r>
      <w:r w:rsidR="00D313D5">
        <w:t xml:space="preserve"> – were </w:t>
      </w:r>
      <w:r>
        <w:t xml:space="preserve">also present. Fuel complexes consisted of short- or tall-grass prairie forbs and shrubs with little or no tree regeneration. Fuel complexes consisted of short- or tall-grass prairie forbs. </w:t>
      </w:r>
    </w:p>
    <w:p w:rsidR="000A4365" w:rsidP="000A4365" w:rsidRDefault="000A4365"/>
    <w:p w:rsidR="000A4365" w:rsidP="000A4365" w:rsidRDefault="000A4365">
      <w:r>
        <w:t>Replacement fires occur frequently in early successional seral</w:t>
      </w:r>
      <w:r w:rsidR="001057F0">
        <w:t xml:space="preserve"> class A </w:t>
      </w:r>
      <w:r>
        <w:t>an</w:t>
      </w:r>
      <w:r w:rsidR="001057F0">
        <w:t>d maintain the system</w:t>
      </w:r>
      <w:r>
        <w:t xml:space="preserve">. Grass cover in this stage truly should be in the high cover ranges. </w:t>
      </w:r>
      <w:r w:rsidR="002C1182">
        <w:t>I</w:t>
      </w:r>
      <w:r>
        <w:t>t would be a different area/system</w:t>
      </w:r>
      <w:r w:rsidR="002C1182">
        <w:t xml:space="preserve"> if it were lower</w:t>
      </w:r>
      <w:r>
        <w:t xml:space="preserve">. </w:t>
      </w:r>
    </w:p>
    <w:p w:rsidR="000A4365" w:rsidP="000A4365" w:rsidRDefault="000A4365"/>
    <w:p w:rsidR="000A4365" w:rsidP="000A4365" w:rsidRDefault="001057F0">
      <w:r>
        <w:lastRenderedPageBreak/>
        <w:t xml:space="preserve">This class would go to change </w:t>
      </w:r>
      <w:r w:rsidR="000A4365">
        <w:t>if fire an</w:t>
      </w:r>
      <w:r>
        <w:t xml:space="preserve">d seed source were unavailable. </w:t>
      </w:r>
      <w:r w:rsidR="000A4365">
        <w:t>We would like to model this as time since disturbance without a probability</w:t>
      </w:r>
      <w:r w:rsidR="002C1182">
        <w:t xml:space="preserve">, but because </w:t>
      </w:r>
      <w:r w:rsidR="000A4365">
        <w:t>that's unallowable</w:t>
      </w:r>
      <w:r w:rsidR="002C1182">
        <w:t xml:space="preserve">, we </w:t>
      </w:r>
      <w:r w:rsidR="000A4365">
        <w:t>modeled with a probability. Also</w:t>
      </w:r>
      <w:r w:rsidR="002C1182">
        <w:t>,</w:t>
      </w:r>
      <w:r w:rsidR="000A4365">
        <w:t xml:space="preserve"> distance to seed (from birds, wind, small mammals) would infl</w:t>
      </w:r>
      <w:r>
        <w:t xml:space="preserve">uence whether we change state </w:t>
      </w:r>
      <w:r w:rsidR="000A4365">
        <w:t>without fire.</w:t>
      </w:r>
    </w:p>
    <w:p w:rsidR="000A4365" w:rsidP="000A4365" w:rsidRDefault="000A4365"/>
    <w:p w:rsidR="000A4365" w:rsidP="000A4365" w:rsidRDefault="000A4365">
      <w:r>
        <w:t>Small mammals and invertebrates and tree pathogens such as oak wilt probably occurred historically, but we were unsure of impact, so they were not modeled.</w:t>
      </w:r>
    </w:p>
    <w:p w:rsidR="000A4365" w:rsidP="000A4365" w:rsidRDefault="000A4365"/>
    <w:p>
      <w:r>
        <w:rPr>
          <w:i/>
          <w:u w:val="single"/>
        </w:rPr>
        <w:t>Maximum Tree Size Class</w:t>
      </w:r>
      <w:br/>
      <w:r>
        <w:t>None</w:t>
      </w:r>
    </w:p>
    <w:p w:rsidR="000A4365" w:rsidP="000A4365" w:rsidRDefault="000A4365">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0A4365" w:rsidP="000A4365" w:rsidRDefault="000A4365"/>
    <w:p w:rsidR="000A4365" w:rsidP="000A4365" w:rsidRDefault="000A436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80"/>
        <w:gridCol w:w="2184"/>
        <w:gridCol w:w="1956"/>
      </w:tblGrid>
      <w:tr w:rsidRPr="000A4365" w:rsidR="000A4365" w:rsidTr="000A4365">
        <w:tc>
          <w:tcPr>
            <w:tcW w:w="1188" w:type="dxa"/>
            <w:tcBorders>
              <w:top w:val="single" w:color="auto" w:sz="2" w:space="0"/>
              <w:bottom w:val="single" w:color="000000" w:sz="12" w:space="0"/>
            </w:tcBorders>
            <w:shd w:val="clear" w:color="auto" w:fill="auto"/>
          </w:tcPr>
          <w:p w:rsidRPr="000A4365" w:rsidR="000A4365" w:rsidP="00C536AB" w:rsidRDefault="000A4365">
            <w:pPr>
              <w:rPr>
                <w:b/>
                <w:bCs/>
              </w:rPr>
            </w:pPr>
            <w:r w:rsidRPr="000A4365">
              <w:rPr>
                <w:b/>
                <w:bCs/>
              </w:rPr>
              <w:t>Symbol</w:t>
            </w:r>
          </w:p>
        </w:tc>
        <w:tc>
          <w:tcPr>
            <w:tcW w:w="2880" w:type="dxa"/>
            <w:tcBorders>
              <w:top w:val="single" w:color="auto" w:sz="2" w:space="0"/>
              <w:bottom w:val="single" w:color="000000" w:sz="12" w:space="0"/>
            </w:tcBorders>
            <w:shd w:val="clear" w:color="auto" w:fill="auto"/>
          </w:tcPr>
          <w:p w:rsidRPr="000A4365" w:rsidR="000A4365" w:rsidP="00C536AB" w:rsidRDefault="000A4365">
            <w:pPr>
              <w:rPr>
                <w:b/>
                <w:bCs/>
              </w:rPr>
            </w:pPr>
            <w:r w:rsidRPr="000A4365">
              <w:rPr>
                <w:b/>
                <w:bCs/>
              </w:rPr>
              <w:t>Scientific Name</w:t>
            </w:r>
          </w:p>
        </w:tc>
        <w:tc>
          <w:tcPr>
            <w:tcW w:w="2184" w:type="dxa"/>
            <w:tcBorders>
              <w:top w:val="single" w:color="auto" w:sz="2" w:space="0"/>
              <w:bottom w:val="single" w:color="000000" w:sz="12" w:space="0"/>
            </w:tcBorders>
            <w:shd w:val="clear" w:color="auto" w:fill="auto"/>
          </w:tcPr>
          <w:p w:rsidRPr="000A4365" w:rsidR="000A4365" w:rsidP="00C536AB" w:rsidRDefault="000A4365">
            <w:pPr>
              <w:rPr>
                <w:b/>
                <w:bCs/>
              </w:rPr>
            </w:pPr>
            <w:r w:rsidRPr="000A4365">
              <w:rPr>
                <w:b/>
                <w:bCs/>
              </w:rPr>
              <w:t>Common Name</w:t>
            </w:r>
          </w:p>
        </w:tc>
        <w:tc>
          <w:tcPr>
            <w:tcW w:w="1956" w:type="dxa"/>
            <w:tcBorders>
              <w:top w:val="single" w:color="auto" w:sz="2" w:space="0"/>
              <w:bottom w:val="single" w:color="000000" w:sz="12" w:space="0"/>
            </w:tcBorders>
            <w:shd w:val="clear" w:color="auto" w:fill="auto"/>
          </w:tcPr>
          <w:p w:rsidRPr="000A4365" w:rsidR="000A4365" w:rsidP="00C536AB" w:rsidRDefault="000A4365">
            <w:pPr>
              <w:rPr>
                <w:b/>
                <w:bCs/>
              </w:rPr>
            </w:pPr>
            <w:r w:rsidRPr="000A4365">
              <w:rPr>
                <w:b/>
                <w:bCs/>
              </w:rPr>
              <w:t>Canopy Position</w:t>
            </w:r>
          </w:p>
        </w:tc>
      </w:tr>
      <w:tr w:rsidRPr="000A4365" w:rsidR="000A4365" w:rsidTr="000A4365">
        <w:tc>
          <w:tcPr>
            <w:tcW w:w="1188" w:type="dxa"/>
            <w:tcBorders>
              <w:top w:val="single" w:color="000000" w:sz="12" w:space="0"/>
            </w:tcBorders>
            <w:shd w:val="clear" w:color="auto" w:fill="auto"/>
          </w:tcPr>
          <w:p w:rsidRPr="000A4365" w:rsidR="000A4365" w:rsidP="00C536AB" w:rsidRDefault="000A4365">
            <w:pPr>
              <w:rPr>
                <w:bCs/>
              </w:rPr>
            </w:pPr>
            <w:r w:rsidRPr="000A4365">
              <w:rPr>
                <w:bCs/>
              </w:rPr>
              <w:t>BOCU</w:t>
            </w:r>
          </w:p>
        </w:tc>
        <w:tc>
          <w:tcPr>
            <w:tcW w:w="2880" w:type="dxa"/>
            <w:tcBorders>
              <w:top w:val="single" w:color="000000" w:sz="12" w:space="0"/>
            </w:tcBorders>
            <w:shd w:val="clear" w:color="auto" w:fill="auto"/>
          </w:tcPr>
          <w:p w:rsidRPr="000A4365" w:rsidR="000A4365" w:rsidP="00C536AB" w:rsidRDefault="000A4365">
            <w:proofErr w:type="spellStart"/>
            <w:r w:rsidRPr="000A4365">
              <w:t>Bouteloua</w:t>
            </w:r>
            <w:proofErr w:type="spellEnd"/>
            <w:r w:rsidRPr="000A4365">
              <w:t xml:space="preserve"> </w:t>
            </w:r>
            <w:proofErr w:type="spellStart"/>
            <w:r w:rsidRPr="000A4365">
              <w:t>curtipendula</w:t>
            </w:r>
            <w:proofErr w:type="spellEnd"/>
          </w:p>
        </w:tc>
        <w:tc>
          <w:tcPr>
            <w:tcW w:w="2184" w:type="dxa"/>
            <w:tcBorders>
              <w:top w:val="single" w:color="000000" w:sz="12" w:space="0"/>
            </w:tcBorders>
            <w:shd w:val="clear" w:color="auto" w:fill="auto"/>
          </w:tcPr>
          <w:p w:rsidRPr="000A4365" w:rsidR="000A4365" w:rsidP="00C536AB" w:rsidRDefault="000A4365">
            <w:proofErr w:type="spellStart"/>
            <w:r w:rsidRPr="000A4365">
              <w:t>Sideoats</w:t>
            </w:r>
            <w:proofErr w:type="spellEnd"/>
            <w:r w:rsidRPr="000A4365">
              <w:t xml:space="preserve"> </w:t>
            </w:r>
            <w:proofErr w:type="spellStart"/>
            <w:r w:rsidRPr="000A4365">
              <w:t>grama</w:t>
            </w:r>
            <w:proofErr w:type="spellEnd"/>
          </w:p>
        </w:tc>
        <w:tc>
          <w:tcPr>
            <w:tcW w:w="1956" w:type="dxa"/>
            <w:tcBorders>
              <w:top w:val="single" w:color="000000" w:sz="12" w:space="0"/>
            </w:tcBorders>
            <w:shd w:val="clear" w:color="auto" w:fill="auto"/>
          </w:tcPr>
          <w:p w:rsidRPr="000A4365" w:rsidR="000A4365" w:rsidP="00C536AB" w:rsidRDefault="000A4365">
            <w:r w:rsidRPr="000A4365">
              <w:t>Low-Mid</w:t>
            </w:r>
          </w:p>
        </w:tc>
      </w:tr>
      <w:tr w:rsidRPr="000A4365" w:rsidR="000A4365" w:rsidTr="000A4365">
        <w:tc>
          <w:tcPr>
            <w:tcW w:w="1188" w:type="dxa"/>
            <w:shd w:val="clear" w:color="auto" w:fill="auto"/>
          </w:tcPr>
          <w:p w:rsidRPr="000A4365" w:rsidR="000A4365" w:rsidP="00C536AB" w:rsidRDefault="000A4365">
            <w:pPr>
              <w:rPr>
                <w:bCs/>
              </w:rPr>
            </w:pPr>
            <w:r w:rsidRPr="000A4365">
              <w:rPr>
                <w:bCs/>
              </w:rPr>
              <w:t>SCSC</w:t>
            </w:r>
          </w:p>
        </w:tc>
        <w:tc>
          <w:tcPr>
            <w:tcW w:w="2880" w:type="dxa"/>
            <w:shd w:val="clear" w:color="auto" w:fill="auto"/>
          </w:tcPr>
          <w:p w:rsidRPr="000A4365" w:rsidR="000A4365" w:rsidP="00C536AB" w:rsidRDefault="000A4365">
            <w:proofErr w:type="spellStart"/>
            <w:r w:rsidRPr="000A4365">
              <w:t>Schizachyrium</w:t>
            </w:r>
            <w:proofErr w:type="spellEnd"/>
            <w:r w:rsidRPr="000A4365">
              <w:t xml:space="preserve"> </w:t>
            </w:r>
            <w:proofErr w:type="spellStart"/>
            <w:r w:rsidRPr="000A4365">
              <w:t>scoparium</w:t>
            </w:r>
            <w:proofErr w:type="spellEnd"/>
          </w:p>
        </w:tc>
        <w:tc>
          <w:tcPr>
            <w:tcW w:w="2184" w:type="dxa"/>
            <w:shd w:val="clear" w:color="auto" w:fill="auto"/>
          </w:tcPr>
          <w:p w:rsidRPr="000A4365" w:rsidR="000A4365" w:rsidP="00C536AB" w:rsidRDefault="000A4365">
            <w:r w:rsidRPr="000A4365">
              <w:t>Little bluestem</w:t>
            </w:r>
          </w:p>
        </w:tc>
        <w:tc>
          <w:tcPr>
            <w:tcW w:w="1956" w:type="dxa"/>
            <w:shd w:val="clear" w:color="auto" w:fill="auto"/>
          </w:tcPr>
          <w:p w:rsidRPr="000A4365" w:rsidR="000A4365" w:rsidP="00C536AB" w:rsidRDefault="000A4365">
            <w:r w:rsidRPr="000A4365">
              <w:t>Middle</w:t>
            </w:r>
          </w:p>
        </w:tc>
      </w:tr>
      <w:tr w:rsidRPr="000A4365" w:rsidR="000A4365" w:rsidTr="000A4365">
        <w:tc>
          <w:tcPr>
            <w:tcW w:w="1188" w:type="dxa"/>
            <w:shd w:val="clear" w:color="auto" w:fill="auto"/>
          </w:tcPr>
          <w:p w:rsidRPr="000A4365" w:rsidR="000A4365" w:rsidP="00C536AB" w:rsidRDefault="000A4365">
            <w:pPr>
              <w:rPr>
                <w:bCs/>
              </w:rPr>
            </w:pPr>
            <w:r w:rsidRPr="000A4365">
              <w:rPr>
                <w:bCs/>
              </w:rPr>
              <w:t>COAM3</w:t>
            </w:r>
          </w:p>
        </w:tc>
        <w:tc>
          <w:tcPr>
            <w:tcW w:w="2880" w:type="dxa"/>
            <w:shd w:val="clear" w:color="auto" w:fill="auto"/>
          </w:tcPr>
          <w:p w:rsidRPr="000A4365" w:rsidR="000A4365" w:rsidP="00C536AB" w:rsidRDefault="000A4365">
            <w:r w:rsidRPr="000A4365">
              <w:t xml:space="preserve">Corylus </w:t>
            </w:r>
            <w:proofErr w:type="spellStart"/>
            <w:r w:rsidRPr="000A4365">
              <w:t>americana</w:t>
            </w:r>
            <w:proofErr w:type="spellEnd"/>
          </w:p>
        </w:tc>
        <w:tc>
          <w:tcPr>
            <w:tcW w:w="2184" w:type="dxa"/>
            <w:shd w:val="clear" w:color="auto" w:fill="auto"/>
          </w:tcPr>
          <w:p w:rsidRPr="000A4365" w:rsidR="000A4365" w:rsidP="00C536AB" w:rsidRDefault="000A4365">
            <w:r w:rsidRPr="000A4365">
              <w:t>American hazelnut</w:t>
            </w:r>
          </w:p>
        </w:tc>
        <w:tc>
          <w:tcPr>
            <w:tcW w:w="1956" w:type="dxa"/>
            <w:shd w:val="clear" w:color="auto" w:fill="auto"/>
          </w:tcPr>
          <w:p w:rsidRPr="000A4365" w:rsidR="000A4365" w:rsidP="00C536AB" w:rsidRDefault="000A4365">
            <w:r w:rsidRPr="000A4365">
              <w:t>Upper</w:t>
            </w:r>
          </w:p>
        </w:tc>
      </w:tr>
      <w:tr w:rsidRPr="000A4365" w:rsidR="000A4365" w:rsidTr="000A4365">
        <w:tc>
          <w:tcPr>
            <w:tcW w:w="1188" w:type="dxa"/>
            <w:shd w:val="clear" w:color="auto" w:fill="auto"/>
          </w:tcPr>
          <w:p w:rsidRPr="000A4365" w:rsidR="000A4365" w:rsidP="00C536AB" w:rsidRDefault="000A4365">
            <w:pPr>
              <w:rPr>
                <w:bCs/>
              </w:rPr>
            </w:pPr>
            <w:r w:rsidRPr="000A4365">
              <w:rPr>
                <w:bCs/>
              </w:rPr>
              <w:t>CORA6</w:t>
            </w:r>
          </w:p>
        </w:tc>
        <w:tc>
          <w:tcPr>
            <w:tcW w:w="2880" w:type="dxa"/>
            <w:shd w:val="clear" w:color="auto" w:fill="auto"/>
          </w:tcPr>
          <w:p w:rsidRPr="000A4365" w:rsidR="000A4365" w:rsidP="00C536AB" w:rsidRDefault="000A4365">
            <w:proofErr w:type="spellStart"/>
            <w:r w:rsidRPr="000A4365">
              <w:t>Cornus</w:t>
            </w:r>
            <w:proofErr w:type="spellEnd"/>
            <w:r w:rsidRPr="000A4365">
              <w:t xml:space="preserve"> </w:t>
            </w:r>
            <w:proofErr w:type="spellStart"/>
            <w:r w:rsidRPr="000A4365">
              <w:t>racemosa</w:t>
            </w:r>
            <w:proofErr w:type="spellEnd"/>
          </w:p>
        </w:tc>
        <w:tc>
          <w:tcPr>
            <w:tcW w:w="2184" w:type="dxa"/>
            <w:shd w:val="clear" w:color="auto" w:fill="auto"/>
          </w:tcPr>
          <w:p w:rsidRPr="000A4365" w:rsidR="000A4365" w:rsidP="00C536AB" w:rsidRDefault="000A4365">
            <w:r w:rsidRPr="000A4365">
              <w:t>Gray dogwood</w:t>
            </w:r>
          </w:p>
        </w:tc>
        <w:tc>
          <w:tcPr>
            <w:tcW w:w="1956" w:type="dxa"/>
            <w:shd w:val="clear" w:color="auto" w:fill="auto"/>
          </w:tcPr>
          <w:p w:rsidRPr="000A4365" w:rsidR="000A4365" w:rsidP="00C536AB" w:rsidRDefault="000A4365">
            <w:r w:rsidRPr="000A4365">
              <w:t>Upper</w:t>
            </w:r>
          </w:p>
        </w:tc>
      </w:tr>
    </w:tbl>
    <w:p w:rsidR="000A4365" w:rsidP="000A4365" w:rsidRDefault="000A4365"/>
    <w:p w:rsidR="000A4365" w:rsidP="000A4365" w:rsidRDefault="000A4365">
      <w:pPr>
        <w:pStyle w:val="SClassInfoPara"/>
      </w:pPr>
      <w:r>
        <w:t>Description</w:t>
      </w:r>
    </w:p>
    <w:p w:rsidR="000A4365" w:rsidP="000A4365" w:rsidRDefault="000A4365">
      <w:r>
        <w:t>This is the shrub-oak grub representing prairie with scattered shrub and seedling sprouts or grubs. This vegetation is experiencing recurring fires in advanced oak regeneration, which stimulates the resprouting grubs. Fuel complexes are characterized as "stunted brush prairie" comprised of mixed prairie grasses and forbs with shrubs and coppicing oak stems about 1-1.5m in height (Curtis 1959; Anderson and Bowles 1999).</w:t>
      </w:r>
    </w:p>
    <w:p w:rsidR="000A4365" w:rsidP="000A4365" w:rsidRDefault="000A4365"/>
    <w:p w:rsidR="000A4365" w:rsidP="000A4365" w:rsidRDefault="000A4365">
      <w:r>
        <w:t>This is the brush-phase that occurs without fire. A replacemen</w:t>
      </w:r>
      <w:r w:rsidR="003357F0">
        <w:t>t fire can occur</w:t>
      </w:r>
      <w:r w:rsidR="002C1182">
        <w:t xml:space="preserve"> and </w:t>
      </w:r>
      <w:r w:rsidR="003357F0">
        <w:t>c</w:t>
      </w:r>
      <w:r>
        <w:t>ould maintain the s</w:t>
      </w:r>
      <w:r w:rsidR="003357F0">
        <w:t>ystem</w:t>
      </w:r>
      <w:r>
        <w:t xml:space="preserve">. </w:t>
      </w:r>
      <w:r w:rsidR="002C1182">
        <w:t>F</w:t>
      </w:r>
      <w:r>
        <w:t>ire would be more effective in reducing the shrub component and se</w:t>
      </w:r>
      <w:r w:rsidR="003357F0">
        <w:t>nding the system back to regeneration</w:t>
      </w:r>
      <w:r w:rsidR="002C1182">
        <w:t xml:space="preserve"> if the system were to go through a real drought</w:t>
      </w:r>
      <w:r>
        <w:t>. In an average year, fire would set back shrub growth but they would resprout. Also, it would have to be a very intense frequent f</w:t>
      </w:r>
      <w:r w:rsidR="003357F0">
        <w:t>ire to replace the system</w:t>
      </w:r>
      <w:r>
        <w:t xml:space="preserve">. However, if shrubs are just starting to </w:t>
      </w:r>
      <w:r w:rsidR="003357F0">
        <w:t>come in, it might be easier to have a replacement event</w:t>
      </w:r>
      <w:r>
        <w:t xml:space="preserve">. </w:t>
      </w:r>
    </w:p>
    <w:p w:rsidR="000A4365" w:rsidP="000A4365" w:rsidRDefault="000A4365"/>
    <w:p w:rsidR="000A4365" w:rsidP="000A4365" w:rsidRDefault="000A4365">
      <w:r>
        <w:t>Severe drought cycles, modeled</w:t>
      </w:r>
      <w:r w:rsidR="003357F0">
        <w:t xml:space="preserve"> as a wind/weather/stress event</w:t>
      </w:r>
      <w:r>
        <w:t>. Therefore, if fire</w:t>
      </w:r>
      <w:r w:rsidR="00D313D5">
        <w:t xml:space="preserve"> occurs</w:t>
      </w:r>
      <w:r>
        <w:t xml:space="preserve"> around these drought events, </w:t>
      </w:r>
      <w:r w:rsidR="00D313D5">
        <w:t>it might</w:t>
      </w:r>
      <w:r w:rsidR="003357F0">
        <w:t xml:space="preserve"> replace the system</w:t>
      </w:r>
      <w:r w:rsidR="00D313D5">
        <w:t>,</w:t>
      </w:r>
      <w:r>
        <w:t xml:space="preserve"> especially if shrubs</w:t>
      </w:r>
      <w:r w:rsidR="003357F0">
        <w:t xml:space="preserve"> are in the beginning stage</w:t>
      </w:r>
      <w:r w:rsidR="00D313D5">
        <w:t>s</w:t>
      </w:r>
      <w:r>
        <w:t xml:space="preserve">. It's questionable as to whether a </w:t>
      </w:r>
      <w:r w:rsidR="003357F0">
        <w:t>filled-up</w:t>
      </w:r>
      <w:r w:rsidR="00D313D5">
        <w:t xml:space="preserve"> </w:t>
      </w:r>
      <w:r w:rsidR="003357F0">
        <w:t>shrub stage would be replaced</w:t>
      </w:r>
      <w:r w:rsidR="00D313D5">
        <w:t xml:space="preserve"> or would </w:t>
      </w:r>
      <w:r>
        <w:t xml:space="preserve">just set </w:t>
      </w:r>
      <w:r w:rsidR="003357F0">
        <w:t xml:space="preserve">back a bit. </w:t>
      </w:r>
      <w:r>
        <w:t>It is questionable as to whether this stage is truly part of this system or whether it's transitioned to another type.</w:t>
      </w:r>
    </w:p>
    <w:p w:rsidR="000A4365" w:rsidP="000A4365" w:rsidRDefault="000A4365"/>
    <w:p w:rsidR="000A4365" w:rsidP="000A4365" w:rsidRDefault="003357F0">
      <w:r>
        <w:t>Class B can move on thro</w:t>
      </w:r>
      <w:r w:rsidR="000A4365">
        <w:t>ugh alternate succession if there is a seed source combined with weath</w:t>
      </w:r>
      <w:r>
        <w:t>er conditions and lack of fire.</w:t>
      </w:r>
    </w:p>
    <w:p w:rsidR="000A4365" w:rsidP="000A4365" w:rsidRDefault="000A4365"/>
    <w:p w:rsidR="000A4365" w:rsidP="000A4365" w:rsidRDefault="000A4365">
      <w:r>
        <w:lastRenderedPageBreak/>
        <w:t>Surface fires are possible in this stage, because as the shrubs get taller, surface fire will creep along the grass and not topkill the shrubs. As we get more surface fire, this</w:t>
      </w:r>
      <w:r w:rsidR="003357F0">
        <w:t xml:space="preserve"> class </w:t>
      </w:r>
      <w:proofErr w:type="gramStart"/>
      <w:r w:rsidR="003357F0">
        <w:t>actually transitions</w:t>
      </w:r>
      <w:proofErr w:type="gramEnd"/>
      <w:r w:rsidR="003357F0">
        <w:t xml:space="preserve"> forward</w:t>
      </w:r>
      <w:r>
        <w:t>.</w:t>
      </w:r>
    </w:p>
    <w:p w:rsidR="000A4365" w:rsidP="000A4365" w:rsidRDefault="000A4365"/>
    <w:p>
      <w:r>
        <w:rPr>
          <w:i/>
          <w:u w:val="single"/>
        </w:rPr>
        <w:t>Maximum Tree Size Class</w:t>
      </w:r>
      <w:br/>
      <w:r>
        <w:t>Seedling &lt;4.5ft</w:t>
      </w:r>
    </w:p>
    <w:p w:rsidR="000A4365" w:rsidP="000A4365" w:rsidRDefault="000A4365">
      <w:pPr>
        <w:pStyle w:val="InfoPara"/>
        <w:pBdr>
          <w:top w:val="single" w:color="auto" w:sz="4" w:space="1"/>
        </w:pBdr>
      </w:pPr>
      <w:r xmlns:w="http://schemas.openxmlformats.org/wordprocessingml/2006/main">
        <w:t>Class C</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All Structures</w:t>
      </w:r>
    </w:p>
    <w:p w:rsidR="000A4365" w:rsidP="000A4365" w:rsidRDefault="000A4365"/>
    <w:p w:rsidR="000A4365" w:rsidP="000A4365" w:rsidRDefault="000A436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80"/>
        <w:gridCol w:w="2184"/>
        <w:gridCol w:w="1956"/>
      </w:tblGrid>
      <w:tr w:rsidRPr="000A4365" w:rsidR="000A4365" w:rsidTr="000A4365">
        <w:tc>
          <w:tcPr>
            <w:tcW w:w="1188" w:type="dxa"/>
            <w:tcBorders>
              <w:top w:val="single" w:color="auto" w:sz="2" w:space="0"/>
              <w:bottom w:val="single" w:color="000000" w:sz="12" w:space="0"/>
            </w:tcBorders>
            <w:shd w:val="clear" w:color="auto" w:fill="auto"/>
          </w:tcPr>
          <w:p w:rsidRPr="000A4365" w:rsidR="000A4365" w:rsidP="00A61675" w:rsidRDefault="000A4365">
            <w:pPr>
              <w:rPr>
                <w:b/>
                <w:bCs/>
              </w:rPr>
            </w:pPr>
            <w:r w:rsidRPr="000A4365">
              <w:rPr>
                <w:b/>
                <w:bCs/>
              </w:rPr>
              <w:t>Symbol</w:t>
            </w:r>
          </w:p>
        </w:tc>
        <w:tc>
          <w:tcPr>
            <w:tcW w:w="2880" w:type="dxa"/>
            <w:tcBorders>
              <w:top w:val="single" w:color="auto" w:sz="2" w:space="0"/>
              <w:bottom w:val="single" w:color="000000" w:sz="12" w:space="0"/>
            </w:tcBorders>
            <w:shd w:val="clear" w:color="auto" w:fill="auto"/>
          </w:tcPr>
          <w:p w:rsidRPr="000A4365" w:rsidR="000A4365" w:rsidP="00A61675" w:rsidRDefault="000A4365">
            <w:pPr>
              <w:rPr>
                <w:b/>
                <w:bCs/>
              </w:rPr>
            </w:pPr>
            <w:r w:rsidRPr="000A4365">
              <w:rPr>
                <w:b/>
                <w:bCs/>
              </w:rPr>
              <w:t>Scientific Name</w:t>
            </w:r>
          </w:p>
        </w:tc>
        <w:tc>
          <w:tcPr>
            <w:tcW w:w="2184" w:type="dxa"/>
            <w:tcBorders>
              <w:top w:val="single" w:color="auto" w:sz="2" w:space="0"/>
              <w:bottom w:val="single" w:color="000000" w:sz="12" w:space="0"/>
            </w:tcBorders>
            <w:shd w:val="clear" w:color="auto" w:fill="auto"/>
          </w:tcPr>
          <w:p w:rsidRPr="000A4365" w:rsidR="000A4365" w:rsidP="00A61675" w:rsidRDefault="000A4365">
            <w:pPr>
              <w:rPr>
                <w:b/>
                <w:bCs/>
              </w:rPr>
            </w:pPr>
            <w:r w:rsidRPr="000A4365">
              <w:rPr>
                <w:b/>
                <w:bCs/>
              </w:rPr>
              <w:t>Common Name</w:t>
            </w:r>
          </w:p>
        </w:tc>
        <w:tc>
          <w:tcPr>
            <w:tcW w:w="1956" w:type="dxa"/>
            <w:tcBorders>
              <w:top w:val="single" w:color="auto" w:sz="2" w:space="0"/>
              <w:bottom w:val="single" w:color="000000" w:sz="12" w:space="0"/>
            </w:tcBorders>
            <w:shd w:val="clear" w:color="auto" w:fill="auto"/>
          </w:tcPr>
          <w:p w:rsidRPr="000A4365" w:rsidR="000A4365" w:rsidP="00A61675" w:rsidRDefault="000A4365">
            <w:pPr>
              <w:rPr>
                <w:b/>
                <w:bCs/>
              </w:rPr>
            </w:pPr>
            <w:r w:rsidRPr="000A4365">
              <w:rPr>
                <w:b/>
                <w:bCs/>
              </w:rPr>
              <w:t>Canopy Position</w:t>
            </w:r>
          </w:p>
        </w:tc>
      </w:tr>
      <w:tr w:rsidRPr="000A4365" w:rsidR="000A4365" w:rsidTr="000A4365">
        <w:tc>
          <w:tcPr>
            <w:tcW w:w="1188" w:type="dxa"/>
            <w:tcBorders>
              <w:top w:val="single" w:color="000000" w:sz="12" w:space="0"/>
            </w:tcBorders>
            <w:shd w:val="clear" w:color="auto" w:fill="auto"/>
          </w:tcPr>
          <w:p w:rsidRPr="000A4365" w:rsidR="000A4365" w:rsidP="00A61675" w:rsidRDefault="000A4365">
            <w:pPr>
              <w:rPr>
                <w:bCs/>
              </w:rPr>
            </w:pPr>
            <w:r w:rsidRPr="000A4365">
              <w:rPr>
                <w:bCs/>
              </w:rPr>
              <w:t>BOCU</w:t>
            </w:r>
          </w:p>
        </w:tc>
        <w:tc>
          <w:tcPr>
            <w:tcW w:w="2880" w:type="dxa"/>
            <w:tcBorders>
              <w:top w:val="single" w:color="000000" w:sz="12" w:space="0"/>
            </w:tcBorders>
            <w:shd w:val="clear" w:color="auto" w:fill="auto"/>
          </w:tcPr>
          <w:p w:rsidRPr="000A4365" w:rsidR="000A4365" w:rsidP="00A61675" w:rsidRDefault="000A4365">
            <w:proofErr w:type="spellStart"/>
            <w:r w:rsidRPr="000A4365">
              <w:t>Bouteloua</w:t>
            </w:r>
            <w:proofErr w:type="spellEnd"/>
            <w:r w:rsidRPr="000A4365">
              <w:t xml:space="preserve"> </w:t>
            </w:r>
            <w:proofErr w:type="spellStart"/>
            <w:r w:rsidRPr="000A4365">
              <w:t>curtipendula</w:t>
            </w:r>
            <w:proofErr w:type="spellEnd"/>
          </w:p>
        </w:tc>
        <w:tc>
          <w:tcPr>
            <w:tcW w:w="2184" w:type="dxa"/>
            <w:tcBorders>
              <w:top w:val="single" w:color="000000" w:sz="12" w:space="0"/>
            </w:tcBorders>
            <w:shd w:val="clear" w:color="auto" w:fill="auto"/>
          </w:tcPr>
          <w:p w:rsidRPr="000A4365" w:rsidR="000A4365" w:rsidP="00A61675" w:rsidRDefault="000A4365">
            <w:proofErr w:type="spellStart"/>
            <w:r w:rsidRPr="000A4365">
              <w:t>Sideoats</w:t>
            </w:r>
            <w:proofErr w:type="spellEnd"/>
            <w:r w:rsidRPr="000A4365">
              <w:t xml:space="preserve"> </w:t>
            </w:r>
            <w:proofErr w:type="spellStart"/>
            <w:r w:rsidRPr="000A4365">
              <w:t>grama</w:t>
            </w:r>
            <w:proofErr w:type="spellEnd"/>
          </w:p>
        </w:tc>
        <w:tc>
          <w:tcPr>
            <w:tcW w:w="1956" w:type="dxa"/>
            <w:tcBorders>
              <w:top w:val="single" w:color="000000" w:sz="12" w:space="0"/>
            </w:tcBorders>
            <w:shd w:val="clear" w:color="auto" w:fill="auto"/>
          </w:tcPr>
          <w:p w:rsidRPr="000A4365" w:rsidR="000A4365" w:rsidP="00A61675" w:rsidRDefault="000A4365">
            <w:r w:rsidRPr="000A4365">
              <w:t>Lower</w:t>
            </w:r>
          </w:p>
        </w:tc>
      </w:tr>
      <w:tr w:rsidRPr="000A4365" w:rsidR="000A4365" w:rsidTr="000A4365">
        <w:tc>
          <w:tcPr>
            <w:tcW w:w="1188" w:type="dxa"/>
            <w:shd w:val="clear" w:color="auto" w:fill="auto"/>
          </w:tcPr>
          <w:p w:rsidRPr="000A4365" w:rsidR="000A4365" w:rsidP="00A61675" w:rsidRDefault="000A4365">
            <w:pPr>
              <w:rPr>
                <w:bCs/>
              </w:rPr>
            </w:pPr>
            <w:r w:rsidRPr="000A4365">
              <w:rPr>
                <w:bCs/>
              </w:rPr>
              <w:t>COAM3</w:t>
            </w:r>
          </w:p>
        </w:tc>
        <w:tc>
          <w:tcPr>
            <w:tcW w:w="2880" w:type="dxa"/>
            <w:shd w:val="clear" w:color="auto" w:fill="auto"/>
          </w:tcPr>
          <w:p w:rsidRPr="000A4365" w:rsidR="000A4365" w:rsidP="00A61675" w:rsidRDefault="000A4365">
            <w:r w:rsidRPr="000A4365">
              <w:t xml:space="preserve">Corylus </w:t>
            </w:r>
            <w:proofErr w:type="spellStart"/>
            <w:r w:rsidRPr="000A4365">
              <w:t>americana</w:t>
            </w:r>
            <w:proofErr w:type="spellEnd"/>
          </w:p>
        </w:tc>
        <w:tc>
          <w:tcPr>
            <w:tcW w:w="2184" w:type="dxa"/>
            <w:shd w:val="clear" w:color="auto" w:fill="auto"/>
          </w:tcPr>
          <w:p w:rsidRPr="000A4365" w:rsidR="000A4365" w:rsidP="00A61675" w:rsidRDefault="000A4365">
            <w:r w:rsidRPr="000A4365">
              <w:t>American hazelnut</w:t>
            </w:r>
          </w:p>
        </w:tc>
        <w:tc>
          <w:tcPr>
            <w:tcW w:w="1956" w:type="dxa"/>
            <w:shd w:val="clear" w:color="auto" w:fill="auto"/>
          </w:tcPr>
          <w:p w:rsidRPr="000A4365" w:rsidR="000A4365" w:rsidP="00A61675" w:rsidRDefault="000A4365">
            <w:r w:rsidRPr="000A4365">
              <w:t>Middle</w:t>
            </w:r>
          </w:p>
        </w:tc>
      </w:tr>
      <w:tr w:rsidRPr="000A4365" w:rsidR="000A4365" w:rsidTr="000A4365">
        <w:tc>
          <w:tcPr>
            <w:tcW w:w="1188" w:type="dxa"/>
            <w:shd w:val="clear" w:color="auto" w:fill="auto"/>
          </w:tcPr>
          <w:p w:rsidRPr="000A4365" w:rsidR="000A4365" w:rsidP="00A61675" w:rsidRDefault="000A4365">
            <w:pPr>
              <w:rPr>
                <w:bCs/>
              </w:rPr>
            </w:pPr>
            <w:r w:rsidRPr="000A4365">
              <w:rPr>
                <w:bCs/>
              </w:rPr>
              <w:t>QUERC</w:t>
            </w:r>
          </w:p>
        </w:tc>
        <w:tc>
          <w:tcPr>
            <w:tcW w:w="2880" w:type="dxa"/>
            <w:shd w:val="clear" w:color="auto" w:fill="auto"/>
          </w:tcPr>
          <w:p w:rsidRPr="000A4365" w:rsidR="000A4365" w:rsidP="00A61675" w:rsidRDefault="000A4365">
            <w:r w:rsidRPr="000A4365">
              <w:t>Quercus</w:t>
            </w:r>
          </w:p>
        </w:tc>
        <w:tc>
          <w:tcPr>
            <w:tcW w:w="2184" w:type="dxa"/>
            <w:shd w:val="clear" w:color="auto" w:fill="auto"/>
          </w:tcPr>
          <w:p w:rsidRPr="000A4365" w:rsidR="000A4365" w:rsidP="00A61675" w:rsidRDefault="000A4365">
            <w:r w:rsidRPr="000A4365">
              <w:t>Oak</w:t>
            </w:r>
          </w:p>
        </w:tc>
        <w:tc>
          <w:tcPr>
            <w:tcW w:w="1956" w:type="dxa"/>
            <w:shd w:val="clear" w:color="auto" w:fill="auto"/>
          </w:tcPr>
          <w:p w:rsidRPr="000A4365" w:rsidR="000A4365" w:rsidP="00A61675" w:rsidRDefault="000A4365">
            <w:r w:rsidRPr="000A4365">
              <w:t>Upper</w:t>
            </w:r>
          </w:p>
        </w:tc>
      </w:tr>
      <w:tr w:rsidRPr="000A4365" w:rsidR="000A4365" w:rsidTr="000A4365">
        <w:tc>
          <w:tcPr>
            <w:tcW w:w="1188" w:type="dxa"/>
            <w:shd w:val="clear" w:color="auto" w:fill="auto"/>
          </w:tcPr>
          <w:p w:rsidRPr="000A4365" w:rsidR="000A4365" w:rsidP="00A61675" w:rsidRDefault="000A4365">
            <w:pPr>
              <w:rPr>
                <w:bCs/>
              </w:rPr>
            </w:pPr>
            <w:r w:rsidRPr="000A4365">
              <w:rPr>
                <w:bCs/>
              </w:rPr>
              <w:t>SCSC</w:t>
            </w:r>
          </w:p>
        </w:tc>
        <w:tc>
          <w:tcPr>
            <w:tcW w:w="2880" w:type="dxa"/>
            <w:shd w:val="clear" w:color="auto" w:fill="auto"/>
          </w:tcPr>
          <w:p w:rsidRPr="000A4365" w:rsidR="000A4365" w:rsidP="00A61675" w:rsidRDefault="000A4365">
            <w:proofErr w:type="spellStart"/>
            <w:r w:rsidRPr="000A4365">
              <w:t>Schizachyrium</w:t>
            </w:r>
            <w:proofErr w:type="spellEnd"/>
            <w:r w:rsidRPr="000A4365">
              <w:t xml:space="preserve"> </w:t>
            </w:r>
            <w:proofErr w:type="spellStart"/>
            <w:r w:rsidRPr="000A4365">
              <w:t>scoparium</w:t>
            </w:r>
            <w:proofErr w:type="spellEnd"/>
          </w:p>
        </w:tc>
        <w:tc>
          <w:tcPr>
            <w:tcW w:w="2184" w:type="dxa"/>
            <w:shd w:val="clear" w:color="auto" w:fill="auto"/>
          </w:tcPr>
          <w:p w:rsidRPr="000A4365" w:rsidR="000A4365" w:rsidP="00A61675" w:rsidRDefault="000A4365">
            <w:r w:rsidRPr="000A4365">
              <w:t>Little bluestem</w:t>
            </w:r>
          </w:p>
        </w:tc>
        <w:tc>
          <w:tcPr>
            <w:tcW w:w="1956" w:type="dxa"/>
            <w:shd w:val="clear" w:color="auto" w:fill="auto"/>
          </w:tcPr>
          <w:p w:rsidRPr="000A4365" w:rsidR="000A4365" w:rsidP="00A61675" w:rsidRDefault="000A4365">
            <w:r w:rsidRPr="000A4365">
              <w:t>Low-Mid</w:t>
            </w:r>
          </w:p>
        </w:tc>
      </w:tr>
    </w:tbl>
    <w:p w:rsidR="000A4365" w:rsidP="000A4365" w:rsidRDefault="000A4365"/>
    <w:p w:rsidR="000A4365" w:rsidP="000A4365" w:rsidRDefault="000A4365">
      <w:pPr>
        <w:pStyle w:val="SClassInfoPara"/>
      </w:pPr>
      <w:r>
        <w:t>Description</w:t>
      </w:r>
    </w:p>
    <w:p w:rsidR="000A4365" w:rsidP="000A4365" w:rsidRDefault="000A4365">
      <w:r>
        <w:t xml:space="preserve">This class would </w:t>
      </w:r>
      <w:r w:rsidR="00D313D5">
        <w:t xml:space="preserve">rarely </w:t>
      </w:r>
      <w:r>
        <w:t xml:space="preserve">occur, and would </w:t>
      </w:r>
      <w:r w:rsidR="00D313D5">
        <w:t>return to</w:t>
      </w:r>
      <w:r>
        <w:t xml:space="preserve"> prairie unless a </w:t>
      </w:r>
      <w:r w:rsidR="00D313D5">
        <w:t xml:space="preserve">succession of </w:t>
      </w:r>
      <w:r>
        <w:t>catastrophic fire with high intensity or extremely intense fires successively</w:t>
      </w:r>
      <w:r w:rsidR="00D313D5">
        <w:t xml:space="preserve"> were to happen</w:t>
      </w:r>
      <w:r>
        <w:t xml:space="preserve">. </w:t>
      </w:r>
      <w:r w:rsidR="00D313D5">
        <w:t>Also, t</w:t>
      </w:r>
      <w:r>
        <w:t>ime of year</w:t>
      </w:r>
      <w:r w:rsidR="00D313D5">
        <w:t xml:space="preserve"> and </w:t>
      </w:r>
      <w:r>
        <w:t>seasonality of fires could</w:t>
      </w:r>
      <w:r w:rsidR="003357F0">
        <w:t xml:space="preserve"> influence a replacement event</w:t>
      </w:r>
      <w:r>
        <w:t xml:space="preserve">, which might have occurred infrequently. </w:t>
      </w:r>
    </w:p>
    <w:p w:rsidR="000A4365" w:rsidP="000A4365" w:rsidRDefault="000A4365"/>
    <w:p w:rsidR="000A4365" w:rsidP="000A4365" w:rsidRDefault="000A4365">
      <w:r>
        <w:t>Fuel complexes for savanna areas were largely prairie grasses and forbs in the understory with widely scattered fire-resistant shrub and oak stems forming the overstory.</w:t>
      </w:r>
    </w:p>
    <w:p w:rsidR="000A4365" w:rsidP="000A4365" w:rsidRDefault="000A4365"/>
    <w:p w:rsidR="000A4365" w:rsidP="000A4365" w:rsidRDefault="003357F0">
      <w:r>
        <w:t>S</w:t>
      </w:r>
      <w:r w:rsidR="000A4365">
        <w:t xml:space="preserve">urface fires </w:t>
      </w:r>
      <w:r>
        <w:t xml:space="preserve">could have occurred </w:t>
      </w:r>
      <w:r w:rsidR="000A4365">
        <w:t xml:space="preserve">because it's a tree/shrub system which won't get </w:t>
      </w:r>
      <w:proofErr w:type="spellStart"/>
      <w:r w:rsidR="000A4365">
        <w:t>topkilled</w:t>
      </w:r>
      <w:proofErr w:type="spellEnd"/>
      <w:r w:rsidR="000A4365">
        <w:t xml:space="preserve">. </w:t>
      </w:r>
    </w:p>
    <w:p w:rsidR="000A4365" w:rsidP="000A4365" w:rsidRDefault="000A4365"/>
    <w:p w:rsidR="000A4365" w:rsidP="000A4365" w:rsidRDefault="000A4365">
      <w:r>
        <w:t xml:space="preserve">Replacement fires could happen under the right conditions to take it all the way back </w:t>
      </w:r>
      <w:r w:rsidR="003357F0">
        <w:t>to regeneration or just knock it back unde</w:t>
      </w:r>
      <w:r>
        <w:t>r the right conditions. This would happen when there is enough fire intensity to top kill the trees, but not enough successive fires to take this</w:t>
      </w:r>
      <w:r w:rsidR="003309A0">
        <w:t xml:space="preserve"> box back to all grass</w:t>
      </w:r>
      <w:r>
        <w:t>. Drought would increase the fire effect in this class.</w:t>
      </w:r>
    </w:p>
    <w:p w:rsidR="000A4365" w:rsidP="000A4365" w:rsidRDefault="000A4365"/>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Early1:OPN</w:t>
            </w:r>
          </w:p>
        </w:tc>
        <w:tc>
          <w:p>
            <w:pPr>
              <w:jc w:val="center"/>
            </w:pPr>
            <w:r>
              <w:rPr>
                <w:sz w:val="20"/>
              </w:rPr>
              <w:t>999</w:t>
            </w:r>
          </w:p>
        </w:tc>
      </w:tr>
      <w:tr>
        <w:tc>
          <w:p>
            <w:pPr>
              <w:jc w:val="center"/>
            </w:pPr>
            <w:r>
              <w:rPr>
                <w:sz w:val="20"/>
              </w:rPr>
              <w:t>Mid1:ALL</w:t>
            </w:r>
          </w:p>
        </w:tc>
        <w:tc>
          <w:p>
            <w:pPr>
              <w:jc w:val="center"/>
            </w:pPr>
            <w:r>
              <w:rPr>
                <w:sz w:val="20"/>
              </w:rPr>
              <w:t>6</w:t>
            </w:r>
          </w:p>
        </w:tc>
        <w:tc>
          <w:p>
            <w:pPr>
              <w:jc w:val="center"/>
            </w:pPr>
            <w:r>
              <w:rPr>
                <w:sz w:val="20"/>
              </w:rPr>
              <w:t>Mid1:ALL</w:t>
            </w:r>
          </w:p>
        </w:tc>
        <w:tc>
          <w:p>
            <w:pPr>
              <w:jc w:val="center"/>
            </w:pPr>
            <w:r>
              <w:rPr>
                <w:sz w:val="20"/>
              </w:rPr>
              <w:t>999</w:t>
            </w:r>
          </w:p>
        </w:tc>
      </w:tr>
      <w:tr>
        <w:tc>
          <w:p>
            <w:pPr>
              <w:jc w:val="center"/>
            </w:pPr>
            <w:r>
              <w:rPr>
                <w:sz w:val="20"/>
              </w:rPr>
              <w:t>Mid2:ALL</w:t>
            </w:r>
          </w:p>
        </w:tc>
        <w:tc>
          <w:p>
            <w:pPr>
              <w:jc w:val="center"/>
            </w:pPr>
            <w:r>
              <w:rPr>
                <w:sz w:val="20"/>
              </w:rPr>
              <w:t>20</w:t>
            </w:r>
          </w:p>
        </w:tc>
        <w:tc>
          <w:p>
            <w:pPr>
              <w:jc w:val="center"/>
            </w:pPr>
            <w:r>
              <w:rPr>
                <w:sz w:val="20"/>
              </w:rPr>
              <w:t>Mid2:ALL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Early1:OPN</w:t>
            </w:r>
          </w:p>
        </w:tc>
        <w:tc>
          <w:p>
            <w:pPr>
              <w:jc w:val="center"/>
            </w:pPr>
            <w:r>
              <w:rPr>
                <w:sz w:val="20"/>
              </w:rPr>
              <w:t>Mid1:ALL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0.2857</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Mid1:ALL</w:t>
            </w:r>
          </w:p>
        </w:tc>
        <w:tc>
          <w:p>
            <w:pPr>
              <w:jc w:val="center"/>
            </w:pPr>
            <w:r>
              <w:rPr>
                <w:sz w:val="20"/>
              </w:rPr>
              <w:t>Mid2:ALL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Mid1:ALL</w:t>
            </w:r>
          </w:p>
        </w:tc>
        <w:tc>
          <w:p>
            <w:pPr>
              <w:jc w:val="center"/>
            </w:pPr>
            <w:r>
              <w:rPr>
                <w:sz w:val="20"/>
              </w:rPr>
              <w:t>Mid1:ALL</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Mid1:ALL</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Mid1:ALL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Mid2:ALL</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Mid2:ALL</w:t>
            </w:r>
          </w:p>
        </w:tc>
        <w:tc>
          <w:p>
            <w:pPr>
              <w:jc w:val="center"/>
            </w:pPr>
            <w:r>
              <w:rPr>
                <w:sz w:val="20"/>
              </w:rPr>
              <w:t>Mid2:ALL</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Mid2:ALL</w:t>
            </w:r>
          </w:p>
        </w:tc>
        <w:tc>
          <w:p>
            <w:pPr>
              <w:jc w:val="center"/>
            </w:pPr>
            <w:r>
              <w:rPr>
                <w:sz w:val="20"/>
              </w:rPr>
              <w:t>Mid1:ALL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Mid2:ALL</w:t>
            </w:r>
          </w:p>
        </w:tc>
        <w:tc>
          <w:p>
            <w:pPr>
              <w:jc w:val="center"/>
            </w:pPr>
            <w:r>
              <w:rPr>
                <w:sz w:val="20"/>
              </w:rPr>
              <w:t>Mid2:ALL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A4365" w:rsidP="000A4365" w:rsidRDefault="000A4365">
      <w:r>
        <w:t>Abrams, M.D. 1992. Fire and the development of oak forests. Bioscience. 42: 346-353.</w:t>
      </w:r>
    </w:p>
    <w:p w:rsidR="000A4365" w:rsidP="000A4365" w:rsidRDefault="000A4365"/>
    <w:p w:rsidR="000A4365" w:rsidP="000A4365" w:rsidRDefault="000A4365">
      <w:r>
        <w:t xml:space="preserve">Anderson, R.C. and M.L. Bowles. 1999. Deep-soil savanna and barrens of the Midwestern United States. In: Anderson, R.C., J.S </w:t>
      </w:r>
      <w:proofErr w:type="spellStart"/>
      <w:r>
        <w:t>Fralish</w:t>
      </w:r>
      <w:proofErr w:type="spellEnd"/>
      <w:r>
        <w:t>, and J.M. Baskin, eds. Savanna, Barrens, and Rock Outcrop Communities of North America. Cambridge University Press, Cambridge, UK: 155-170.</w:t>
      </w:r>
    </w:p>
    <w:p w:rsidR="000A4365" w:rsidP="000A4365" w:rsidRDefault="000A4365"/>
    <w:p w:rsidR="000A4365" w:rsidP="000A4365" w:rsidRDefault="000A4365">
      <w:r>
        <w:t xml:space="preserve">Anderson, R.C., J.S. </w:t>
      </w:r>
      <w:proofErr w:type="spellStart"/>
      <w:r>
        <w:t>Fralish</w:t>
      </w:r>
      <w:proofErr w:type="spellEnd"/>
      <w:r>
        <w:t>, and J.M. Baskin, eds. 1999. Savanna, Barrens, and Rock Outcrop Communities of North America. Cambridge University Press, Cambridge, UK.</w:t>
      </w:r>
    </w:p>
    <w:p w:rsidR="000A4365" w:rsidP="000A4365" w:rsidRDefault="000A4365"/>
    <w:p w:rsidR="000A4365" w:rsidP="000A4365" w:rsidRDefault="000A4365">
      <w:r>
        <w:t>Curtis, J.T. 1959. The Vegetation of Wisconsin. University of Wisconsin, Madison, WI.</w:t>
      </w:r>
    </w:p>
    <w:p w:rsidR="000A4365" w:rsidP="000A4365" w:rsidRDefault="000A4365"/>
    <w:p w:rsidR="000A4365" w:rsidP="000A4365" w:rsidRDefault="000A4365">
      <w:r>
        <w:lastRenderedPageBreak/>
        <w:t>Howe, H.F., B. Zorn-Arnold, A. Sullivan, and J.S. Brown. 2006. Massive and distinctive effects of meadow voles on grassland vegetation. Ecology. 87: 3007–3013.</w:t>
      </w:r>
    </w:p>
    <w:p w:rsidR="000A4365" w:rsidP="000A4365" w:rsidRDefault="000A4365"/>
    <w:p w:rsidR="000A4365" w:rsidP="000A4365" w:rsidRDefault="000A4365">
      <w:r>
        <w:t xml:space="preserve">NatureServe. 2007. NatureServe Explorer: An online encyclopedia of life [web application]. Version 4.0. NatureServe, Arlington, VA. 26 November 2007 </w:t>
      </w:r>
    </w:p>
    <w:p w:rsidR="000A4365" w:rsidP="000A4365" w:rsidRDefault="000A4365">
      <w:r>
        <w:t>&lt;http: //www.natureserve.org/explorer&gt;.</w:t>
      </w:r>
    </w:p>
    <w:p w:rsidR="000A4365" w:rsidP="000A4365" w:rsidRDefault="000A4365"/>
    <w:p w:rsidR="000A4365" w:rsidP="000A4365" w:rsidRDefault="000A4365">
      <w:proofErr w:type="spellStart"/>
      <w:r>
        <w:t>Transeau</w:t>
      </w:r>
      <w:proofErr w:type="spellEnd"/>
      <w:r>
        <w:t>, E.N. 1935. The prairie peninsula. Ecology 16: 423-437.</w:t>
      </w:r>
    </w:p>
    <w:p w:rsidR="000A4365" w:rsidP="000A4365" w:rsidRDefault="000A4365"/>
    <w:p w:rsidR="000A4365" w:rsidP="000A4365" w:rsidRDefault="000A4365">
      <w:r>
        <w:t>Whitney, G.G. 1994. From Coastal Wilderness to Fruited Plain: a history of environmental change in temperate North America from 1500 to the present. Cambridge University Press, Cambridge, UK.</w:t>
      </w:r>
    </w:p>
    <w:p w:rsidR="000A4365" w:rsidP="000A4365" w:rsidRDefault="000A4365"/>
    <w:p w:rsidR="000A4365" w:rsidP="000A4365" w:rsidRDefault="000A4365">
      <w:r>
        <w:t>USDA Forest Service, Rocky Mountain Research Station, Fire Sciences Laboratory (2002, December). Fire Effects Information System, Kuchler Type: Mosaic of bluestem prairie and oak-hickory forest. &lt;http: //www.fs.fed.us/database/feis/&gt;.</w:t>
      </w:r>
    </w:p>
    <w:p w:rsidR="000A4365" w:rsidP="000A4365" w:rsidRDefault="000A4365"/>
    <w:p w:rsidR="000A4365" w:rsidP="000A4365" w:rsidRDefault="000A4365">
      <w:r>
        <w:t xml:space="preserve">Woods, A.J., J.M. Omernik, C.S. Brockman, T.D. Gerber, W.D. </w:t>
      </w:r>
      <w:proofErr w:type="spellStart"/>
      <w:r>
        <w:t>Hosteter</w:t>
      </w:r>
      <w:proofErr w:type="spellEnd"/>
      <w:r>
        <w:t>, and S.H. Azevedo. 1998. Ecoregions of Indiana and Ohio (2-sided color poster with map, descriptive text, summary tables, and photographs): Reston, Virginia, U.S. Geological Survey, scale 1: 500,000.</w:t>
      </w:r>
    </w:p>
    <w:p w:rsidRPr="00A43E41" w:rsidR="004D5F12" w:rsidP="000A436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CA2" w:rsidRDefault="00DD1CA2">
      <w:r>
        <w:separator/>
      </w:r>
    </w:p>
  </w:endnote>
  <w:endnote w:type="continuationSeparator" w:id="0">
    <w:p w:rsidR="00DD1CA2" w:rsidRDefault="00DD1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365" w:rsidRDefault="000A4365" w:rsidP="000A436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CA2" w:rsidRDefault="00DD1CA2">
      <w:r>
        <w:separator/>
      </w:r>
    </w:p>
  </w:footnote>
  <w:footnote w:type="continuationSeparator" w:id="0">
    <w:p w:rsidR="00DD1CA2" w:rsidRDefault="00DD1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A436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365"/>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365"/>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CF0"/>
    <w:rsid w:val="000F0D84"/>
    <w:rsid w:val="000F0FE2"/>
    <w:rsid w:val="000F14BC"/>
    <w:rsid w:val="000F51F9"/>
    <w:rsid w:val="000F77CD"/>
    <w:rsid w:val="0010237B"/>
    <w:rsid w:val="00102923"/>
    <w:rsid w:val="00102C7B"/>
    <w:rsid w:val="00103D06"/>
    <w:rsid w:val="001051B6"/>
    <w:rsid w:val="001057F0"/>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375"/>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182"/>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09A0"/>
    <w:rsid w:val="00331380"/>
    <w:rsid w:val="0033425A"/>
    <w:rsid w:val="003342BF"/>
    <w:rsid w:val="00334753"/>
    <w:rsid w:val="003357F0"/>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4EE5"/>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6CE7"/>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D5"/>
    <w:rsid w:val="00D335C9"/>
    <w:rsid w:val="00D33E61"/>
    <w:rsid w:val="00D34939"/>
    <w:rsid w:val="00D352B4"/>
    <w:rsid w:val="00D37B60"/>
    <w:rsid w:val="00D4099C"/>
    <w:rsid w:val="00D42B59"/>
    <w:rsid w:val="00D42C16"/>
    <w:rsid w:val="00D4454D"/>
    <w:rsid w:val="00D44ACD"/>
    <w:rsid w:val="00D44D02"/>
    <w:rsid w:val="00D44E44"/>
    <w:rsid w:val="00D44EC1"/>
    <w:rsid w:val="00D45B7A"/>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1D0A"/>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CA2"/>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C7050"/>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D1A65D-9BC6-46AA-9E6B-615364EF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C7050"/>
    <w:pPr>
      <w:ind w:left="720"/>
    </w:pPr>
    <w:rPr>
      <w:rFonts w:ascii="Calibri" w:eastAsia="Calibri" w:hAnsi="Calibri"/>
      <w:sz w:val="22"/>
      <w:szCs w:val="22"/>
    </w:rPr>
  </w:style>
  <w:style w:type="character" w:styleId="Hyperlink">
    <w:name w:val="Hyperlink"/>
    <w:rsid w:val="00EC7050"/>
    <w:rPr>
      <w:color w:val="0000FF"/>
      <w:u w:val="single"/>
    </w:rPr>
  </w:style>
  <w:style w:type="paragraph" w:styleId="BalloonText">
    <w:name w:val="Balloon Text"/>
    <w:basedOn w:val="Normal"/>
    <w:link w:val="BalloonTextChar"/>
    <w:uiPriority w:val="99"/>
    <w:semiHidden/>
    <w:unhideWhenUsed/>
    <w:rsid w:val="00D45B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B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077478">
      <w:bodyDiv w:val="1"/>
      <w:marLeft w:val="0"/>
      <w:marRight w:val="0"/>
      <w:marTop w:val="0"/>
      <w:marBottom w:val="0"/>
      <w:divBdr>
        <w:top w:val="none" w:sz="0" w:space="0" w:color="auto"/>
        <w:left w:val="none" w:sz="0" w:space="0" w:color="auto"/>
        <w:bottom w:val="none" w:sz="0" w:space="0" w:color="auto"/>
        <w:right w:val="none" w:sz="0" w:space="0" w:color="auto"/>
      </w:divBdr>
    </w:div>
    <w:div w:id="84077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2014-08-21T15:08:00Z</cp:lastPrinted>
  <dcterms:created xsi:type="dcterms:W3CDTF">2018-04-16T21:41:00Z</dcterms:created>
  <dcterms:modified xsi:type="dcterms:W3CDTF">2018-06-20T01:12:00Z</dcterms:modified>
</cp:coreProperties>
</file>