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76F" w:rsidP="0003476F" w:rsidRDefault="0003476F" w14:paraId="2AC56C68" w14:textId="77777777">
      <w:pPr>
        <w:pStyle w:val="BpSTitle"/>
      </w:pPr>
      <w:r>
        <w:t>16110</w:t>
      </w:r>
    </w:p>
    <w:p w:rsidR="006971A7" w:rsidP="0003476F" w:rsidRDefault="009F0ACF" w14:paraId="4CC92045" w14:textId="235A1FE9">
      <w:pPr>
        <w:pStyle w:val="BpSTitle"/>
      </w:pPr>
      <w:r w:rsidRPr="009F0ACF">
        <w:t>Western North American Boreal Mesic Bluejoint-Forb Meadow</w:t>
      </w:r>
    </w:p>
    <w:p w:rsidR="0003476F" w:rsidP="0003476F" w:rsidRDefault="0003476F" w14:paraId="16D902A0" w14:textId="77777777">
      <w:r>
        <w:t xmlns:w="http://schemas.openxmlformats.org/wordprocessingml/2006/main">BpS Model/Description Version: Nov. 2024</w:t>
      </w:r>
      <w:r>
        <w:tab/>
      </w:r>
      <w:r>
        <w:tab/>
      </w:r>
      <w:r>
        <w:tab/>
      </w:r>
      <w:r>
        <w:tab/>
      </w:r>
      <w:r>
        <w:tab/>
      </w:r>
      <w:r>
        <w:tab/>
      </w:r>
      <w:r>
        <w:tab/>
      </w:r>
      <w:r>
        <w:tab/>
      </w:r>
    </w:p>
    <w:p w:rsidR="0003476F" w:rsidP="0003476F" w:rsidRDefault="0003476F" w14:paraId="1E467A2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08"/>
        <w:gridCol w:w="1392"/>
        <w:gridCol w:w="852"/>
      </w:tblGrid>
      <w:tr w:rsidRPr="0003476F" w:rsidR="0003476F" w:rsidTr="0003476F" w14:paraId="405BC75F" w14:textId="77777777">
        <w:tc>
          <w:tcPr>
            <w:tcW w:w="1680" w:type="dxa"/>
            <w:tcBorders>
              <w:top w:val="single" w:color="auto" w:sz="2" w:space="0"/>
              <w:left w:val="single" w:color="auto" w:sz="12" w:space="0"/>
              <w:bottom w:val="single" w:color="000000" w:sz="12" w:space="0"/>
            </w:tcBorders>
            <w:shd w:val="clear" w:color="auto" w:fill="auto"/>
          </w:tcPr>
          <w:p w:rsidRPr="0003476F" w:rsidR="0003476F" w:rsidP="002E27FC" w:rsidRDefault="0003476F" w14:paraId="10CA308C" w14:textId="77777777">
            <w:pPr>
              <w:rPr>
                <w:b/>
                <w:bCs/>
              </w:rPr>
            </w:pPr>
            <w:r w:rsidRPr="0003476F">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03476F" w:rsidR="0003476F" w:rsidP="002E27FC" w:rsidRDefault="0003476F" w14:paraId="37B52BA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3476F" w:rsidR="0003476F" w:rsidP="002E27FC" w:rsidRDefault="0003476F" w14:paraId="3C5943E5" w14:textId="77777777">
            <w:pPr>
              <w:rPr>
                <w:b/>
                <w:bCs/>
              </w:rPr>
            </w:pPr>
            <w:r w:rsidRPr="0003476F">
              <w:rPr>
                <w:b/>
                <w:bCs/>
              </w:rPr>
              <w:t>Reviewers</w:t>
            </w:r>
          </w:p>
        </w:tc>
        <w:tc>
          <w:tcPr>
            <w:tcW w:w="852" w:type="dxa"/>
            <w:tcBorders>
              <w:top w:val="single" w:color="auto" w:sz="2" w:space="0"/>
              <w:bottom w:val="single" w:color="000000" w:sz="12" w:space="0"/>
            </w:tcBorders>
            <w:shd w:val="clear" w:color="auto" w:fill="auto"/>
          </w:tcPr>
          <w:p w:rsidRPr="0003476F" w:rsidR="0003476F" w:rsidP="002E27FC" w:rsidRDefault="0003476F" w14:paraId="478E7CEF" w14:textId="77777777">
            <w:pPr>
              <w:rPr>
                <w:b/>
                <w:bCs/>
              </w:rPr>
            </w:pPr>
          </w:p>
        </w:tc>
      </w:tr>
      <w:tr w:rsidRPr="0003476F" w:rsidR="0003476F" w:rsidTr="0003476F" w14:paraId="2F093086" w14:textId="77777777">
        <w:tc>
          <w:tcPr>
            <w:tcW w:w="1680" w:type="dxa"/>
            <w:tcBorders>
              <w:top w:val="single" w:color="000000" w:sz="12" w:space="0"/>
              <w:left w:val="single" w:color="auto" w:sz="12" w:space="0"/>
            </w:tcBorders>
            <w:shd w:val="clear" w:color="auto" w:fill="auto"/>
          </w:tcPr>
          <w:p w:rsidRPr="0003476F" w:rsidR="0003476F" w:rsidP="002E27FC" w:rsidRDefault="0003476F" w14:paraId="1BFC6C98" w14:textId="77777777">
            <w:pPr>
              <w:rPr>
                <w:bCs/>
              </w:rPr>
            </w:pPr>
            <w:r w:rsidRPr="0003476F">
              <w:rPr>
                <w:bCs/>
              </w:rPr>
              <w:t>Tina Boucher</w:t>
            </w:r>
          </w:p>
        </w:tc>
        <w:tc>
          <w:tcPr>
            <w:tcW w:w="2508" w:type="dxa"/>
            <w:tcBorders>
              <w:top w:val="single" w:color="000000" w:sz="12" w:space="0"/>
              <w:right w:val="single" w:color="000000" w:sz="12" w:space="0"/>
            </w:tcBorders>
            <w:shd w:val="clear" w:color="auto" w:fill="auto"/>
          </w:tcPr>
          <w:p w:rsidRPr="0003476F" w:rsidR="0003476F" w:rsidP="002E27FC" w:rsidRDefault="0003476F" w14:paraId="3DDEB7F8" w14:textId="77777777">
            <w:r w:rsidRPr="0003476F">
              <w:t>antvb@uaa.alaska.edu</w:t>
            </w:r>
          </w:p>
        </w:tc>
        <w:tc>
          <w:tcPr>
            <w:tcW w:w="1392" w:type="dxa"/>
            <w:tcBorders>
              <w:top w:val="single" w:color="000000" w:sz="12" w:space="0"/>
              <w:left w:val="single" w:color="000000" w:sz="12" w:space="0"/>
            </w:tcBorders>
            <w:shd w:val="clear" w:color="auto" w:fill="auto"/>
          </w:tcPr>
          <w:p w:rsidRPr="0003476F" w:rsidR="0003476F" w:rsidP="002E27FC" w:rsidRDefault="0003476F" w14:paraId="24447A24" w14:textId="77777777">
            <w:r w:rsidRPr="0003476F">
              <w:t>None</w:t>
            </w:r>
          </w:p>
        </w:tc>
        <w:tc>
          <w:tcPr>
            <w:tcW w:w="852" w:type="dxa"/>
            <w:tcBorders>
              <w:top w:val="single" w:color="000000" w:sz="12" w:space="0"/>
            </w:tcBorders>
            <w:shd w:val="clear" w:color="auto" w:fill="auto"/>
          </w:tcPr>
          <w:p w:rsidRPr="0003476F" w:rsidR="0003476F" w:rsidP="002E27FC" w:rsidRDefault="0003476F" w14:paraId="720E70C5" w14:textId="77777777">
            <w:r w:rsidRPr="0003476F">
              <w:t>None</w:t>
            </w:r>
          </w:p>
        </w:tc>
      </w:tr>
      <w:tr w:rsidRPr="0003476F" w:rsidR="0003476F" w:rsidTr="0003476F" w14:paraId="77EFF44C" w14:textId="77777777">
        <w:tc>
          <w:tcPr>
            <w:tcW w:w="1680" w:type="dxa"/>
            <w:tcBorders>
              <w:left w:val="single" w:color="auto" w:sz="12" w:space="0"/>
            </w:tcBorders>
            <w:shd w:val="clear" w:color="auto" w:fill="auto"/>
          </w:tcPr>
          <w:p w:rsidRPr="0003476F" w:rsidR="0003476F" w:rsidP="002E27FC" w:rsidRDefault="0003476F" w14:paraId="0E97615F" w14:textId="77777777">
            <w:pPr>
              <w:rPr>
                <w:bCs/>
              </w:rPr>
            </w:pPr>
            <w:r w:rsidRPr="0003476F">
              <w:rPr>
                <w:bCs/>
              </w:rPr>
              <w:t>Colleen Ryan</w:t>
            </w:r>
          </w:p>
        </w:tc>
        <w:tc>
          <w:tcPr>
            <w:tcW w:w="2508" w:type="dxa"/>
            <w:tcBorders>
              <w:right w:val="single" w:color="000000" w:sz="12" w:space="0"/>
            </w:tcBorders>
            <w:shd w:val="clear" w:color="auto" w:fill="auto"/>
          </w:tcPr>
          <w:p w:rsidRPr="0003476F" w:rsidR="0003476F" w:rsidP="002E27FC" w:rsidRDefault="0003476F" w14:paraId="607F2112" w14:textId="77777777">
            <w:r w:rsidRPr="0003476F">
              <w:t>colleen_ryan@tnc.org</w:t>
            </w:r>
          </w:p>
        </w:tc>
        <w:tc>
          <w:tcPr>
            <w:tcW w:w="1392" w:type="dxa"/>
            <w:tcBorders>
              <w:left w:val="single" w:color="000000" w:sz="12" w:space="0"/>
            </w:tcBorders>
            <w:shd w:val="clear" w:color="auto" w:fill="auto"/>
          </w:tcPr>
          <w:p w:rsidRPr="0003476F" w:rsidR="0003476F" w:rsidP="002E27FC" w:rsidRDefault="0003476F" w14:paraId="0824AC26" w14:textId="77777777">
            <w:r w:rsidRPr="0003476F">
              <w:t>None</w:t>
            </w:r>
          </w:p>
        </w:tc>
        <w:tc>
          <w:tcPr>
            <w:tcW w:w="852" w:type="dxa"/>
            <w:shd w:val="clear" w:color="auto" w:fill="auto"/>
          </w:tcPr>
          <w:p w:rsidRPr="0003476F" w:rsidR="0003476F" w:rsidP="002E27FC" w:rsidRDefault="0003476F" w14:paraId="01ECE3E8" w14:textId="77777777">
            <w:r w:rsidRPr="0003476F">
              <w:t>None</w:t>
            </w:r>
          </w:p>
        </w:tc>
      </w:tr>
      <w:tr w:rsidRPr="0003476F" w:rsidR="0003476F" w:rsidTr="0003476F" w14:paraId="09140BF4" w14:textId="77777777">
        <w:tc>
          <w:tcPr>
            <w:tcW w:w="1680" w:type="dxa"/>
            <w:tcBorders>
              <w:left w:val="single" w:color="auto" w:sz="12" w:space="0"/>
              <w:bottom w:val="single" w:color="auto" w:sz="2" w:space="0"/>
            </w:tcBorders>
            <w:shd w:val="clear" w:color="auto" w:fill="auto"/>
          </w:tcPr>
          <w:p w:rsidRPr="0003476F" w:rsidR="0003476F" w:rsidP="002E27FC" w:rsidRDefault="0003476F" w14:paraId="4B7C1095" w14:textId="77777777">
            <w:pPr>
              <w:rPr>
                <w:bCs/>
              </w:rPr>
            </w:pPr>
            <w:r w:rsidRPr="0003476F">
              <w:rPr>
                <w:bCs/>
              </w:rPr>
              <w:t>None</w:t>
            </w:r>
          </w:p>
        </w:tc>
        <w:tc>
          <w:tcPr>
            <w:tcW w:w="2508" w:type="dxa"/>
            <w:tcBorders>
              <w:right w:val="single" w:color="000000" w:sz="12" w:space="0"/>
            </w:tcBorders>
            <w:shd w:val="clear" w:color="auto" w:fill="auto"/>
          </w:tcPr>
          <w:p w:rsidRPr="0003476F" w:rsidR="0003476F" w:rsidP="002E27FC" w:rsidRDefault="0003476F" w14:paraId="7194F02E" w14:textId="77777777">
            <w:r w:rsidRPr="0003476F">
              <w:t>None</w:t>
            </w:r>
          </w:p>
        </w:tc>
        <w:tc>
          <w:tcPr>
            <w:tcW w:w="1392" w:type="dxa"/>
            <w:tcBorders>
              <w:left w:val="single" w:color="000000" w:sz="12" w:space="0"/>
              <w:bottom w:val="single" w:color="auto" w:sz="2" w:space="0"/>
            </w:tcBorders>
            <w:shd w:val="clear" w:color="auto" w:fill="auto"/>
          </w:tcPr>
          <w:p w:rsidRPr="0003476F" w:rsidR="0003476F" w:rsidP="002E27FC" w:rsidRDefault="0003476F" w14:paraId="79CEFC8F" w14:textId="77777777">
            <w:r w:rsidRPr="0003476F">
              <w:t>None</w:t>
            </w:r>
          </w:p>
        </w:tc>
        <w:tc>
          <w:tcPr>
            <w:tcW w:w="852" w:type="dxa"/>
            <w:shd w:val="clear" w:color="auto" w:fill="auto"/>
          </w:tcPr>
          <w:p w:rsidRPr="0003476F" w:rsidR="0003476F" w:rsidP="002E27FC" w:rsidRDefault="0003476F" w14:paraId="14BBF0DD" w14:textId="77777777">
            <w:r w:rsidRPr="0003476F">
              <w:t>None</w:t>
            </w:r>
          </w:p>
        </w:tc>
      </w:tr>
    </w:tbl>
    <w:p w:rsidRPr="00122507" w:rsidR="00122507" w:rsidP="0003476F" w:rsidRDefault="00122507" w14:paraId="70BC271B" w14:textId="77777777">
      <w:pPr>
        <w:pStyle w:val="InfoPara"/>
        <w:rPr>
          <w:b w:val="0"/>
        </w:rPr>
      </w:pPr>
      <w:r>
        <w:t>Reviewer:</w:t>
      </w:r>
      <w:r>
        <w:rPr>
          <w:b w:val="0"/>
        </w:rPr>
        <w:t xml:space="preserve"> Robin Innes</w:t>
      </w:r>
    </w:p>
    <w:p w:rsidR="0003476F" w:rsidP="0003476F" w:rsidRDefault="0003476F" w14:paraId="7D3537FB" w14:textId="77777777">
      <w:pPr>
        <w:pStyle w:val="InfoPara"/>
      </w:pPr>
      <w:r>
        <w:t>Vegetation Type</w:t>
      </w:r>
    </w:p>
    <w:p w:rsidR="0003476F" w:rsidP="0003476F" w:rsidRDefault="0003476F" w14:paraId="7DB19E14" w14:textId="217B15D0">
      <w:r>
        <w:t>Herbaceous</w:t>
      </w:r>
    </w:p>
    <w:p w:rsidR="0003476F" w:rsidP="0003476F" w:rsidRDefault="0003476F" w14:paraId="220A55E3" w14:textId="77777777">
      <w:pPr>
        <w:pStyle w:val="InfoPara"/>
      </w:pPr>
      <w:r w:rsidR="0E9C0C4B">
        <w:rPr/>
        <w:t>Map Zones</w:t>
      </w:r>
    </w:p>
    <w:p w:rsidR="0003476F" w:rsidP="0E9C0C4B" w:rsidRDefault="001A0DE2" w14:paraId="018D993F" w14:textId="56B17640">
      <w:pPr>
        <w:pStyle w:val="Normal"/>
      </w:pPr>
      <w:r w:rsidRPr="0E9C0C4B" w:rsidR="0E9C0C4B">
        <w:rPr>
          <w:rFonts w:ascii="Times New Roman" w:hAnsi="Times New Roman" w:eastAsia="Times New Roman" w:cs="Times New Roman"/>
          <w:noProof w:val="0"/>
          <w:sz w:val="24"/>
          <w:szCs w:val="24"/>
          <w:lang w:val="en-US"/>
        </w:rPr>
        <w:t>68, 69, 70, 71, 72, 73, 74, 75, 76, 77, 78, 80</w:t>
      </w:r>
    </w:p>
    <w:p w:rsidR="0003476F" w:rsidP="0003476F" w:rsidRDefault="0003476F" w14:paraId="303CA6B5" w14:textId="77777777">
      <w:pPr>
        <w:pStyle w:val="InfoPara"/>
      </w:pPr>
      <w:r>
        <w:t>Geographic Range</w:t>
      </w:r>
    </w:p>
    <w:p w:rsidR="0003476F" w:rsidP="0003476F" w:rsidRDefault="0003476F" w14:paraId="21D436AA" w14:textId="7413A66D">
      <w:r>
        <w:t xml:space="preserve">This </w:t>
      </w:r>
      <w:r w:rsidR="00A4019C">
        <w:t>Biophysical Setting (BpS)</w:t>
      </w:r>
      <w:r>
        <w:t xml:space="preserve"> occurs throughout the boreal and boreal transition regions of AK, though it appears to be less common north of the AK Range (NatureServe 2008).</w:t>
      </w:r>
    </w:p>
    <w:p w:rsidR="0003476F" w:rsidP="0003476F" w:rsidRDefault="0003476F" w14:paraId="6541CC9E" w14:textId="77777777">
      <w:pPr>
        <w:pStyle w:val="InfoPara"/>
      </w:pPr>
      <w:r>
        <w:t>Biophysical Site Description</w:t>
      </w:r>
    </w:p>
    <w:p w:rsidR="0003476F" w:rsidP="0003476F" w:rsidRDefault="0003476F" w14:paraId="2853BC14" w14:textId="77777777">
      <w:r>
        <w:t xml:space="preserve">Soils are typically fine-textured mineral and may be poorly drained (on flats) to well drained (on sideslopes). In the Sub-boreal region, mesic </w:t>
      </w:r>
      <w:r w:rsidRPr="00C95C45">
        <w:rPr>
          <w:i/>
          <w:iCs/>
        </w:rPr>
        <w:t>Calamagrostis canadensis</w:t>
      </w:r>
      <w:r>
        <w:t xml:space="preserve"> meadows often occur near treeline interspersed with subalpine tall shrub (NatureServe 2008). Its elevational limit is just above the limit of tall shrub (within 100m). This system may also occur as a small patch in drained lake beds within the boreal region.</w:t>
      </w:r>
    </w:p>
    <w:p w:rsidR="0003476F" w:rsidP="0003476F" w:rsidRDefault="0003476F" w14:paraId="2F631200" w14:textId="77777777">
      <w:pPr>
        <w:pStyle w:val="InfoPara"/>
      </w:pPr>
      <w:r>
        <w:t>Vegetation Description</w:t>
      </w:r>
    </w:p>
    <w:p w:rsidR="0003476F" w:rsidP="0003476F" w:rsidRDefault="0003476F" w14:paraId="06B64F76" w14:textId="77777777">
      <w:r w:rsidRPr="007E039C">
        <w:rPr>
          <w:i/>
          <w:iCs/>
        </w:rPr>
        <w:t>Calamagrostis canadensis</w:t>
      </w:r>
      <w:r>
        <w:t xml:space="preserve"> is the species that characterizes this system, though other grasses, forbs, and ferns may codominate. Fern- and forb-dominated patches commonly occur in a matrix of bluejoint meadow. Mosses are uncommon, but patchy feathermosses may be present in more open stands. Lichens and woody plants are absent or scarce, though this system is often found in a mosaic with tall shrub (especially alder) communities (Viereck et al. 1992). </w:t>
      </w:r>
    </w:p>
    <w:p w:rsidR="0003476F" w:rsidP="0003476F" w:rsidRDefault="0003476F" w14:paraId="1B1323F5" w14:textId="77777777"/>
    <w:p w:rsidR="0003476F" w:rsidP="0003476F" w:rsidRDefault="0003476F" w14:paraId="4857296C" w14:textId="7A8824A3">
      <w:r>
        <w:t xml:space="preserve">The vegetation is usually dense, with canopy height of 0.8 to 1.4 meters, occasionally reaching 2 meters (Viereck et al. 1992). Species composition ranges from nearly pure stands of </w:t>
      </w:r>
      <w:r w:rsidRPr="00507EBA">
        <w:rPr>
          <w:i/>
          <w:iCs/>
        </w:rPr>
        <w:t>Calamagrostis</w:t>
      </w:r>
      <w:r>
        <w:t xml:space="preserve"> </w:t>
      </w:r>
      <w:r w:rsidRPr="00507EBA">
        <w:rPr>
          <w:i/>
          <w:iCs/>
        </w:rPr>
        <w:t>canadensis</w:t>
      </w:r>
      <w:r>
        <w:t xml:space="preserve"> to mixtures of </w:t>
      </w:r>
      <w:r w:rsidRPr="00507EBA">
        <w:rPr>
          <w:i/>
          <w:iCs/>
        </w:rPr>
        <w:t>C.</w:t>
      </w:r>
      <w:r>
        <w:t xml:space="preserve"> </w:t>
      </w:r>
      <w:r w:rsidRPr="00507EBA">
        <w:rPr>
          <w:i/>
          <w:iCs/>
        </w:rPr>
        <w:t>canadensis</w:t>
      </w:r>
      <w:r>
        <w:t xml:space="preserve"> with forbs, ferns</w:t>
      </w:r>
      <w:r w:rsidR="00A42491">
        <w:t>,</w:t>
      </w:r>
      <w:r>
        <w:t xml:space="preserve"> and other grasses, including </w:t>
      </w:r>
      <w:r w:rsidRPr="00A42491">
        <w:rPr>
          <w:i/>
          <w:iCs/>
        </w:rPr>
        <w:t xml:space="preserve">Heracleum maximum, Angelica lucida, Chamerion angustifolium, Athyrium filix-femina, Dryopteris expansa, Equisetum arvense </w:t>
      </w:r>
      <w:r w:rsidRPr="00A42491">
        <w:t>and</w:t>
      </w:r>
      <w:r w:rsidRPr="00A42491">
        <w:rPr>
          <w:i/>
          <w:iCs/>
        </w:rPr>
        <w:t xml:space="preserve"> Veratrum viride</w:t>
      </w:r>
      <w:r>
        <w:t xml:space="preserve"> (Viereck et al 1992).</w:t>
      </w:r>
    </w:p>
    <w:p w:rsidR="0003476F" w:rsidP="0003476F" w:rsidRDefault="0003476F" w14:paraId="52DCEFA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 ssp.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HEMA80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Heracleum maximum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cowparsnip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bl>
    <w:p>
      <w:r>
        <w:rPr>
          <w:sz w:val="16"/>
        </w:rPr>
        <w:t>Species names are from the NRCS PLANTS database. Check species codes at http://plants.usda.gov.</w:t>
      </w:r>
    </w:p>
    <w:p w:rsidR="00601820" w:rsidP="0003476F" w:rsidRDefault="00601820" w14:paraId="79582A13" w14:textId="77777777">
      <w:pPr>
        <w:pStyle w:val="InfoPara"/>
      </w:pPr>
    </w:p>
    <w:p w:rsidR="0003476F" w:rsidP="0003476F" w:rsidRDefault="0003476F" w14:paraId="2C0EE81D" w14:textId="027C65C0">
      <w:pPr>
        <w:pStyle w:val="InfoPara"/>
      </w:pPr>
      <w:r>
        <w:t>Disturbance Description</w:t>
      </w:r>
    </w:p>
    <w:p w:rsidR="0003476F" w:rsidP="0003476F" w:rsidRDefault="0003476F" w14:paraId="52EB7BE0" w14:textId="23F284FF">
      <w:r>
        <w:t xml:space="preserve">Though Mesic Bluejoint Meadows often occur on disturbed sites, the Sub-boreal Mesic Bluejoint Meadow system, as described here, is stable over long periods. The fire regime is likely to be similar to that of the alder tall shrub vegetation </w:t>
      </w:r>
      <w:r w:rsidR="00EC2279">
        <w:t>(Alaska Sub-Boreal Mesic Subalpine Alder Shrubland (</w:t>
      </w:r>
      <w:r w:rsidR="00122507">
        <w:t>BpS</w:t>
      </w:r>
      <w:r w:rsidR="00EC2279">
        <w:t xml:space="preserve"> 16090)</w:t>
      </w:r>
      <w:r w:rsidR="00270435">
        <w:t>)</w:t>
      </w:r>
      <w:r w:rsidR="00EC2279">
        <w:t xml:space="preserve"> </w:t>
      </w:r>
      <w:r>
        <w:t xml:space="preserve">typically found just downslope from this system. However, the Sub-boreal Mesic Bluejoint Meadow system is extremely flammable in early summer prior to green-up. Fires in this time period generally do not burn the duff </w:t>
      </w:r>
      <w:r w:rsidR="00270435">
        <w:t>layer since</w:t>
      </w:r>
      <w:r>
        <w:t xml:space="preserve"> the ground is usually still wet or frozen. </w:t>
      </w:r>
    </w:p>
    <w:p w:rsidR="0003476F" w:rsidP="0003476F" w:rsidRDefault="0003476F" w14:paraId="2EFC1AF7" w14:textId="77777777"/>
    <w:p w:rsidR="002E27FC" w:rsidP="0003476F" w:rsidRDefault="0003476F" w14:paraId="18A3405D" w14:textId="77777777">
      <w:r w:rsidDel="002E27FC">
        <w:t>Avalanches are possible but are unlikely to affect the vegetation.</w:t>
      </w:r>
    </w:p>
    <w:p w:rsidR="0003476F" w:rsidP="0003476F" w:rsidRDefault="0003476F" w14:paraId="54D5CE0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1034</w:t>
            </w:r>
          </w:p>
        </w:tc>
        <w:tc>
          <w:p>
            <w:pPr>
              <w:jc w:val="center"/>
            </w:pPr>
            <w:r>
              <w:t>83</w:t>
            </w:r>
          </w:p>
        </w:tc>
        <w:tc>
          <w:p>
            <w:pPr>
              <w:jc w:val="center"/>
            </w:pPr>
            <w:r>
              <w:t/>
            </w:r>
          </w:p>
        </w:tc>
        <w:tc>
          <w:p>
            <w:pPr>
              <w:jc w:val="center"/>
            </w:pPr>
            <w:r>
              <w:t/>
            </w:r>
          </w:p>
        </w:tc>
      </w:tr>
      <w:tr>
        <w:tc>
          <w:p>
            <w:pPr>
              <w:jc w:val="center"/>
            </w:pPr>
            <w:r>
              <w:t>Moderate (Mixed)</w:t>
            </w:r>
          </w:p>
        </w:tc>
        <w:tc>
          <w:p>
            <w:pPr>
              <w:jc w:val="center"/>
            </w:pPr>
            <w:r>
              <w:t>5112</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860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476F" w:rsidP="0003476F" w:rsidRDefault="0003476F" w14:paraId="711D5029" w14:textId="77777777">
      <w:pPr>
        <w:pStyle w:val="InfoPara"/>
      </w:pPr>
      <w:r>
        <w:t>Scale Description</w:t>
      </w:r>
    </w:p>
    <w:p w:rsidR="0003476F" w:rsidP="0003476F" w:rsidRDefault="0003476F" w14:paraId="0C992238" w14:textId="77777777">
      <w:r>
        <w:t>Large patch</w:t>
      </w:r>
    </w:p>
    <w:p w:rsidR="0003476F" w:rsidP="0003476F" w:rsidRDefault="0003476F" w14:paraId="656943E1" w14:textId="77777777">
      <w:pPr>
        <w:pStyle w:val="InfoPara"/>
      </w:pPr>
      <w:r>
        <w:t>Adjacency or Identification Concerns</w:t>
      </w:r>
    </w:p>
    <w:p w:rsidR="0003476F" w:rsidP="0003476F" w:rsidRDefault="0003476F" w14:paraId="125E0654" w14:textId="2E1D1A7B">
      <w:r>
        <w:t>Mesic Bluejoint</w:t>
      </w:r>
      <w:r w:rsidR="006971A7">
        <w:t>-Forb</w:t>
      </w:r>
      <w:r>
        <w:t xml:space="preserve"> Meadow vegetation may also appear as a seral stage in a variety of other systems following fire or other disturbance. This system includes meadows that are long-term landscape features. This system is typically found just downslope from the Alaska Sub-boreal and Maritime Alpine Mesic Herbaceous Meadow or Alpine Dwarf-Shrubland system and upslope or interspersed with Alaska Sub-Boreal Mesic Subalpine Alder Shrubland. In some </w:t>
      </w:r>
      <w:r w:rsidR="00B27DAD">
        <w:t>cases,</w:t>
      </w:r>
      <w:r>
        <w:t xml:space="preserve"> this system may be found directly adjacent to treeline.</w:t>
      </w:r>
    </w:p>
    <w:p w:rsidR="0003476F" w:rsidP="0003476F" w:rsidRDefault="0003476F" w14:paraId="3C257418" w14:textId="77777777">
      <w:pPr>
        <w:pStyle w:val="InfoPara"/>
      </w:pPr>
      <w:r>
        <w:t>Issues or Problems</w:t>
      </w:r>
    </w:p>
    <w:p w:rsidR="0003476F" w:rsidP="0003476F" w:rsidRDefault="0003476F" w14:paraId="03E3A3AD" w14:textId="5B568BC8">
      <w:r>
        <w:t>In the absence of data, the fire regime for this system was assumed to be similar to that of the Alaska Sub-Boreal Mesic Subalpine Alder Shrubland system</w:t>
      </w:r>
      <w:r w:rsidR="00EC2279">
        <w:t xml:space="preserve"> (</w:t>
      </w:r>
      <w:r w:rsidR="00E3290B">
        <w:t xml:space="preserve">BpS </w:t>
      </w:r>
      <w:r w:rsidR="00EC2279">
        <w:t>16090)</w:t>
      </w:r>
      <w:r>
        <w:t xml:space="preserve"> often found adjacent to this system.</w:t>
      </w:r>
    </w:p>
    <w:p w:rsidR="005079F7" w:rsidP="0003476F" w:rsidRDefault="005079F7" w14:paraId="4F0AC6FD" w14:textId="223D686D"/>
    <w:p w:rsidR="00EC2279" w:rsidP="0003476F" w:rsidRDefault="007C6778" w14:paraId="4446B7E1" w14:textId="1717BE45">
      <w:r>
        <w:t xml:space="preserve">A 2015 literature review on wet and mesic herbaceous systems in AK (Innes 2015) notes that there are few fire history studies in these vegetation types and suggests the possibility that surface and ground fires may be more common than what is documented in the literature. </w:t>
      </w:r>
    </w:p>
    <w:p w:rsidR="00190F9B" w:rsidP="00865542" w:rsidRDefault="0003476F" w14:paraId="3521B122" w14:textId="79390E7D">
      <w:pPr>
        <w:pStyle w:val="InfoPara"/>
      </w:pPr>
      <w:r>
        <w:t>Native Uncharacteristic Conditions</w:t>
      </w:r>
    </w:p>
    <w:p w:rsidRPr="00865542" w:rsidR="00865542" w:rsidP="00865542" w:rsidRDefault="00365BCE" w14:paraId="697E31FE" w14:textId="5ABD9523">
      <w:r>
        <w:t>A climate change study in northwestern AK (</w:t>
      </w:r>
      <w:r w:rsidRPr="0001313D">
        <w:t xml:space="preserve">DeGrange </w:t>
      </w:r>
      <w:r>
        <w:t>et al. 2013) predicted</w:t>
      </w:r>
      <w:r w:rsidR="00122507">
        <w:t xml:space="preserve"> that </w:t>
      </w:r>
      <w:r>
        <w:t>u</w:t>
      </w:r>
      <w:r w:rsidRPr="0001313D">
        <w:t>pland bluejoint reedgrass-herb meadow</w:t>
      </w:r>
      <w:r>
        <w:t>s would increase because of predicted increases in fire frequency and that u</w:t>
      </w:r>
      <w:r w:rsidRPr="0001313D">
        <w:t>pland sedge-mountain-avens meadow</w:t>
      </w:r>
      <w:r>
        <w:t>s would decrease as a result of predicted increase in thermokarst development, shrub expansion, and soil acidification.</w:t>
      </w:r>
    </w:p>
    <w:p w:rsidR="0003476F" w:rsidP="0003476F" w:rsidRDefault="0003476F" w14:paraId="3E0E0A59" w14:textId="29E4FC9C">
      <w:pPr>
        <w:pStyle w:val="InfoPara"/>
      </w:pPr>
      <w:r>
        <w:t>Comments</w:t>
      </w:r>
    </w:p>
    <w:p w:rsidR="007C6778" w:rsidP="007C6778" w:rsidRDefault="007C6778" w14:paraId="1FF8F19D" w14:textId="2EF31D1A">
      <w:r>
        <w:t xml:space="preserve">In 2015 an extensive search was done by FEIS staff to locate information for a synthesis on </w:t>
      </w:r>
      <w:hyperlink w:history="1" r:id="rId7">
        <w:r w:rsidRPr="00E3290B">
          <w:rPr>
            <w:rStyle w:val="Hyperlink"/>
          </w:rPr>
          <w:t>fire regimes of Alaskan wet and mesic herbaceous systems</w:t>
        </w:r>
      </w:hyperlink>
      <w:r>
        <w:t xml:space="preserve"> (Innes 2015). </w:t>
      </w:r>
      <w:r w:rsidRPr="004C5E0E">
        <w:t xml:space="preserve">The synthesis notes that </w:t>
      </w:r>
      <w:r w:rsidRPr="004C5E0E">
        <w:t>“</w:t>
      </w:r>
      <w:r w:rsidRPr="004C5E0E">
        <w:rPr>
          <w:color w:val="000000"/>
          <w:shd w:val="clear" w:color="auto" w:fill="FFFFFF"/>
        </w:rPr>
        <w:t>LANDFIRE models estimated the portions of replacement, surface, and mixed-severity fires likely in wet and mesic herbaceous BpSs but did not include ground fire, which is an integral fire type in many wet and mesic herbaceous systems.”</w:t>
      </w:r>
    </w:p>
    <w:p w:rsidRPr="007C6778" w:rsidR="007C6778" w:rsidP="007C6778" w:rsidRDefault="007C6778" w14:paraId="7EABCD89" w14:textId="77777777"/>
    <w:p w:rsidR="002725EB" w:rsidP="0003476F" w:rsidRDefault="0003476F" w14:paraId="61FC60B7" w14:textId="4457EAB8">
      <w:r>
        <w:t>The fire regime for this system was based on the Alaska Sub-Boreal Mesic Subalpine Alder Shrubland model by Kori Blankenship.</w:t>
      </w:r>
    </w:p>
    <w:p w:rsidR="0003476F" w:rsidP="0003476F" w:rsidRDefault="0003476F" w14:paraId="59F711F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476F" w:rsidP="0003476F" w:rsidRDefault="0003476F" w14:paraId="33097231"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3476F" w:rsidP="0003476F" w:rsidRDefault="0003476F" w14:paraId="07DED269" w14:textId="77777777"/>
    <w:p w:rsidR="0003476F" w:rsidP="0003476F" w:rsidRDefault="0003476F" w14:paraId="0A3AB85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3912"/>
        <w:gridCol w:w="2412"/>
        <w:gridCol w:w="1956"/>
      </w:tblGrid>
      <w:tr w:rsidRPr="0003476F" w:rsidR="0003476F" w:rsidTr="0003476F" w14:paraId="3054FFAB" w14:textId="77777777">
        <w:tc>
          <w:tcPr>
            <w:tcW w:w="1296" w:type="dxa"/>
            <w:tcBorders>
              <w:top w:val="single" w:color="auto" w:sz="2" w:space="0"/>
              <w:bottom w:val="single" w:color="000000" w:sz="12" w:space="0"/>
            </w:tcBorders>
            <w:shd w:val="clear" w:color="auto" w:fill="auto"/>
          </w:tcPr>
          <w:p w:rsidRPr="0003476F" w:rsidR="0003476F" w:rsidP="002E27FC" w:rsidRDefault="0003476F" w14:paraId="09BEFCA3" w14:textId="77777777">
            <w:pPr>
              <w:rPr>
                <w:b/>
                <w:bCs/>
              </w:rPr>
            </w:pPr>
            <w:r w:rsidRPr="0003476F">
              <w:rPr>
                <w:b/>
                <w:bCs/>
              </w:rPr>
              <w:t>Symbol</w:t>
            </w:r>
          </w:p>
        </w:tc>
        <w:tc>
          <w:tcPr>
            <w:tcW w:w="3912" w:type="dxa"/>
            <w:tcBorders>
              <w:top w:val="single" w:color="auto" w:sz="2" w:space="0"/>
              <w:bottom w:val="single" w:color="000000" w:sz="12" w:space="0"/>
            </w:tcBorders>
            <w:shd w:val="clear" w:color="auto" w:fill="auto"/>
          </w:tcPr>
          <w:p w:rsidRPr="0003476F" w:rsidR="0003476F" w:rsidP="002E27FC" w:rsidRDefault="0003476F" w14:paraId="7EEEA592" w14:textId="77777777">
            <w:pPr>
              <w:rPr>
                <w:b/>
                <w:bCs/>
              </w:rPr>
            </w:pPr>
            <w:r w:rsidRPr="0003476F">
              <w:rPr>
                <w:b/>
                <w:bCs/>
              </w:rPr>
              <w:t>Scientific Name</w:t>
            </w:r>
          </w:p>
        </w:tc>
        <w:tc>
          <w:tcPr>
            <w:tcW w:w="2412" w:type="dxa"/>
            <w:tcBorders>
              <w:top w:val="single" w:color="auto" w:sz="2" w:space="0"/>
              <w:bottom w:val="single" w:color="000000" w:sz="12" w:space="0"/>
            </w:tcBorders>
            <w:shd w:val="clear" w:color="auto" w:fill="auto"/>
          </w:tcPr>
          <w:p w:rsidRPr="0003476F" w:rsidR="0003476F" w:rsidP="002E27FC" w:rsidRDefault="0003476F" w14:paraId="2452C043" w14:textId="77777777">
            <w:pPr>
              <w:rPr>
                <w:b/>
                <w:bCs/>
              </w:rPr>
            </w:pPr>
            <w:r w:rsidRPr="0003476F">
              <w:rPr>
                <w:b/>
                <w:bCs/>
              </w:rPr>
              <w:t>Common Name</w:t>
            </w:r>
          </w:p>
        </w:tc>
        <w:tc>
          <w:tcPr>
            <w:tcW w:w="1956" w:type="dxa"/>
            <w:tcBorders>
              <w:top w:val="single" w:color="auto" w:sz="2" w:space="0"/>
              <w:bottom w:val="single" w:color="000000" w:sz="12" w:space="0"/>
            </w:tcBorders>
            <w:shd w:val="clear" w:color="auto" w:fill="auto"/>
          </w:tcPr>
          <w:p w:rsidRPr="0003476F" w:rsidR="0003476F" w:rsidP="002E27FC" w:rsidRDefault="0003476F" w14:paraId="15A68550" w14:textId="77777777">
            <w:pPr>
              <w:rPr>
                <w:b/>
                <w:bCs/>
              </w:rPr>
            </w:pPr>
            <w:r w:rsidRPr="0003476F">
              <w:rPr>
                <w:b/>
                <w:bCs/>
              </w:rPr>
              <w:t>Canopy Position</w:t>
            </w:r>
          </w:p>
        </w:tc>
      </w:tr>
      <w:tr w:rsidRPr="0003476F" w:rsidR="0003476F" w:rsidTr="0003476F" w14:paraId="0CFF311B" w14:textId="77777777">
        <w:tc>
          <w:tcPr>
            <w:tcW w:w="1296" w:type="dxa"/>
            <w:tcBorders>
              <w:top w:val="single" w:color="000000" w:sz="12" w:space="0"/>
            </w:tcBorders>
            <w:shd w:val="clear" w:color="auto" w:fill="auto"/>
          </w:tcPr>
          <w:p w:rsidRPr="0003476F" w:rsidR="0003476F" w:rsidP="002E27FC" w:rsidRDefault="0003476F" w14:paraId="47E1000A" w14:textId="77777777">
            <w:pPr>
              <w:rPr>
                <w:bCs/>
              </w:rPr>
            </w:pPr>
            <w:r w:rsidRPr="0003476F">
              <w:rPr>
                <w:bCs/>
              </w:rPr>
              <w:t>CACA4</w:t>
            </w:r>
          </w:p>
        </w:tc>
        <w:tc>
          <w:tcPr>
            <w:tcW w:w="3912" w:type="dxa"/>
            <w:tcBorders>
              <w:top w:val="single" w:color="000000" w:sz="12" w:space="0"/>
            </w:tcBorders>
            <w:shd w:val="clear" w:color="auto" w:fill="auto"/>
          </w:tcPr>
          <w:p w:rsidRPr="003606F1" w:rsidR="0003476F" w:rsidP="002E27FC" w:rsidRDefault="0003476F" w14:paraId="1DCB4CF6" w14:textId="77777777">
            <w:pPr>
              <w:rPr>
                <w:i/>
                <w:iCs/>
              </w:rPr>
            </w:pPr>
            <w:r w:rsidRPr="003606F1">
              <w:rPr>
                <w:i/>
                <w:iCs/>
              </w:rPr>
              <w:t>Calamagrostis canadensis</w:t>
            </w:r>
          </w:p>
        </w:tc>
        <w:tc>
          <w:tcPr>
            <w:tcW w:w="2412" w:type="dxa"/>
            <w:tcBorders>
              <w:top w:val="single" w:color="000000" w:sz="12" w:space="0"/>
            </w:tcBorders>
            <w:shd w:val="clear" w:color="auto" w:fill="auto"/>
          </w:tcPr>
          <w:p w:rsidRPr="0003476F" w:rsidR="0003476F" w:rsidP="002E27FC" w:rsidRDefault="0003476F" w14:paraId="1B543E3B" w14:textId="77777777">
            <w:r w:rsidRPr="0003476F">
              <w:t>Bluejoint</w:t>
            </w:r>
          </w:p>
        </w:tc>
        <w:tc>
          <w:tcPr>
            <w:tcW w:w="1956" w:type="dxa"/>
            <w:tcBorders>
              <w:top w:val="single" w:color="000000" w:sz="12" w:space="0"/>
            </w:tcBorders>
            <w:shd w:val="clear" w:color="auto" w:fill="auto"/>
          </w:tcPr>
          <w:p w:rsidRPr="0003476F" w:rsidR="0003476F" w:rsidP="002E27FC" w:rsidRDefault="0003476F" w14:paraId="09E40E24" w14:textId="77777777">
            <w:r w:rsidRPr="0003476F">
              <w:t>Upper</w:t>
            </w:r>
          </w:p>
        </w:tc>
      </w:tr>
      <w:tr w:rsidRPr="0003476F" w:rsidR="0003476F" w:rsidTr="0003476F" w14:paraId="1BE33949" w14:textId="77777777">
        <w:tc>
          <w:tcPr>
            <w:tcW w:w="1296" w:type="dxa"/>
            <w:shd w:val="clear" w:color="auto" w:fill="auto"/>
          </w:tcPr>
          <w:p w:rsidRPr="0003476F" w:rsidR="0003476F" w:rsidP="002E27FC" w:rsidRDefault="0003476F" w14:paraId="350B8ADD" w14:textId="77777777">
            <w:pPr>
              <w:rPr>
                <w:bCs/>
              </w:rPr>
            </w:pPr>
            <w:r w:rsidRPr="0003476F">
              <w:rPr>
                <w:bCs/>
              </w:rPr>
              <w:t>CHANA2</w:t>
            </w:r>
          </w:p>
        </w:tc>
        <w:tc>
          <w:tcPr>
            <w:tcW w:w="3912" w:type="dxa"/>
            <w:shd w:val="clear" w:color="auto" w:fill="auto"/>
          </w:tcPr>
          <w:p w:rsidRPr="003606F1" w:rsidR="0003476F" w:rsidP="002E27FC" w:rsidRDefault="0003476F" w14:paraId="16DB00A7" w14:textId="77777777">
            <w:pPr>
              <w:rPr>
                <w:i/>
                <w:iCs/>
              </w:rPr>
            </w:pPr>
            <w:r w:rsidRPr="003606F1">
              <w:rPr>
                <w:i/>
                <w:iCs/>
              </w:rPr>
              <w:t xml:space="preserve">Chamerion angustifolium </w:t>
            </w:r>
            <w:r w:rsidRPr="003606F1">
              <w:t>ssp</w:t>
            </w:r>
            <w:r w:rsidRPr="003606F1">
              <w:rPr>
                <w:i/>
                <w:iCs/>
              </w:rPr>
              <w:t>. angustifolium</w:t>
            </w:r>
          </w:p>
        </w:tc>
        <w:tc>
          <w:tcPr>
            <w:tcW w:w="2412" w:type="dxa"/>
            <w:shd w:val="clear" w:color="auto" w:fill="auto"/>
          </w:tcPr>
          <w:p w:rsidRPr="0003476F" w:rsidR="0003476F" w:rsidP="002E27FC" w:rsidRDefault="0003476F" w14:paraId="6AB4BB44" w14:textId="77777777">
            <w:r w:rsidRPr="0003476F">
              <w:t>Fireweed</w:t>
            </w:r>
          </w:p>
        </w:tc>
        <w:tc>
          <w:tcPr>
            <w:tcW w:w="1956" w:type="dxa"/>
            <w:shd w:val="clear" w:color="auto" w:fill="auto"/>
          </w:tcPr>
          <w:p w:rsidRPr="0003476F" w:rsidR="0003476F" w:rsidP="002E27FC" w:rsidRDefault="0003476F" w14:paraId="32810D2D" w14:textId="77777777">
            <w:r w:rsidRPr="0003476F">
              <w:t>Upper</w:t>
            </w:r>
          </w:p>
        </w:tc>
      </w:tr>
      <w:tr w:rsidRPr="0003476F" w:rsidR="0003476F" w:rsidTr="0003476F" w14:paraId="222CD312" w14:textId="77777777">
        <w:tc>
          <w:tcPr>
            <w:tcW w:w="1296" w:type="dxa"/>
            <w:shd w:val="clear" w:color="auto" w:fill="auto"/>
          </w:tcPr>
          <w:p w:rsidRPr="0003476F" w:rsidR="0003476F" w:rsidP="002E27FC" w:rsidRDefault="0003476F" w14:paraId="7719795C" w14:textId="77777777">
            <w:pPr>
              <w:rPr>
                <w:bCs/>
              </w:rPr>
            </w:pPr>
            <w:r w:rsidRPr="0003476F">
              <w:rPr>
                <w:bCs/>
              </w:rPr>
              <w:t>HEMA80</w:t>
            </w:r>
          </w:p>
        </w:tc>
        <w:tc>
          <w:tcPr>
            <w:tcW w:w="3912" w:type="dxa"/>
            <w:shd w:val="clear" w:color="auto" w:fill="auto"/>
          </w:tcPr>
          <w:p w:rsidRPr="003606F1" w:rsidR="0003476F" w:rsidP="002E27FC" w:rsidRDefault="0003476F" w14:paraId="2751C871" w14:textId="77777777">
            <w:pPr>
              <w:rPr>
                <w:i/>
                <w:iCs/>
              </w:rPr>
            </w:pPr>
            <w:r w:rsidRPr="003606F1">
              <w:rPr>
                <w:i/>
                <w:iCs/>
              </w:rPr>
              <w:t>Heracleum maximum</w:t>
            </w:r>
          </w:p>
        </w:tc>
        <w:tc>
          <w:tcPr>
            <w:tcW w:w="2412" w:type="dxa"/>
            <w:shd w:val="clear" w:color="auto" w:fill="auto"/>
          </w:tcPr>
          <w:p w:rsidRPr="0003476F" w:rsidR="0003476F" w:rsidP="002E27FC" w:rsidRDefault="0003476F" w14:paraId="07836102" w14:textId="77777777">
            <w:r w:rsidRPr="0003476F">
              <w:t>Common cowparsnip</w:t>
            </w:r>
          </w:p>
        </w:tc>
        <w:tc>
          <w:tcPr>
            <w:tcW w:w="1956" w:type="dxa"/>
            <w:shd w:val="clear" w:color="auto" w:fill="auto"/>
          </w:tcPr>
          <w:p w:rsidRPr="0003476F" w:rsidR="0003476F" w:rsidP="002E27FC" w:rsidRDefault="0003476F" w14:paraId="562D47EB" w14:textId="77777777">
            <w:r w:rsidRPr="0003476F">
              <w:t>Upper</w:t>
            </w:r>
          </w:p>
        </w:tc>
      </w:tr>
      <w:tr w:rsidRPr="0003476F" w:rsidR="0003476F" w:rsidTr="0003476F" w14:paraId="5493986A" w14:textId="77777777">
        <w:tc>
          <w:tcPr>
            <w:tcW w:w="1296" w:type="dxa"/>
            <w:shd w:val="clear" w:color="auto" w:fill="auto"/>
          </w:tcPr>
          <w:p w:rsidRPr="0003476F" w:rsidR="0003476F" w:rsidP="002E27FC" w:rsidRDefault="0003476F" w14:paraId="2CAA2511" w14:textId="77777777">
            <w:pPr>
              <w:rPr>
                <w:bCs/>
              </w:rPr>
            </w:pPr>
            <w:r w:rsidRPr="0003476F">
              <w:rPr>
                <w:bCs/>
              </w:rPr>
              <w:t>ATFI</w:t>
            </w:r>
          </w:p>
        </w:tc>
        <w:tc>
          <w:tcPr>
            <w:tcW w:w="3912" w:type="dxa"/>
            <w:shd w:val="clear" w:color="auto" w:fill="auto"/>
          </w:tcPr>
          <w:p w:rsidRPr="003606F1" w:rsidR="0003476F" w:rsidP="002E27FC" w:rsidRDefault="0003476F" w14:paraId="165CDA9D" w14:textId="77777777">
            <w:pPr>
              <w:rPr>
                <w:i/>
                <w:iCs/>
              </w:rPr>
            </w:pPr>
            <w:r w:rsidRPr="003606F1">
              <w:rPr>
                <w:i/>
                <w:iCs/>
              </w:rPr>
              <w:t>Athyrium filix-femina</w:t>
            </w:r>
          </w:p>
        </w:tc>
        <w:tc>
          <w:tcPr>
            <w:tcW w:w="2412" w:type="dxa"/>
            <w:shd w:val="clear" w:color="auto" w:fill="auto"/>
          </w:tcPr>
          <w:p w:rsidRPr="0003476F" w:rsidR="0003476F" w:rsidP="002E27FC" w:rsidRDefault="0003476F" w14:paraId="033B7FEC" w14:textId="77777777">
            <w:r w:rsidRPr="0003476F">
              <w:t>Common ladyfern</w:t>
            </w:r>
          </w:p>
        </w:tc>
        <w:tc>
          <w:tcPr>
            <w:tcW w:w="1956" w:type="dxa"/>
            <w:shd w:val="clear" w:color="auto" w:fill="auto"/>
          </w:tcPr>
          <w:p w:rsidRPr="0003476F" w:rsidR="0003476F" w:rsidP="002E27FC" w:rsidRDefault="0003476F" w14:paraId="1CA72DC5" w14:textId="77777777">
            <w:r w:rsidRPr="0003476F">
              <w:t>Upper</w:t>
            </w:r>
          </w:p>
        </w:tc>
      </w:tr>
    </w:tbl>
    <w:p w:rsidR="0003476F" w:rsidP="0003476F" w:rsidRDefault="0003476F" w14:paraId="3D4AEDAE" w14:textId="77777777"/>
    <w:p w:rsidR="0003476F" w:rsidP="0003476F" w:rsidRDefault="0003476F" w14:paraId="7E8CF783" w14:textId="77777777">
      <w:pPr>
        <w:pStyle w:val="SClassInfoPara"/>
      </w:pPr>
      <w:r>
        <w:t>Description</w:t>
      </w:r>
    </w:p>
    <w:p w:rsidR="0003476F" w:rsidP="0003476F" w:rsidRDefault="0003476F" w14:paraId="01004B7D" w14:textId="3662713C">
      <w:r>
        <w:t>This class represents the stable Mesic Bluejoint</w:t>
      </w:r>
      <w:r w:rsidR="006971A7">
        <w:t>-Forb</w:t>
      </w:r>
      <w:r>
        <w:t xml:space="preserve"> Meadow system. </w:t>
      </w:r>
      <w:r w:rsidRPr="003606F1">
        <w:rPr>
          <w:i/>
          <w:iCs/>
        </w:rPr>
        <w:t>Calamagrostis canadensis</w:t>
      </w:r>
      <w:r>
        <w:t xml:space="preserve"> and other grasses, forbs and/or ferns dominate the site.</w:t>
      </w:r>
    </w:p>
    <w:p w:rsidR="0003476F" w:rsidP="0003476F" w:rsidRDefault="0003476F" w14:paraId="035CA74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1313D" w:rsidP="0003476F" w:rsidRDefault="0001313D" w14:paraId="29225039" w14:textId="77777777">
      <w:r w:rsidRPr="0001313D">
        <w:t>DeGange, Anthony R.; Marcot, Bruce G.; Lawler, James; Jorgenson, Torre; Winfree, Robert. 2013. Predicting the effects of climate change on ecosystems and wildlife habitat in northwest Alaska: results from the WildCast project. Alaska Park Science. 12(2): 67-73. [89037]</w:t>
      </w:r>
    </w:p>
    <w:p w:rsidR="0001313D" w:rsidP="0003476F" w:rsidRDefault="0001313D" w14:paraId="246C755B" w14:textId="77777777"/>
    <w:p w:rsidR="0003476F" w:rsidP="0003476F" w:rsidRDefault="0003476F" w14:paraId="6FDED728" w14:textId="77777777">
      <w:r>
        <w:t>DeVelice, R.L., Hubbard, C.J., Boggs, K. et al. 1999.  Plant community types of the Chugach National Forest. Tech. Publ. R10-TP-76. Juneau, AK: USDA Forest Service, Alaska Region. 375p.</w:t>
      </w:r>
    </w:p>
    <w:p w:rsidR="00CB0050" w:rsidP="0003476F" w:rsidRDefault="00CB0050" w14:paraId="14D0D837" w14:textId="77777777"/>
    <w:p w:rsidR="00CB0050" w:rsidP="00CB0050" w:rsidRDefault="00CB0050" w14:paraId="67C13629"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03476F" w:rsidP="0003476F" w:rsidRDefault="0003476F" w14:paraId="52F11516" w14:textId="77777777"/>
    <w:p w:rsidR="002725EB" w:rsidP="0003476F" w:rsidRDefault="0003476F" w14:paraId="1F5AC823" w14:textId="2C53BC05">
      <w:r>
        <w:t>Jorgenson, M.T. et al. 2003. An ecological land survey for Fort Richardson, Alaska. Cold Regions Research and Engineering Laboratory, Hanover, New Hampshire, ERDC/CRREL TR-03019.</w:t>
      </w:r>
    </w:p>
    <w:p w:rsidR="0003476F" w:rsidP="0003476F" w:rsidRDefault="0003476F" w14:paraId="765D1C81" w14:textId="77777777"/>
    <w:p w:rsidR="0003476F" w:rsidP="0003476F" w:rsidRDefault="0003476F" w14:paraId="6D1B7B5E" w14:textId="77777777">
      <w:r>
        <w:t>NatureServe. 2008. International Ecological Classification Standard: Terrestrial Ecological Classifications. Draft Ecological Systems Description for Alaska Boreal and Sub-boreal Regions.</w:t>
      </w:r>
    </w:p>
    <w:p w:rsidR="0003476F" w:rsidP="0003476F" w:rsidRDefault="0003476F" w14:paraId="5258C4C0" w14:textId="77777777"/>
    <w:p w:rsidR="0003476F" w:rsidP="0003476F" w:rsidRDefault="0003476F" w14:paraId="3280E07A" w14:textId="77777777">
      <w:r>
        <w:t>Viereck et al. 1992.  The Alaska vegetation classification. Pacific Northwest Research Station, USDA Forest Service, Portland, OR. Gen. Tech. Rep. PNW-GTR286. 278 p.</w:t>
      </w:r>
    </w:p>
    <w:p w:rsidRPr="00A43E41" w:rsidR="004D5F12" w:rsidP="0003476F" w:rsidRDefault="004D5F12" w14:paraId="15308349"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DB7" w:rsidRDefault="00085DB7" w14:paraId="44BAB932" w14:textId="77777777">
      <w:r>
        <w:separator/>
      </w:r>
    </w:p>
  </w:endnote>
  <w:endnote w:type="continuationSeparator" w:id="0">
    <w:p w:rsidR="00085DB7" w:rsidRDefault="00085DB7" w14:paraId="510CD5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FC" w:rsidP="0003476F" w:rsidRDefault="002E27FC" w14:paraId="3B325BE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DB7" w:rsidRDefault="00085DB7" w14:paraId="78672DDA" w14:textId="77777777">
      <w:r>
        <w:separator/>
      </w:r>
    </w:p>
  </w:footnote>
  <w:footnote w:type="continuationSeparator" w:id="0">
    <w:p w:rsidR="00085DB7" w:rsidRDefault="00085DB7" w14:paraId="0787AE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FC" w:rsidP="0003476F" w:rsidRDefault="002E27FC" w14:paraId="5EB1F08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3109821">
    <w:abstractNumId w:val="1"/>
  </w:num>
  <w:num w:numId="2" w16cid:durableId="57805860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6F"/>
    <w:rsid w:val="0001313D"/>
    <w:rsid w:val="00027AB8"/>
    <w:rsid w:val="0003202F"/>
    <w:rsid w:val="0003476F"/>
    <w:rsid w:val="0004797F"/>
    <w:rsid w:val="00077A85"/>
    <w:rsid w:val="00085DB7"/>
    <w:rsid w:val="00097251"/>
    <w:rsid w:val="000A3C63"/>
    <w:rsid w:val="000E1EC5"/>
    <w:rsid w:val="000E759B"/>
    <w:rsid w:val="00110079"/>
    <w:rsid w:val="00117805"/>
    <w:rsid w:val="00122507"/>
    <w:rsid w:val="00174486"/>
    <w:rsid w:val="00186D67"/>
    <w:rsid w:val="00190F9B"/>
    <w:rsid w:val="00196C68"/>
    <w:rsid w:val="001A0DE2"/>
    <w:rsid w:val="001A5277"/>
    <w:rsid w:val="001E43F5"/>
    <w:rsid w:val="002206B7"/>
    <w:rsid w:val="00220975"/>
    <w:rsid w:val="00255802"/>
    <w:rsid w:val="00270435"/>
    <w:rsid w:val="002725EB"/>
    <w:rsid w:val="00272B25"/>
    <w:rsid w:val="00292706"/>
    <w:rsid w:val="002A69B2"/>
    <w:rsid w:val="002B697B"/>
    <w:rsid w:val="002E27FC"/>
    <w:rsid w:val="002E41A1"/>
    <w:rsid w:val="002E5878"/>
    <w:rsid w:val="002F4AC2"/>
    <w:rsid w:val="00300000"/>
    <w:rsid w:val="0031662A"/>
    <w:rsid w:val="003172E2"/>
    <w:rsid w:val="00320910"/>
    <w:rsid w:val="003606F1"/>
    <w:rsid w:val="00365BCE"/>
    <w:rsid w:val="003A0A8C"/>
    <w:rsid w:val="003C703C"/>
    <w:rsid w:val="003F322E"/>
    <w:rsid w:val="00414DA8"/>
    <w:rsid w:val="00424E99"/>
    <w:rsid w:val="0042550C"/>
    <w:rsid w:val="0042737A"/>
    <w:rsid w:val="00443665"/>
    <w:rsid w:val="00447BAA"/>
    <w:rsid w:val="00452B5E"/>
    <w:rsid w:val="00455D4C"/>
    <w:rsid w:val="00476F39"/>
    <w:rsid w:val="00491F12"/>
    <w:rsid w:val="004C5E0E"/>
    <w:rsid w:val="004D5F12"/>
    <w:rsid w:val="004D7DCF"/>
    <w:rsid w:val="004E7DB5"/>
    <w:rsid w:val="004F6321"/>
    <w:rsid w:val="005035F5"/>
    <w:rsid w:val="00503C61"/>
    <w:rsid w:val="005079F7"/>
    <w:rsid w:val="00507EBA"/>
    <w:rsid w:val="00513848"/>
    <w:rsid w:val="00513AFB"/>
    <w:rsid w:val="0052386E"/>
    <w:rsid w:val="00530D3E"/>
    <w:rsid w:val="00537D33"/>
    <w:rsid w:val="0054090D"/>
    <w:rsid w:val="005446EB"/>
    <w:rsid w:val="005525DC"/>
    <w:rsid w:val="00557492"/>
    <w:rsid w:val="005A3A4C"/>
    <w:rsid w:val="005B1DDE"/>
    <w:rsid w:val="005C7A42"/>
    <w:rsid w:val="005D242C"/>
    <w:rsid w:val="005E04AB"/>
    <w:rsid w:val="005E47C3"/>
    <w:rsid w:val="005E6650"/>
    <w:rsid w:val="005F3253"/>
    <w:rsid w:val="00601820"/>
    <w:rsid w:val="00605473"/>
    <w:rsid w:val="00616941"/>
    <w:rsid w:val="00621C0C"/>
    <w:rsid w:val="00646981"/>
    <w:rsid w:val="006971A7"/>
    <w:rsid w:val="006E57D4"/>
    <w:rsid w:val="006F38BA"/>
    <w:rsid w:val="006F39FC"/>
    <w:rsid w:val="00722B5D"/>
    <w:rsid w:val="00740E0B"/>
    <w:rsid w:val="00747459"/>
    <w:rsid w:val="007742B4"/>
    <w:rsid w:val="007A1813"/>
    <w:rsid w:val="007A721A"/>
    <w:rsid w:val="007B5284"/>
    <w:rsid w:val="007C6778"/>
    <w:rsid w:val="007C7863"/>
    <w:rsid w:val="007E039C"/>
    <w:rsid w:val="007E18C7"/>
    <w:rsid w:val="007E3B5D"/>
    <w:rsid w:val="00820371"/>
    <w:rsid w:val="00821A9F"/>
    <w:rsid w:val="00865542"/>
    <w:rsid w:val="008779C3"/>
    <w:rsid w:val="008F01B1"/>
    <w:rsid w:val="00901CA2"/>
    <w:rsid w:val="00907797"/>
    <w:rsid w:val="00945DBA"/>
    <w:rsid w:val="00966095"/>
    <w:rsid w:val="00986A7A"/>
    <w:rsid w:val="00996ACC"/>
    <w:rsid w:val="009B03E6"/>
    <w:rsid w:val="009B232E"/>
    <w:rsid w:val="009D25CD"/>
    <w:rsid w:val="009D674B"/>
    <w:rsid w:val="009E0DB5"/>
    <w:rsid w:val="009F0ACF"/>
    <w:rsid w:val="00A16194"/>
    <w:rsid w:val="00A2791D"/>
    <w:rsid w:val="00A309E2"/>
    <w:rsid w:val="00A36D75"/>
    <w:rsid w:val="00A4019C"/>
    <w:rsid w:val="00A42491"/>
    <w:rsid w:val="00A43E41"/>
    <w:rsid w:val="00A6020D"/>
    <w:rsid w:val="00AB3795"/>
    <w:rsid w:val="00AC01AE"/>
    <w:rsid w:val="00AF1CDE"/>
    <w:rsid w:val="00AF1E11"/>
    <w:rsid w:val="00AF4B2B"/>
    <w:rsid w:val="00B07A06"/>
    <w:rsid w:val="00B10CB2"/>
    <w:rsid w:val="00B27DAD"/>
    <w:rsid w:val="00B30030"/>
    <w:rsid w:val="00B44A3C"/>
    <w:rsid w:val="00B84C7B"/>
    <w:rsid w:val="00BC14B6"/>
    <w:rsid w:val="00BE5A79"/>
    <w:rsid w:val="00C04303"/>
    <w:rsid w:val="00C06173"/>
    <w:rsid w:val="00C07F5E"/>
    <w:rsid w:val="00C50B12"/>
    <w:rsid w:val="00C5204F"/>
    <w:rsid w:val="00C66E45"/>
    <w:rsid w:val="00C95C45"/>
    <w:rsid w:val="00CA0BB9"/>
    <w:rsid w:val="00CA1418"/>
    <w:rsid w:val="00CB0050"/>
    <w:rsid w:val="00CC0CFF"/>
    <w:rsid w:val="00CD6118"/>
    <w:rsid w:val="00CD68F6"/>
    <w:rsid w:val="00CE79FF"/>
    <w:rsid w:val="00CF2056"/>
    <w:rsid w:val="00D060DC"/>
    <w:rsid w:val="00D16916"/>
    <w:rsid w:val="00D178C7"/>
    <w:rsid w:val="00D27F42"/>
    <w:rsid w:val="00D306FA"/>
    <w:rsid w:val="00D367FB"/>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7AB5"/>
    <w:rsid w:val="00E02C8B"/>
    <w:rsid w:val="00E109E9"/>
    <w:rsid w:val="00E3290B"/>
    <w:rsid w:val="00E50BB8"/>
    <w:rsid w:val="00E60C86"/>
    <w:rsid w:val="00E61C50"/>
    <w:rsid w:val="00E7520B"/>
    <w:rsid w:val="00E93161"/>
    <w:rsid w:val="00EB2776"/>
    <w:rsid w:val="00EC2279"/>
    <w:rsid w:val="00EC4A14"/>
    <w:rsid w:val="00EF02EA"/>
    <w:rsid w:val="00F43204"/>
    <w:rsid w:val="00F86C13"/>
    <w:rsid w:val="00F948F2"/>
    <w:rsid w:val="00FE2EE9"/>
    <w:rsid w:val="00FE41CA"/>
    <w:rsid w:val="00FE6871"/>
    <w:rsid w:val="00FF0FAC"/>
    <w:rsid w:val="0E9C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D59DAE"/>
  <w15:docId w15:val="{5876D633-8088-413E-A52A-2F1DBCC34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A0DE2"/>
    <w:pPr>
      <w:ind w:left="720"/>
    </w:pPr>
    <w:rPr>
      <w:rFonts w:ascii="Calibri" w:hAnsi="Calibri" w:eastAsia="Calibri"/>
      <w:sz w:val="22"/>
      <w:szCs w:val="22"/>
    </w:rPr>
  </w:style>
  <w:style w:type="character" w:styleId="Hyperlink">
    <w:name w:val="Hyperlink"/>
    <w:rsid w:val="001A0DE2"/>
    <w:rPr>
      <w:color w:val="0000FF"/>
      <w:u w:val="single"/>
    </w:rPr>
  </w:style>
  <w:style w:type="paragraph" w:styleId="BalloonText">
    <w:name w:val="Balloon Text"/>
    <w:basedOn w:val="Normal"/>
    <w:link w:val="BalloonTextChar"/>
    <w:uiPriority w:val="99"/>
    <w:semiHidden/>
    <w:unhideWhenUsed/>
    <w:rsid w:val="002E27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27FC"/>
    <w:rPr>
      <w:rFonts w:ascii="Segoe UI" w:hAnsi="Segoe UI" w:cs="Segoe UI"/>
      <w:sz w:val="18"/>
      <w:szCs w:val="18"/>
    </w:rPr>
  </w:style>
  <w:style w:type="character" w:styleId="Strong">
    <w:name w:val="Strong"/>
    <w:basedOn w:val="DefaultParagraphFont"/>
    <w:uiPriority w:val="22"/>
    <w:qFormat/>
    <w:rsid w:val="002E27FC"/>
    <w:rPr>
      <w:b/>
      <w:bCs/>
    </w:rPr>
  </w:style>
  <w:style w:type="character" w:styleId="Emphasis">
    <w:name w:val="Emphasis"/>
    <w:basedOn w:val="DefaultParagraphFont"/>
    <w:uiPriority w:val="20"/>
    <w:qFormat/>
    <w:rsid w:val="002E27FC"/>
    <w:rPr>
      <w:i/>
      <w:iCs/>
    </w:rPr>
  </w:style>
  <w:style w:type="character" w:styleId="apple-converted-space" w:customStyle="1">
    <w:name w:val="apple-converted-space"/>
    <w:basedOn w:val="DefaultParagraphFont"/>
    <w:rsid w:val="002E27FC"/>
  </w:style>
  <w:style w:type="paragraph" w:styleId="NormalWeb">
    <w:name w:val="Normal (Web)"/>
    <w:basedOn w:val="Normal"/>
    <w:uiPriority w:val="99"/>
    <w:unhideWhenUsed/>
    <w:rsid w:val="002E27FC"/>
    <w:pPr>
      <w:spacing w:before="100" w:beforeAutospacing="1" w:after="100" w:afterAutospacing="1"/>
    </w:pPr>
  </w:style>
  <w:style w:type="paragraph" w:styleId="Revision">
    <w:name w:val="Revision"/>
    <w:hidden/>
    <w:uiPriority w:val="99"/>
    <w:semiHidden/>
    <w:rsid w:val="003A0A8C"/>
    <w:rPr>
      <w:sz w:val="24"/>
      <w:szCs w:val="24"/>
    </w:rPr>
  </w:style>
  <w:style w:type="character" w:styleId="CommentReference">
    <w:name w:val="annotation reference"/>
    <w:basedOn w:val="DefaultParagraphFont"/>
    <w:uiPriority w:val="99"/>
    <w:semiHidden/>
    <w:unhideWhenUsed/>
    <w:rsid w:val="006F38BA"/>
    <w:rPr>
      <w:sz w:val="16"/>
      <w:szCs w:val="16"/>
    </w:rPr>
  </w:style>
  <w:style w:type="paragraph" w:styleId="CommentText">
    <w:name w:val="annotation text"/>
    <w:basedOn w:val="Normal"/>
    <w:link w:val="CommentTextChar"/>
    <w:uiPriority w:val="99"/>
    <w:semiHidden/>
    <w:unhideWhenUsed/>
    <w:rsid w:val="006F38BA"/>
    <w:rPr>
      <w:sz w:val="20"/>
      <w:szCs w:val="20"/>
    </w:rPr>
  </w:style>
  <w:style w:type="character" w:styleId="CommentTextChar" w:customStyle="1">
    <w:name w:val="Comment Text Char"/>
    <w:basedOn w:val="DefaultParagraphFont"/>
    <w:link w:val="CommentText"/>
    <w:uiPriority w:val="99"/>
    <w:semiHidden/>
    <w:rsid w:val="006F38BA"/>
  </w:style>
  <w:style w:type="paragraph" w:styleId="CommentSubject">
    <w:name w:val="annotation subject"/>
    <w:basedOn w:val="CommentText"/>
    <w:next w:val="CommentText"/>
    <w:link w:val="CommentSubjectChar"/>
    <w:uiPriority w:val="99"/>
    <w:semiHidden/>
    <w:unhideWhenUsed/>
    <w:rsid w:val="006F38BA"/>
    <w:rPr>
      <w:b/>
      <w:bCs/>
    </w:rPr>
  </w:style>
  <w:style w:type="character" w:styleId="CommentSubjectChar" w:customStyle="1">
    <w:name w:val="Comment Subject Char"/>
    <w:basedOn w:val="CommentTextChar"/>
    <w:link w:val="CommentSubject"/>
    <w:uiPriority w:val="99"/>
    <w:semiHidden/>
    <w:rsid w:val="006F38BA"/>
    <w:rPr>
      <w:b/>
      <w:bCs/>
    </w:rPr>
  </w:style>
  <w:style w:type="character" w:styleId="UnresolvedMention">
    <w:name w:val="Unresolved Mention"/>
    <w:basedOn w:val="DefaultParagraphFont"/>
    <w:uiPriority w:val="99"/>
    <w:semiHidden/>
    <w:unhideWhenUsed/>
    <w:rsid w:val="00E3290B"/>
    <w:rPr>
      <w:color w:val="605E5C"/>
      <w:shd w:val="clear" w:color="auto" w:fill="E1DFDD"/>
    </w:rPr>
  </w:style>
  <w:style w:type="character" w:styleId="FollowedHyperlink">
    <w:name w:val="FollowedHyperlink"/>
    <w:basedOn w:val="DefaultParagraphFont"/>
    <w:uiPriority w:val="99"/>
    <w:semiHidden/>
    <w:unhideWhenUsed/>
    <w:rsid w:val="007C67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7134">
      <w:bodyDiv w:val="1"/>
      <w:marLeft w:val="0"/>
      <w:marRight w:val="0"/>
      <w:marTop w:val="0"/>
      <w:marBottom w:val="0"/>
      <w:divBdr>
        <w:top w:val="none" w:sz="0" w:space="0" w:color="auto"/>
        <w:left w:val="none" w:sz="0" w:space="0" w:color="auto"/>
        <w:bottom w:val="none" w:sz="0" w:space="0" w:color="auto"/>
        <w:right w:val="none" w:sz="0" w:space="0" w:color="auto"/>
      </w:divBdr>
    </w:div>
    <w:div w:id="574972591">
      <w:bodyDiv w:val="1"/>
      <w:marLeft w:val="0"/>
      <w:marRight w:val="0"/>
      <w:marTop w:val="0"/>
      <w:marBottom w:val="0"/>
      <w:divBdr>
        <w:top w:val="none" w:sz="0" w:space="0" w:color="auto"/>
        <w:left w:val="none" w:sz="0" w:space="0" w:color="auto"/>
        <w:bottom w:val="none" w:sz="0" w:space="0" w:color="auto"/>
        <w:right w:val="none" w:sz="0" w:space="0" w:color="auto"/>
      </w:divBdr>
    </w:div>
    <w:div w:id="658850396">
      <w:bodyDiv w:val="1"/>
      <w:marLeft w:val="0"/>
      <w:marRight w:val="0"/>
      <w:marTop w:val="0"/>
      <w:marBottom w:val="0"/>
      <w:divBdr>
        <w:top w:val="none" w:sz="0" w:space="0" w:color="auto"/>
        <w:left w:val="none" w:sz="0" w:space="0" w:color="auto"/>
        <w:bottom w:val="none" w:sz="0" w:space="0" w:color="auto"/>
        <w:right w:val="none" w:sz="0" w:space="0" w:color="auto"/>
      </w:divBdr>
    </w:div>
    <w:div w:id="1169445221">
      <w:bodyDiv w:val="1"/>
      <w:marLeft w:val="0"/>
      <w:marRight w:val="0"/>
      <w:marTop w:val="0"/>
      <w:marBottom w:val="0"/>
      <w:divBdr>
        <w:top w:val="none" w:sz="0" w:space="0" w:color="auto"/>
        <w:left w:val="none" w:sz="0" w:space="0" w:color="auto"/>
        <w:bottom w:val="none" w:sz="0" w:space="0" w:color="auto"/>
        <w:right w:val="none" w:sz="0" w:space="0" w:color="auto"/>
      </w:divBdr>
    </w:div>
    <w:div w:id="15831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www.fs.fed.us/database/feis/fire_regimes/AK_wet_herbaceous/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Jim Smith</lastModifiedBy>
  <revision>19</revision>
  <lastPrinted>2015-09-11T19:35:00.0000000Z</lastPrinted>
  <dcterms:created xsi:type="dcterms:W3CDTF">2022-10-28T12:05:00.0000000Z</dcterms:created>
  <dcterms:modified xsi:type="dcterms:W3CDTF">2024-09-27T18:34:35.6343004Z</dcterms:modified>
</coreProperties>
</file>