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7C3" w:rsidP="00B127C3" w:rsidRDefault="00B127C3" w14:paraId="75304DC8" w14:textId="495F9ED3">
      <w:pPr>
        <w:pStyle w:val="BpSTitle"/>
      </w:pPr>
      <w:r>
        <w:t>16120</w:t>
      </w:r>
    </w:p>
    <w:p w:rsidR="00B127C3" w:rsidP="00B127C3" w:rsidRDefault="00B127C3" w14:paraId="5924F53B" w14:textId="77777777">
      <w:pPr>
        <w:pStyle w:val="BpSTitle"/>
      </w:pPr>
      <w:r>
        <w:t>Western North American Boreal Dry Grassland</w:t>
      </w:r>
    </w:p>
    <w:p w:rsidR="00B127C3" w:rsidP="00B127C3" w:rsidRDefault="00B127C3" w14:paraId="79E0B0C5" w14:textId="77777777">
      <w:r>
        <w:t xmlns:w="http://schemas.openxmlformats.org/wordprocessingml/2006/main">BpS Model/Description Version: Nov. 2024</w:t>
      </w:r>
      <w:r>
        <w:tab/>
      </w:r>
      <w:r>
        <w:tab/>
      </w:r>
      <w:r>
        <w:tab/>
      </w:r>
      <w:r>
        <w:tab/>
      </w:r>
      <w:r>
        <w:tab/>
      </w:r>
      <w:r>
        <w:tab/>
      </w:r>
      <w:r>
        <w:tab/>
      </w:r>
    </w:p>
    <w:p w:rsidR="00B127C3" w:rsidP="00B127C3" w:rsidRDefault="00B127C3" w14:paraId="3BEA7BB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08"/>
        <w:gridCol w:w="1392"/>
        <w:gridCol w:w="852"/>
      </w:tblGrid>
      <w:tr w:rsidRPr="00B127C3" w:rsidR="00B127C3" w:rsidTr="00B127C3" w14:paraId="799DFCBA" w14:textId="77777777">
        <w:tc>
          <w:tcPr>
            <w:tcW w:w="1680" w:type="dxa"/>
            <w:tcBorders>
              <w:top w:val="single" w:color="auto" w:sz="2" w:space="0"/>
              <w:left w:val="single" w:color="auto" w:sz="12" w:space="0"/>
              <w:bottom w:val="single" w:color="000000" w:sz="12" w:space="0"/>
            </w:tcBorders>
            <w:shd w:val="clear" w:color="auto" w:fill="auto"/>
          </w:tcPr>
          <w:p w:rsidRPr="00B127C3" w:rsidR="00B127C3" w:rsidP="00E50A64" w:rsidRDefault="00B127C3" w14:paraId="2D97EE2C" w14:textId="77777777">
            <w:pPr>
              <w:rPr>
                <w:b/>
                <w:bCs/>
              </w:rPr>
            </w:pPr>
            <w:r w:rsidRPr="00B127C3">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B127C3" w:rsidR="00B127C3" w:rsidP="00E50A64" w:rsidRDefault="00B127C3" w14:paraId="3898E2A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B127C3" w:rsidR="00B127C3" w:rsidP="00E50A64" w:rsidRDefault="00B127C3" w14:paraId="5C3C043F" w14:textId="77777777">
            <w:pPr>
              <w:rPr>
                <w:b/>
                <w:bCs/>
              </w:rPr>
            </w:pPr>
            <w:r w:rsidRPr="00B127C3">
              <w:rPr>
                <w:b/>
                <w:bCs/>
              </w:rPr>
              <w:t>Reviewers</w:t>
            </w:r>
          </w:p>
        </w:tc>
        <w:tc>
          <w:tcPr>
            <w:tcW w:w="852" w:type="dxa"/>
            <w:tcBorders>
              <w:top w:val="single" w:color="auto" w:sz="2" w:space="0"/>
              <w:bottom w:val="single" w:color="000000" w:sz="12" w:space="0"/>
            </w:tcBorders>
            <w:shd w:val="clear" w:color="auto" w:fill="auto"/>
          </w:tcPr>
          <w:p w:rsidRPr="00B127C3" w:rsidR="00B127C3" w:rsidP="00E50A64" w:rsidRDefault="00B127C3" w14:paraId="057BCE17" w14:textId="77777777">
            <w:pPr>
              <w:rPr>
                <w:b/>
                <w:bCs/>
              </w:rPr>
            </w:pPr>
          </w:p>
        </w:tc>
      </w:tr>
      <w:tr w:rsidRPr="00B127C3" w:rsidR="00B127C3" w:rsidTr="00B127C3" w14:paraId="24B8487B" w14:textId="77777777">
        <w:tc>
          <w:tcPr>
            <w:tcW w:w="1680" w:type="dxa"/>
            <w:tcBorders>
              <w:top w:val="single" w:color="000000" w:sz="12" w:space="0"/>
              <w:left w:val="single" w:color="auto" w:sz="12" w:space="0"/>
            </w:tcBorders>
            <w:shd w:val="clear" w:color="auto" w:fill="auto"/>
          </w:tcPr>
          <w:p w:rsidRPr="00B127C3" w:rsidR="00B127C3" w:rsidP="00E50A64" w:rsidRDefault="00B127C3" w14:paraId="3CF56A80" w14:textId="77777777">
            <w:pPr>
              <w:rPr>
                <w:bCs/>
              </w:rPr>
            </w:pPr>
            <w:r w:rsidRPr="00B127C3">
              <w:rPr>
                <w:bCs/>
              </w:rPr>
              <w:t>Tina Boucher</w:t>
            </w:r>
          </w:p>
        </w:tc>
        <w:tc>
          <w:tcPr>
            <w:tcW w:w="2508" w:type="dxa"/>
            <w:tcBorders>
              <w:top w:val="single" w:color="000000" w:sz="12" w:space="0"/>
              <w:right w:val="single" w:color="000000" w:sz="12" w:space="0"/>
            </w:tcBorders>
            <w:shd w:val="clear" w:color="auto" w:fill="auto"/>
          </w:tcPr>
          <w:p w:rsidRPr="00B127C3" w:rsidR="00B127C3" w:rsidP="00E50A64" w:rsidRDefault="00B127C3" w14:paraId="2E037EF4" w14:textId="77777777">
            <w:r w:rsidRPr="00B127C3">
              <w:t>antvb@uaa.alaska.edu</w:t>
            </w:r>
          </w:p>
        </w:tc>
        <w:tc>
          <w:tcPr>
            <w:tcW w:w="1392" w:type="dxa"/>
            <w:tcBorders>
              <w:top w:val="single" w:color="000000" w:sz="12" w:space="0"/>
              <w:left w:val="single" w:color="000000" w:sz="12" w:space="0"/>
            </w:tcBorders>
            <w:shd w:val="clear" w:color="auto" w:fill="auto"/>
          </w:tcPr>
          <w:p w:rsidRPr="00B127C3" w:rsidR="00B127C3" w:rsidP="00E50A64" w:rsidRDefault="00B127C3" w14:paraId="572A10EF" w14:textId="77777777">
            <w:r w:rsidRPr="00B127C3">
              <w:t>None</w:t>
            </w:r>
          </w:p>
        </w:tc>
        <w:tc>
          <w:tcPr>
            <w:tcW w:w="852" w:type="dxa"/>
            <w:tcBorders>
              <w:top w:val="single" w:color="000000" w:sz="12" w:space="0"/>
            </w:tcBorders>
            <w:shd w:val="clear" w:color="auto" w:fill="auto"/>
          </w:tcPr>
          <w:p w:rsidRPr="00B127C3" w:rsidR="00B127C3" w:rsidP="00E50A64" w:rsidRDefault="00B127C3" w14:paraId="03D886CE" w14:textId="77777777">
            <w:r w:rsidRPr="00B127C3">
              <w:t>None</w:t>
            </w:r>
          </w:p>
        </w:tc>
      </w:tr>
      <w:tr w:rsidRPr="00B127C3" w:rsidR="00B127C3" w:rsidTr="00B127C3" w14:paraId="0514BBE0" w14:textId="77777777">
        <w:tc>
          <w:tcPr>
            <w:tcW w:w="1680" w:type="dxa"/>
            <w:tcBorders>
              <w:left w:val="single" w:color="auto" w:sz="12" w:space="0"/>
            </w:tcBorders>
            <w:shd w:val="clear" w:color="auto" w:fill="auto"/>
          </w:tcPr>
          <w:p w:rsidRPr="00B127C3" w:rsidR="00B127C3" w:rsidP="00E50A64" w:rsidRDefault="00B127C3" w14:paraId="4CC160A3" w14:textId="77777777">
            <w:pPr>
              <w:rPr>
                <w:bCs/>
              </w:rPr>
            </w:pPr>
            <w:r w:rsidRPr="00B127C3">
              <w:rPr>
                <w:bCs/>
              </w:rPr>
              <w:t>Colleen Ryan</w:t>
            </w:r>
          </w:p>
        </w:tc>
        <w:tc>
          <w:tcPr>
            <w:tcW w:w="2508" w:type="dxa"/>
            <w:tcBorders>
              <w:right w:val="single" w:color="000000" w:sz="12" w:space="0"/>
            </w:tcBorders>
            <w:shd w:val="clear" w:color="auto" w:fill="auto"/>
          </w:tcPr>
          <w:p w:rsidRPr="00B127C3" w:rsidR="00B127C3" w:rsidP="00E50A64" w:rsidRDefault="00B127C3" w14:paraId="31A531C5" w14:textId="37E28FD2">
            <w:r w:rsidRPr="00B127C3">
              <w:t>colleenryan@tnc.org</w:t>
            </w:r>
          </w:p>
        </w:tc>
        <w:tc>
          <w:tcPr>
            <w:tcW w:w="1392" w:type="dxa"/>
            <w:tcBorders>
              <w:left w:val="single" w:color="000000" w:sz="12" w:space="0"/>
            </w:tcBorders>
            <w:shd w:val="clear" w:color="auto" w:fill="auto"/>
          </w:tcPr>
          <w:p w:rsidRPr="00B127C3" w:rsidR="00B127C3" w:rsidP="00E50A64" w:rsidRDefault="00B127C3" w14:paraId="29732344" w14:textId="77777777">
            <w:r w:rsidRPr="00B127C3">
              <w:t>None</w:t>
            </w:r>
          </w:p>
        </w:tc>
        <w:tc>
          <w:tcPr>
            <w:tcW w:w="852" w:type="dxa"/>
            <w:shd w:val="clear" w:color="auto" w:fill="auto"/>
          </w:tcPr>
          <w:p w:rsidRPr="00B127C3" w:rsidR="00B127C3" w:rsidP="00E50A64" w:rsidRDefault="00B127C3" w14:paraId="411CB33B" w14:textId="77777777">
            <w:r w:rsidRPr="00B127C3">
              <w:t>None</w:t>
            </w:r>
          </w:p>
        </w:tc>
      </w:tr>
      <w:tr w:rsidRPr="00B127C3" w:rsidR="00B127C3" w:rsidTr="00B127C3" w14:paraId="619E8151" w14:textId="77777777">
        <w:tc>
          <w:tcPr>
            <w:tcW w:w="1680" w:type="dxa"/>
            <w:tcBorders>
              <w:left w:val="single" w:color="auto" w:sz="12" w:space="0"/>
              <w:bottom w:val="single" w:color="auto" w:sz="2" w:space="0"/>
            </w:tcBorders>
            <w:shd w:val="clear" w:color="auto" w:fill="auto"/>
          </w:tcPr>
          <w:p w:rsidRPr="00B127C3" w:rsidR="00B127C3" w:rsidP="00E50A64" w:rsidRDefault="00B127C3" w14:paraId="077820E6" w14:textId="77777777">
            <w:pPr>
              <w:rPr>
                <w:bCs/>
              </w:rPr>
            </w:pPr>
            <w:r w:rsidRPr="00B127C3">
              <w:rPr>
                <w:bCs/>
              </w:rPr>
              <w:t>None</w:t>
            </w:r>
          </w:p>
        </w:tc>
        <w:tc>
          <w:tcPr>
            <w:tcW w:w="2508" w:type="dxa"/>
            <w:tcBorders>
              <w:right w:val="single" w:color="000000" w:sz="12" w:space="0"/>
            </w:tcBorders>
            <w:shd w:val="clear" w:color="auto" w:fill="auto"/>
          </w:tcPr>
          <w:p w:rsidRPr="00B127C3" w:rsidR="00B127C3" w:rsidP="00E50A64" w:rsidRDefault="00B127C3" w14:paraId="2692C497" w14:textId="77777777">
            <w:r w:rsidRPr="00B127C3">
              <w:t>None</w:t>
            </w:r>
          </w:p>
        </w:tc>
        <w:tc>
          <w:tcPr>
            <w:tcW w:w="1392" w:type="dxa"/>
            <w:tcBorders>
              <w:left w:val="single" w:color="000000" w:sz="12" w:space="0"/>
              <w:bottom w:val="single" w:color="auto" w:sz="2" w:space="0"/>
            </w:tcBorders>
            <w:shd w:val="clear" w:color="auto" w:fill="auto"/>
          </w:tcPr>
          <w:p w:rsidRPr="00B127C3" w:rsidR="00B127C3" w:rsidP="00E50A64" w:rsidRDefault="00B127C3" w14:paraId="678C8EB3" w14:textId="77777777">
            <w:r w:rsidRPr="00B127C3">
              <w:t>None</w:t>
            </w:r>
          </w:p>
        </w:tc>
        <w:tc>
          <w:tcPr>
            <w:tcW w:w="852" w:type="dxa"/>
            <w:shd w:val="clear" w:color="auto" w:fill="auto"/>
          </w:tcPr>
          <w:p w:rsidRPr="00B127C3" w:rsidR="00B127C3" w:rsidP="00E50A64" w:rsidRDefault="00B127C3" w14:paraId="164B4B90" w14:textId="77777777">
            <w:r w:rsidRPr="00B127C3">
              <w:t>None</w:t>
            </w:r>
          </w:p>
        </w:tc>
      </w:tr>
    </w:tbl>
    <w:p w:rsidR="008D15EC" w:rsidP="00B127C3" w:rsidRDefault="008D15EC" w14:paraId="05CDB54A" w14:textId="77777777">
      <w:pPr>
        <w:pStyle w:val="InfoPara"/>
      </w:pPr>
    </w:p>
    <w:p w:rsidRPr="00776F2C" w:rsidR="00776F2C" w:rsidP="00B127C3" w:rsidRDefault="00776F2C" w14:paraId="15715176" w14:textId="7A395DBB">
      <w:pPr>
        <w:pStyle w:val="InfoPara"/>
        <w:rPr>
          <w:b w:val="0"/>
        </w:rPr>
      </w:pPr>
      <w:r>
        <w:t xml:space="preserve">Reviewer: </w:t>
      </w:r>
      <w:r w:rsidRPr="0062252F" w:rsidR="0044650B">
        <w:rPr>
          <w:b w:val="0"/>
          <w:bCs/>
        </w:rPr>
        <w:t>Lindsey Flagstad,</w:t>
      </w:r>
      <w:r w:rsidR="0044650B">
        <w:t xml:space="preserve"> </w:t>
      </w:r>
      <w:r>
        <w:rPr>
          <w:b w:val="0"/>
        </w:rPr>
        <w:t>Robin Innes</w:t>
      </w:r>
    </w:p>
    <w:p w:rsidR="00B127C3" w:rsidP="00B127C3" w:rsidRDefault="00B127C3" w14:paraId="374ECEBF" w14:textId="77777777">
      <w:pPr>
        <w:pStyle w:val="InfoPara"/>
      </w:pPr>
      <w:r>
        <w:t>Vegetation Type</w:t>
      </w:r>
    </w:p>
    <w:p w:rsidR="00B127C3" w:rsidP="00B127C3" w:rsidRDefault="00B127C3" w14:paraId="655E35AC" w14:textId="40914F9C">
      <w:r>
        <w:t>Herbaceous</w:t>
      </w:r>
    </w:p>
    <w:p w:rsidR="00B127C3" w:rsidP="00B127C3" w:rsidRDefault="00B127C3" w14:paraId="6A3E01D7" w14:textId="77777777">
      <w:pPr>
        <w:pStyle w:val="InfoPara"/>
      </w:pPr>
      <w:r>
        <w:t>Map Zones</w:t>
      </w:r>
    </w:p>
    <w:p w:rsidR="00AF4430" w:rsidP="00AF4430" w:rsidRDefault="00AF4430" w14:paraId="5F9C069E" w14:textId="77777777">
      <w:pPr>
        <w:rPr>
          <w:rFonts w:ascii="Calibri" w:hAnsi="Calibri" w:cs="Calibri"/>
          <w:color w:val="000000"/>
          <w:sz w:val="22"/>
          <w:szCs w:val="22"/>
        </w:rPr>
      </w:pPr>
      <w:r>
        <w:rPr>
          <w:rFonts w:ascii="Calibri" w:hAnsi="Calibri" w:cs="Calibri"/>
          <w:color w:val="000000"/>
          <w:sz w:val="22"/>
          <w:szCs w:val="22"/>
        </w:rPr>
        <w:t>70, 71, 73, 74</w:t>
      </w:r>
    </w:p>
    <w:p w:rsidR="00B127C3" w:rsidP="00B127C3" w:rsidRDefault="00B127C3" w14:paraId="1F114298" w14:textId="77777777">
      <w:pPr>
        <w:pStyle w:val="InfoPara"/>
      </w:pPr>
      <w:r>
        <w:t>Geographic Range</w:t>
      </w:r>
    </w:p>
    <w:p w:rsidR="00444E3B" w:rsidP="00553DA4" w:rsidRDefault="00D5635D" w14:paraId="1B0EC69B" w14:textId="6A306ECB">
      <w:r>
        <w:t>This Biophysical Setting (BpS) occurs</w:t>
      </w:r>
      <w:r w:rsidR="00B127C3">
        <w:t xml:space="preserve"> across the boreal and sub-boreal regions of AK.</w:t>
      </w:r>
      <w:r w:rsidR="00776F2C">
        <w:t xml:space="preserve"> Today</w:t>
      </w:r>
      <w:r w:rsidR="00B823AE">
        <w:t>,</w:t>
      </w:r>
      <w:r w:rsidR="00776F2C">
        <w:t xml:space="preserve"> dry grassland communities in AK are relatively uncommon </w:t>
      </w:r>
      <w:r w:rsidR="00776F2C">
        <w:rPr>
          <w:color w:val="000000"/>
        </w:rPr>
        <w:t>(</w:t>
      </w:r>
      <w:r w:rsidRPr="008F2775" w:rsidR="008F2775">
        <w:t>Edwards</w:t>
      </w:r>
      <w:r w:rsidR="008F2775">
        <w:t xml:space="preserve"> and</w:t>
      </w:r>
      <w:r w:rsidRPr="008F2775" w:rsidR="008F2775">
        <w:t xml:space="preserve"> Armbruster</w:t>
      </w:r>
      <w:r w:rsidR="008F2775">
        <w:t xml:space="preserve"> </w:t>
      </w:r>
      <w:r w:rsidRPr="008F2775" w:rsidR="008F2775">
        <w:t>1989</w:t>
      </w:r>
      <w:r w:rsidR="00B823AE">
        <w:t>;</w:t>
      </w:r>
      <w:r w:rsidR="008F2775">
        <w:rPr>
          <w:color w:val="0000EF"/>
        </w:rPr>
        <w:t xml:space="preserve"> </w:t>
      </w:r>
      <w:r w:rsidRPr="008F2775" w:rsidR="008F2775">
        <w:t>Lloyd</w:t>
      </w:r>
      <w:r w:rsidR="008F2775">
        <w:t xml:space="preserve"> et al. </w:t>
      </w:r>
      <w:r w:rsidRPr="00553DA4" w:rsidR="008F2775">
        <w:t>1994</w:t>
      </w:r>
      <w:r w:rsidRPr="00553DA4" w:rsidR="00776F2C">
        <w:t>), but during the late Pleistocene these were more common (</w:t>
      </w:r>
      <w:r w:rsidRPr="00553DA4" w:rsidR="008F2775">
        <w:t>Edwards and Armbruster 1989</w:t>
      </w:r>
      <w:r w:rsidRPr="00553DA4" w:rsidR="00776F2C">
        <w:t>)</w:t>
      </w:r>
      <w:r w:rsidR="00553DA4">
        <w:t>.</w:t>
      </w:r>
      <w:r w:rsidRPr="008D436B" w:rsidR="008D436B">
        <w:t xml:space="preserve"> </w:t>
      </w:r>
      <w:r w:rsidR="008D436B">
        <w:t>Steppe associations are considered analogues of vegetation that was widespread across Beringia during the colder and drier conditions of the late Pleistocene (Kassler 1979</w:t>
      </w:r>
      <w:r w:rsidR="00B823AE">
        <w:t>;</w:t>
      </w:r>
      <w:r w:rsidR="008D436B">
        <w:t xml:space="preserve"> Lipkin and Tande 1991</w:t>
      </w:r>
      <w:r w:rsidR="00AF067C">
        <w:t>;</w:t>
      </w:r>
      <w:r w:rsidR="008D436B">
        <w:t xml:space="preserve"> Murray 1981</w:t>
      </w:r>
      <w:r w:rsidR="00AF067C">
        <w:t>;</w:t>
      </w:r>
      <w:r w:rsidR="008D436B">
        <w:t xml:space="preserve"> Murray et al. 1983</w:t>
      </w:r>
      <w:r w:rsidR="00AF067C">
        <w:t>;</w:t>
      </w:r>
      <w:r w:rsidR="008D436B">
        <w:t xml:space="preserve"> Walker et al. 1991), where dry grasslands represent glacial refugia th</w:t>
      </w:r>
      <w:r w:rsidR="00AF067C">
        <w:t>at</w:t>
      </w:r>
      <w:r w:rsidR="008D436B">
        <w:t xml:space="preserve"> may support distinctive flora characterized by a high diversity of Beringian and endemic plant species (Edwards and Armbruster 1989</w:t>
      </w:r>
      <w:r w:rsidR="009A639D">
        <w:t>;</w:t>
      </w:r>
      <w:r w:rsidR="008D436B">
        <w:t xml:space="preserve"> Murray et al. 1983</w:t>
      </w:r>
      <w:r w:rsidR="009A639D">
        <w:t>;</w:t>
      </w:r>
      <w:r w:rsidR="008D436B">
        <w:t xml:space="preserve"> Roland 1996).</w:t>
      </w:r>
    </w:p>
    <w:p w:rsidR="00B127C3" w:rsidP="00B127C3" w:rsidRDefault="00B127C3" w14:paraId="20E5F051" w14:textId="77777777">
      <w:pPr>
        <w:pStyle w:val="InfoPara"/>
      </w:pPr>
      <w:r>
        <w:t>Biophysical Site Description</w:t>
      </w:r>
    </w:p>
    <w:p w:rsidR="008D436B" w:rsidP="008D436B" w:rsidRDefault="00776F2C" w14:paraId="1539B5FE" w14:textId="5EA289C0">
      <w:r>
        <w:t>Soil conditions in boreal regions are frequently conducive to dry grasslands (</w:t>
      </w:r>
      <w:r w:rsidRPr="008F2775" w:rsidR="008F2775">
        <w:t>Redmann</w:t>
      </w:r>
      <w:r w:rsidR="008F2775">
        <w:t xml:space="preserve"> and </w:t>
      </w:r>
      <w:r w:rsidRPr="008F2775" w:rsidR="008F2775">
        <w:t>Schwarz</w:t>
      </w:r>
      <w:r w:rsidR="008F2775">
        <w:t xml:space="preserve"> </w:t>
      </w:r>
      <w:r w:rsidRPr="008F2775" w:rsidR="008F2775">
        <w:t>1986</w:t>
      </w:r>
      <w:r>
        <w:t xml:space="preserve">). </w:t>
      </w:r>
      <w:r w:rsidR="00B127C3">
        <w:t xml:space="preserve">Soils are well drained to excessively drained, and permafrost is absent. </w:t>
      </w:r>
      <w:r>
        <w:t xml:space="preserve">This system typically occurs on dry sideslopes or bluffs. </w:t>
      </w:r>
      <w:r w:rsidR="00B127C3">
        <w:t>Some slopes may have steep, unstable soil (NatureServe 2008).</w:t>
      </w:r>
      <w:r w:rsidR="008D436B">
        <w:t xml:space="preserve"> Dry grasslands typically develop on steep, south-facing slopes where a warm and dry microclimate is thought to exclude trees (Boggs et al. 201</w:t>
      </w:r>
      <w:r w:rsidR="008F63D8">
        <w:t>9</w:t>
      </w:r>
      <w:r w:rsidR="008D436B">
        <w:t>). The topography of steppe bluffs has implications for microclimate in so far that surfaces undergo great daily and annual fluctuations in temperature and moisture (Edwards and Armbruster 1989</w:t>
      </w:r>
      <w:r w:rsidR="002B1262">
        <w:t>;</w:t>
      </w:r>
      <w:r w:rsidR="008D436B">
        <w:t xml:space="preserve"> Lewis 1998</w:t>
      </w:r>
      <w:r w:rsidR="002B1262">
        <w:t>;</w:t>
      </w:r>
      <w:r w:rsidR="008D436B">
        <w:t xml:space="preserve"> Roland 1996</w:t>
      </w:r>
      <w:r w:rsidR="002B1262">
        <w:t>;</w:t>
      </w:r>
      <w:r w:rsidR="008D436B">
        <w:t xml:space="preserve"> Walker et al. 1991). Moisture of steppe soils is strongly limited by exposure to wind, low accumulation and residence of snow, drainage across steep slopes, and high soil evaporation and transpiration caused by the slopes’ direct orientation to the low-angled sun (Bliss et al. 1973</w:t>
      </w:r>
      <w:r w:rsidR="0023405C">
        <w:t>;</w:t>
      </w:r>
      <w:r w:rsidR="008D436B">
        <w:t xml:space="preserve"> Lewis 1998</w:t>
      </w:r>
      <w:r w:rsidR="0023405C">
        <w:t>;</w:t>
      </w:r>
      <w:r w:rsidR="008D436B">
        <w:t xml:space="preserve"> Lloyd et al. 1994</w:t>
      </w:r>
      <w:r w:rsidR="0023405C">
        <w:t>;</w:t>
      </w:r>
      <w:r w:rsidR="008D436B">
        <w:t xml:space="preserve"> Kassler 1979</w:t>
      </w:r>
      <w:r w:rsidR="0023405C">
        <w:t>;</w:t>
      </w:r>
      <w:r w:rsidR="008D436B">
        <w:t xml:space="preserve"> Roland 1990</w:t>
      </w:r>
      <w:r w:rsidR="0023405C">
        <w:t>;</w:t>
      </w:r>
      <w:r w:rsidR="008D436B">
        <w:t xml:space="preserve"> Wesser 19</w:t>
      </w:r>
      <w:r w:rsidR="008F63D8">
        <w:t>91</w:t>
      </w:r>
      <w:r w:rsidR="008D436B">
        <w:t xml:space="preserve">). </w:t>
      </w:r>
    </w:p>
    <w:p w:rsidR="00B127C3" w:rsidP="008D436B" w:rsidRDefault="008D436B" w14:paraId="30411C42" w14:textId="173910A3">
      <w:r>
        <w:t>Steppe soils are well-drained silty loams to loams with low organic matter content (Roland 1996). Permafrost is typically absent due to warm soil temperatures in the summer and poor insulation in the winter (Boggs and Sturdy 2005). Soil pH ranges from 6.2 to 8.0 with a mean of 7.0 and is often elevated by input of calcium carbonate-rich loess (Kassler 1979</w:t>
      </w:r>
      <w:r w:rsidR="00034537">
        <w:t>;</w:t>
      </w:r>
      <w:r>
        <w:t xml:space="preserve"> Marsh et al. 2006</w:t>
      </w:r>
      <w:r w:rsidR="00034537">
        <w:t xml:space="preserve">; </w:t>
      </w:r>
      <w:r>
        <w:t>Roland 1996</w:t>
      </w:r>
      <w:r w:rsidR="00034537">
        <w:t>;</w:t>
      </w:r>
      <w:r>
        <w:t xml:space="preserve"> Walker et al. 1991). Bare soil is characteristic of developing steppe (Howenstein et al. 1985</w:t>
      </w:r>
      <w:r w:rsidR="00034537">
        <w:t>;</w:t>
      </w:r>
      <w:r>
        <w:t xml:space="preserve"> Lewis 1998</w:t>
      </w:r>
      <w:r w:rsidR="00034537">
        <w:t>;</w:t>
      </w:r>
      <w:r>
        <w:t xml:space="preserve"> Murray et al. 1983</w:t>
      </w:r>
      <w:r w:rsidR="00034537">
        <w:t>;</w:t>
      </w:r>
      <w:r>
        <w:t xml:space="preserve"> Shacklette 1966).</w:t>
      </w:r>
      <w:r w:rsidRPr="00A33088" w:rsidR="00A33088">
        <w:t xml:space="preserve"> The presence of </w:t>
      </w:r>
      <w:r w:rsidRPr="00A33088" w:rsidR="00A33088">
        <w:lastRenderedPageBreak/>
        <w:t>biological soil crusts has been noted in several mature steppe bluffs (e.g. Dickson 2000</w:t>
      </w:r>
      <w:r w:rsidR="00034537">
        <w:t xml:space="preserve">; </w:t>
      </w:r>
      <w:r w:rsidRPr="00A33088" w:rsidR="00A33088">
        <w:t>Marsh et al. 2006</w:t>
      </w:r>
      <w:r w:rsidR="00034537">
        <w:t>;</w:t>
      </w:r>
      <w:r w:rsidRPr="00A33088" w:rsidR="00A33088">
        <w:t xml:space="preserve"> Walker et al. 1991</w:t>
      </w:r>
      <w:r w:rsidR="00034537">
        <w:t>;</w:t>
      </w:r>
      <w:r w:rsidRPr="00A33088" w:rsidR="00A33088">
        <w:t xml:space="preserve"> Zazula et al. 2002).</w:t>
      </w:r>
    </w:p>
    <w:p w:rsidR="00B127C3" w:rsidP="00B127C3" w:rsidRDefault="00B127C3" w14:paraId="4CE5D8BB" w14:textId="77777777">
      <w:pPr>
        <w:pStyle w:val="InfoPara"/>
      </w:pPr>
      <w:r>
        <w:t>Vegetation Description</w:t>
      </w:r>
    </w:p>
    <w:p w:rsidR="006B2CAC" w:rsidP="006B2CAC" w:rsidRDefault="00B127C3" w14:paraId="3105F514" w14:textId="554A83AA">
      <w:r>
        <w:t xml:space="preserve">These sites are typically dominated by grasses, though forbs and shrubs may be common, but shrub cover is less than 25%. Common </w:t>
      </w:r>
      <w:r w:rsidR="008D436B">
        <w:t xml:space="preserve">graminoids </w:t>
      </w:r>
      <w:r>
        <w:t xml:space="preserve">include </w:t>
      </w:r>
      <w:r w:rsidRPr="00F01828">
        <w:rPr>
          <w:i/>
          <w:iCs/>
        </w:rPr>
        <w:t xml:space="preserve">Festuca altaica, F. rubra, Calamagrostis purpurescens, Elymus inovatus, Pseudoroegneria spicata, Bromus pumpellianus, </w:t>
      </w:r>
      <w:r w:rsidR="00F01828">
        <w:t xml:space="preserve">and </w:t>
      </w:r>
      <w:r w:rsidRPr="00F01828">
        <w:rPr>
          <w:i/>
          <w:iCs/>
        </w:rPr>
        <w:t xml:space="preserve">Poa </w:t>
      </w:r>
      <w:r w:rsidRPr="00F01828" w:rsidR="004310FF">
        <w:rPr>
          <w:i/>
          <w:iCs/>
        </w:rPr>
        <w:t>glauca</w:t>
      </w:r>
      <w:r>
        <w:t xml:space="preserve">. </w:t>
      </w:r>
      <w:r w:rsidR="004310FF">
        <w:t xml:space="preserve">Shrubs include the low shrubs </w:t>
      </w:r>
      <w:r w:rsidR="004310FF">
        <w:rPr>
          <w:i/>
        </w:rPr>
        <w:t xml:space="preserve">Artemisia frigida, A. arctica, Amelanchier alnifolia, Elaeagnus commutata, Shepherdia canadensis, </w:t>
      </w:r>
      <w:r w:rsidR="004310FF">
        <w:t>and</w:t>
      </w:r>
      <w:r w:rsidR="004310FF">
        <w:rPr>
          <w:i/>
        </w:rPr>
        <w:t xml:space="preserve"> Juniperus communis</w:t>
      </w:r>
      <w:r w:rsidR="004310FF">
        <w:t xml:space="preserve">, and the dwarf shrub </w:t>
      </w:r>
      <w:r w:rsidR="004310FF">
        <w:rPr>
          <w:i/>
        </w:rPr>
        <w:t>Arctostaphylos uva-ursi</w:t>
      </w:r>
      <w:r w:rsidR="0044650B">
        <w:t>.</w:t>
      </w:r>
      <w:r w:rsidR="004310FF">
        <w:t xml:space="preserve"> Common forbs are </w:t>
      </w:r>
      <w:r w:rsidR="004310FF">
        <w:rPr>
          <w:i/>
        </w:rPr>
        <w:t xml:space="preserve">Artemisia arctica, Bupleurum americanum, </w:t>
      </w:r>
      <w:r w:rsidR="004310FF">
        <w:t>and</w:t>
      </w:r>
      <w:r w:rsidR="004310FF">
        <w:rPr>
          <w:i/>
        </w:rPr>
        <w:t xml:space="preserve"> Saxifraga tricuspidata </w:t>
      </w:r>
      <w:r w:rsidR="004310FF">
        <w:t>(Lipkin and Tande 1991)</w:t>
      </w:r>
      <w:r w:rsidR="00A33088">
        <w:t>.</w:t>
      </w:r>
    </w:p>
    <w:p w:rsidR="00B127C3" w:rsidP="00B127C3" w:rsidRDefault="00B127C3" w14:paraId="28B86616" w14:textId="4C97D7EE"/>
    <w:p w:rsidR="00B127C3" w:rsidP="00B127C3" w:rsidRDefault="00B127C3" w14:paraId="45311FE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altaica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Altai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purpurascens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BRINA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inermis ssp. pumpellianus var. arcticus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Pumpelly's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sagewort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wormwood</w:t>
            </w:r>
          </w:p>
        </w:tc>
      </w:tr>
    </w:tbl>
    <w:p>
      <w:r>
        <w:rPr>
          <w:sz w:val="16"/>
        </w:rPr>
        <w:t>Species names are from the NRCS PLANTS database. Check species codes at http://plants.usda.gov.</w:t>
      </w:r>
    </w:p>
    <w:p w:rsidR="00ED705C" w:rsidP="0062252F" w:rsidRDefault="00B127C3" w14:paraId="5AE1757B" w14:textId="2FEE3730">
      <w:pPr>
        <w:pStyle w:val="InfoPara"/>
      </w:pPr>
      <w:r>
        <w:t>Disturbance Description</w:t>
      </w:r>
    </w:p>
    <w:p w:rsidR="00A33088" w:rsidP="0044650B" w:rsidRDefault="006B2CAC" w14:paraId="5BFFAB62" w14:textId="13FFE6A7">
      <w:r>
        <w:t xml:space="preserve">Little is known about the successional dynamics of this community, but it is assumed to be relatively stable over time (Viereck et al. 1992). </w:t>
      </w:r>
      <w:r w:rsidR="00A33088">
        <w:t>Large scale disturbances affecting dry grasslands include fire and mass wasting for systems developing on slopes (Lewis 1998); smaller scale disturbances include burrowing and/or grazing by rodents and ungulates (Vetter 2000). Fire is thought to favor grassland development by removing more competitive forest taxa (Lewis 1998</w:t>
      </w:r>
      <w:r w:rsidR="00D30BF7">
        <w:t>;</w:t>
      </w:r>
      <w:r w:rsidR="00A33088">
        <w:t xml:space="preserve"> Roland 1990). Similarly, landslides are thought to favor grassland development by removing forest taxa, exposing mineral soil for colonization by seedlings, and altering the competitive balance in favor of faster growing, more readily dispersed plants (Roland 1990</w:t>
      </w:r>
      <w:r w:rsidR="00D30BF7">
        <w:t>;</w:t>
      </w:r>
      <w:r w:rsidR="00492D9D">
        <w:t xml:space="preserve"> Roland</w:t>
      </w:r>
      <w:r w:rsidR="00A33088">
        <w:t xml:space="preserve"> 1996). </w:t>
      </w:r>
    </w:p>
    <w:p w:rsidR="0044650B" w:rsidP="0062252F" w:rsidRDefault="0044650B" w14:paraId="530A8C25" w14:textId="77777777">
      <w:pPr>
        <w:rPr>
          <w:sz w:val="22"/>
          <w:szCs w:val="22"/>
        </w:rPr>
      </w:pPr>
    </w:p>
    <w:p w:rsidR="00A33088" w:rsidP="00A33088" w:rsidRDefault="00A33088" w14:paraId="7A5EC1FD" w14:textId="09E52632">
      <w:pPr>
        <w:spacing w:after="120"/>
      </w:pPr>
      <w:r>
        <w:t xml:space="preserve">Dry grasslands are thought to be seral to </w:t>
      </w:r>
      <w:r>
        <w:rPr>
          <w:i/>
        </w:rPr>
        <w:t xml:space="preserve">Populus tremuloides </w:t>
      </w:r>
      <w:r>
        <w:t xml:space="preserve">(quaking aspen) woodlands with dry understory species such as </w:t>
      </w:r>
      <w:r>
        <w:rPr>
          <w:i/>
        </w:rPr>
        <w:t>Arctostaphylos uva-ursi,</w:t>
      </w:r>
      <w:r>
        <w:t xml:space="preserve"> </w:t>
      </w:r>
      <w:r>
        <w:rPr>
          <w:i/>
        </w:rPr>
        <w:t>Rosa acicularis</w:t>
      </w:r>
      <w:r>
        <w:t xml:space="preserve"> and </w:t>
      </w:r>
      <w:r>
        <w:rPr>
          <w:i/>
        </w:rPr>
        <w:t>Sheperdia canadensis</w:t>
      </w:r>
      <w:r>
        <w:t xml:space="preserve"> (Vetter 2000</w:t>
      </w:r>
      <w:r w:rsidR="00E309F2">
        <w:t>;</w:t>
      </w:r>
      <w:r>
        <w:t xml:space="preserve"> Boggs and Sturdy 2005). Where there is sufficient moisture, </w:t>
      </w:r>
      <w:r>
        <w:rPr>
          <w:i/>
        </w:rPr>
        <w:t xml:space="preserve">Betula neoalaskana </w:t>
      </w:r>
      <w:r>
        <w:t xml:space="preserve">and </w:t>
      </w:r>
      <w:r>
        <w:rPr>
          <w:i/>
        </w:rPr>
        <w:t xml:space="preserve">Picea glauca </w:t>
      </w:r>
      <w:r>
        <w:t xml:space="preserve">are able to colonize the </w:t>
      </w:r>
      <w:r>
        <w:rPr>
          <w:i/>
        </w:rPr>
        <w:t xml:space="preserve">Populus tremuloides </w:t>
      </w:r>
      <w:r>
        <w:t xml:space="preserve">woodland; a xeric </w:t>
      </w:r>
      <w:r>
        <w:rPr>
          <w:i/>
        </w:rPr>
        <w:t>Picea glauca</w:t>
      </w:r>
      <w:r>
        <w:t xml:space="preserve"> forest may eventually establish (Chapin</w:t>
      </w:r>
      <w:r w:rsidR="008F63D8">
        <w:t xml:space="preserve"> </w:t>
      </w:r>
      <w:r>
        <w:t xml:space="preserve"> 2006</w:t>
      </w:r>
      <w:r w:rsidR="00E309F2">
        <w:t>;</w:t>
      </w:r>
      <w:r>
        <w:t xml:space="preserve"> Lewis 1998). Following fire, </w:t>
      </w:r>
      <w:r>
        <w:rPr>
          <w:i/>
        </w:rPr>
        <w:t xml:space="preserve">Populus tremuloides </w:t>
      </w:r>
      <w:r>
        <w:t>woodlands may revert to grassland (Lewis 1998).</w:t>
      </w:r>
    </w:p>
    <w:p w:rsidR="006B2CAC" w:rsidP="00B127C3" w:rsidRDefault="006B2CAC" w14:paraId="4C0E0835" w14:textId="77777777"/>
    <w:p w:rsidR="00B42637" w:rsidP="00B127C3" w:rsidRDefault="006B2CAC" w14:paraId="6BBE837F" w14:textId="1225F654">
      <w:pPr>
        <w:rPr>
          <w:color w:val="000000"/>
          <w:sz w:val="27"/>
          <w:szCs w:val="27"/>
          <w:shd w:val="clear" w:color="auto" w:fill="FFFFFF"/>
        </w:rPr>
      </w:pPr>
      <w:r>
        <w:t>LANDFIRE National m</w:t>
      </w:r>
      <w:r w:rsidR="00972B07">
        <w:t>odelers assumed that the</w:t>
      </w:r>
      <w:r w:rsidR="00B127C3">
        <w:t xml:space="preserve"> fire regime for this system </w:t>
      </w:r>
      <w:r w:rsidR="00972B07">
        <w:t>would</w:t>
      </w:r>
      <w:r w:rsidR="00B127C3">
        <w:t xml:space="preserve"> be similar to that of the adjacent </w:t>
      </w:r>
      <w:r w:rsidR="0044650B">
        <w:t>Bp</w:t>
      </w:r>
      <w:r w:rsidR="00E309F2">
        <w:t>S</w:t>
      </w:r>
      <w:r w:rsidRPr="00972B07" w:rsidR="00B127C3">
        <w:t xml:space="preserve">. </w:t>
      </w:r>
      <w:r w:rsidRPr="00972B07" w:rsidR="00972B07">
        <w:rPr>
          <w:color w:val="000000"/>
          <w:shd w:val="clear" w:color="auto" w:fill="FFFFFF"/>
        </w:rPr>
        <w:t>Starfield and Chapin (1996) estimated a 40</w:t>
      </w:r>
      <w:r w:rsidR="00553DA4">
        <w:rPr>
          <w:color w:val="000000"/>
          <w:shd w:val="clear" w:color="auto" w:fill="FFFFFF"/>
        </w:rPr>
        <w:t>-</w:t>
      </w:r>
      <w:r w:rsidRPr="00972B07" w:rsidR="00972B07">
        <w:rPr>
          <w:color w:val="000000"/>
          <w:shd w:val="clear" w:color="auto" w:fill="FFFFFF"/>
        </w:rPr>
        <w:t>year fire return interval for dry grasslands a</w:t>
      </w:r>
      <w:r w:rsidRPr="00972B07" w:rsidR="00972B07">
        <w:t>ssuming that Alaskan boreal dry grasslands burn more frequently than other ecosystem types in the region.</w:t>
      </w:r>
    </w:p>
    <w:p w:rsidR="00A563F2" w:rsidP="00415DEA" w:rsidRDefault="00A563F2" w14:paraId="6532102C" w14:textId="77777777">
      <w:pPr>
        <w:autoSpaceDE w:val="0"/>
        <w:autoSpaceDN w:val="0"/>
        <w:adjustRightInd w:val="0"/>
      </w:pPr>
    </w:p>
    <w:p w:rsidR="00B127C3" w:rsidDel="00415DEA" w:rsidP="00B127C3" w:rsidRDefault="00B127C3" w14:paraId="4CA35BD3" w14:textId="77777777">
      <w:r w:rsidDel="00415DEA">
        <w:lastRenderedPageBreak/>
        <w:t>Because this system is often found on loose, dry mineral soils on unstable slopes, shifting slopes are an ongoing disturbance. Grazing is probably an important factor in shaping this system, as this is important Dall sheep habitat. Grazing and erosion were not included as disturbances in the model because these are long-term, ongoing phenomena.</w:t>
      </w:r>
    </w:p>
    <w:p w:rsidR="00B127C3" w:rsidP="00B127C3" w:rsidRDefault="00B127C3" w14:paraId="32068073"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27C3" w:rsidP="00B127C3" w:rsidRDefault="00B127C3" w14:paraId="4FA6CE76" w14:textId="77777777">
      <w:pPr>
        <w:pStyle w:val="InfoPara"/>
      </w:pPr>
      <w:r>
        <w:t>Scale Description</w:t>
      </w:r>
    </w:p>
    <w:p w:rsidR="00B127C3" w:rsidP="00B127C3" w:rsidRDefault="00B127C3" w14:paraId="4D4B73E9" w14:textId="77777777">
      <w:r>
        <w:t>Small to large patch</w:t>
      </w:r>
    </w:p>
    <w:p w:rsidR="00B127C3" w:rsidP="00B127C3" w:rsidRDefault="00B127C3" w14:paraId="44CF990B" w14:textId="77777777">
      <w:pPr>
        <w:pStyle w:val="InfoPara"/>
      </w:pPr>
      <w:r>
        <w:t>Adjacency or Identification Concerns</w:t>
      </w:r>
    </w:p>
    <w:p w:rsidR="00B127C3" w:rsidP="00B127C3" w:rsidRDefault="00B127C3" w14:paraId="6B2F2684" w14:textId="77777777">
      <w:r>
        <w:t>Adjacent systems may include Western North American Boreal Dry Aspen-Steppe Bluff - Higher Elevations or Western North American Boreal Dry Aspen-Steppe Bluff - Lower Elevations. This system does not encompass the coastal Leymus-forb meadows that occur in Aleutians, SW, SC and SE Alaska (NatureServe 2008).</w:t>
      </w:r>
    </w:p>
    <w:p w:rsidR="00B127C3" w:rsidP="00B127C3" w:rsidRDefault="00B127C3" w14:paraId="0AE588E6" w14:textId="77777777">
      <w:pPr>
        <w:pStyle w:val="InfoPara"/>
      </w:pPr>
      <w:r>
        <w:t>Issues or Problems</w:t>
      </w:r>
    </w:p>
    <w:p w:rsidR="00B127C3" w:rsidP="00B127C3" w:rsidRDefault="00B127C3" w14:paraId="22C1853F" w14:textId="77777777"/>
    <w:p w:rsidRPr="00A97C24" w:rsidR="00B127C3" w:rsidP="00B127C3" w:rsidRDefault="00B127C3" w14:paraId="7521835F" w14:textId="77777777">
      <w:pPr>
        <w:pStyle w:val="InfoPara"/>
      </w:pPr>
      <w:r>
        <w:t xml:space="preserve">Native Uncharacteristic </w:t>
      </w:r>
      <w:r w:rsidRPr="00A97C24">
        <w:t>Conditions</w:t>
      </w:r>
    </w:p>
    <w:p w:rsidR="00A563F2" w:rsidP="00415DEA" w:rsidRDefault="00A563F2" w14:paraId="21B9CA46" w14:textId="34105F45">
      <w:pPr>
        <w:autoSpaceDE w:val="0"/>
        <w:autoSpaceDN w:val="0"/>
        <w:adjustRightInd w:val="0"/>
        <w:rPr>
          <w:color w:val="000000"/>
        </w:rPr>
      </w:pPr>
      <w:r w:rsidRPr="00A97C24">
        <w:rPr>
          <w:color w:val="000000"/>
        </w:rPr>
        <w:t>Research suggests that dry grasslands are likely to increase as a result of climate change (</w:t>
      </w:r>
      <w:r w:rsidRPr="00A97C24" w:rsidR="00A97C24">
        <w:rPr>
          <w:color w:val="000000"/>
        </w:rPr>
        <w:t>Rupp et al. 2000a and 2000b)</w:t>
      </w:r>
      <w:r w:rsidR="00A97C24">
        <w:rPr>
          <w:color w:val="000000"/>
        </w:rPr>
        <w:t>.</w:t>
      </w:r>
    </w:p>
    <w:p w:rsidR="00B127C3" w:rsidP="00553DA4" w:rsidRDefault="00B127C3" w14:paraId="43EDA434" w14:textId="77777777">
      <w:pPr>
        <w:tabs>
          <w:tab w:val="left" w:pos="5784"/>
        </w:tabs>
      </w:pPr>
    </w:p>
    <w:p w:rsidR="00B127C3" w:rsidP="00B127C3" w:rsidRDefault="00B127C3" w14:paraId="0EC14685" w14:textId="77777777">
      <w:pPr>
        <w:pStyle w:val="InfoPara"/>
      </w:pPr>
      <w:r>
        <w:t>Comments</w:t>
      </w:r>
    </w:p>
    <w:p w:rsidR="00B42637" w:rsidP="00B42637" w:rsidRDefault="00B42637" w14:paraId="4076F22A" w14:textId="05BC8EE5">
      <w:r>
        <w:t xml:space="preserve">More information on this and similar vegetation types can be found in the Fire Effects Information System Synthesis: </w:t>
      </w:r>
      <w:hyperlink w:history="1" r:id="rId7">
        <w:r w:rsidRPr="00B42637">
          <w:rPr>
            <w:rStyle w:val="Hyperlink"/>
          </w:rPr>
          <w:t>Fire regimes of Alaskan dry grassland communities</w:t>
        </w:r>
      </w:hyperlink>
      <w:r>
        <w:t>.</w:t>
      </w:r>
      <w:r>
        <w:rPr>
          <w:color w:val="000000"/>
        </w:rPr>
        <w:t xml:space="preserve"> (Innes 2014)</w:t>
      </w:r>
      <w:r>
        <w:t>.</w:t>
      </w:r>
    </w:p>
    <w:p w:rsidR="00B42637" w:rsidP="00B127C3" w:rsidRDefault="00B42637" w14:paraId="0DCF25DB" w14:textId="77777777"/>
    <w:p w:rsidR="00090EA5" w:rsidP="00B127C3" w:rsidRDefault="002371DB" w14:paraId="69A928E1" w14:textId="36A1FE5D">
      <w:r>
        <w:t>For LANDFIRE National</w:t>
      </w:r>
      <w:r w:rsidR="00AF4366">
        <w:t>,</w:t>
      </w:r>
      <w:r>
        <w:t xml:space="preserve"> the f</w:t>
      </w:r>
      <w:r w:rsidR="00B127C3">
        <w:t xml:space="preserve">ire intervals in this model were adapted from the Boreal Subalpine Steppe Bluff model, also by Boucher and Ryan. </w:t>
      </w:r>
      <w:r>
        <w:t>During the 2021 review</w:t>
      </w:r>
      <w:r w:rsidR="005E7804">
        <w:t>,</w:t>
      </w:r>
      <w:r>
        <w:t xml:space="preserve"> Kori Blankenship revised the model to </w:t>
      </w:r>
      <w:r w:rsidR="006B2CAC">
        <w:t xml:space="preserve">include an early herbaceous state (as originally modeled) and a later state where shrubs may be present. Blankenship also </w:t>
      </w:r>
      <w:r>
        <w:t>eliminate</w:t>
      </w:r>
      <w:r w:rsidR="006B2CAC">
        <w:t>d</w:t>
      </w:r>
      <w:r>
        <w:t xml:space="preserve"> mixed fire (because the dominant species in this BpS are top killed by fire) and change</w:t>
      </w:r>
      <w:r w:rsidR="00CF3C12">
        <w:t>d</w:t>
      </w:r>
      <w:r>
        <w:t xml:space="preserve"> the replacement fire frequency </w:t>
      </w:r>
      <w:r w:rsidR="00F21DA4">
        <w:t xml:space="preserve">to </w:t>
      </w:r>
      <w:r>
        <w:t>100 years.</w:t>
      </w:r>
      <w:r w:rsidR="00F21DA4">
        <w:t xml:space="preserve"> The more frequent fire interval was based on </w:t>
      </w:r>
      <w:r w:rsidRPr="00972B07" w:rsidR="00F21DA4">
        <w:rPr>
          <w:color w:val="000000"/>
          <w:shd w:val="clear" w:color="auto" w:fill="FFFFFF"/>
        </w:rPr>
        <w:t>Starfield and Chapin (1996)</w:t>
      </w:r>
      <w:r w:rsidR="00F21DA4">
        <w:rPr>
          <w:color w:val="000000"/>
          <w:shd w:val="clear" w:color="auto" w:fill="FFFFFF"/>
        </w:rPr>
        <w:t xml:space="preserve"> but retains the relationship between the adjacent BpS.</w:t>
      </w:r>
      <w:r w:rsidR="00090EA5">
        <w:rPr>
          <w:color w:val="000000"/>
          <w:shd w:val="clear" w:color="auto" w:fill="FFFFFF"/>
        </w:rPr>
        <w:t xml:space="preserve"> Lacking data, Blankenship assumed that fire frequency did not vary between states. </w:t>
      </w:r>
    </w:p>
    <w:p w:rsidR="00B127C3" w:rsidP="00B127C3" w:rsidRDefault="00B127C3" w14:paraId="4F8D4294" w14:textId="77777777"/>
    <w:p w:rsidR="008020A7" w:rsidP="00B127C3" w:rsidRDefault="00B127C3" w14:paraId="30D8B1A7" w14:textId="0CBF9269">
      <w:r>
        <w:t>Suggested reviewers for this system include Carl Roland and Dalia Vargis-Kretzinger for information on grazing.</w:t>
      </w:r>
      <w:r w:rsidR="00090EA5">
        <w:t xml:space="preserve"> </w:t>
      </w:r>
    </w:p>
    <w:p w:rsidR="00AA26BF" w:rsidP="00B127C3" w:rsidRDefault="00AA26BF" w14:paraId="2C60714E" w14:textId="570A0D33"/>
    <w:p w:rsidR="00B127C3" w:rsidP="00AA26BF" w:rsidRDefault="00B127C3" w14:paraId="218774C7" w14:textId="18AF3372">
      <w:pPr>
        <w:pStyle w:val="ReportSection"/>
      </w:pPr>
      <w:r>
        <w:lastRenderedPageBreak/>
        <w:t>Succession Classes</w:t>
      </w:r>
    </w:p>
    <w:p w:rsidR="00AA26BF" w:rsidP="00B127C3" w:rsidRDefault="00AA26BF" w14:paraId="720E55C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27C3" w:rsidP="00B127C3" w:rsidRDefault="00B127C3" w14:paraId="6497B29C" w14:textId="31477C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127C3" w:rsidP="00B127C3" w:rsidRDefault="00B127C3" w14:paraId="78516C5F" w14:textId="77777777"/>
    <w:p w:rsidR="00B127C3" w:rsidP="00B127C3" w:rsidRDefault="00B127C3" w14:paraId="66B77112"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4869"/>
        <w:gridCol w:w="2070"/>
        <w:gridCol w:w="1569"/>
      </w:tblGrid>
      <w:tr w:rsidRPr="00B127C3" w:rsidR="00B127C3" w:rsidTr="00CF3C12" w14:paraId="63214955" w14:textId="77777777">
        <w:tc>
          <w:tcPr>
            <w:tcW w:w="1068" w:type="dxa"/>
            <w:tcBorders>
              <w:top w:val="single" w:color="auto" w:sz="2" w:space="0"/>
              <w:bottom w:val="single" w:color="000000" w:sz="12" w:space="0"/>
            </w:tcBorders>
            <w:shd w:val="clear" w:color="auto" w:fill="auto"/>
          </w:tcPr>
          <w:p w:rsidRPr="00B127C3" w:rsidR="00B127C3" w:rsidP="000437BA" w:rsidRDefault="00B127C3" w14:paraId="2679A36C" w14:textId="77777777">
            <w:pPr>
              <w:rPr>
                <w:b/>
                <w:bCs/>
              </w:rPr>
            </w:pPr>
            <w:r w:rsidRPr="00B127C3">
              <w:rPr>
                <w:b/>
                <w:bCs/>
              </w:rPr>
              <w:t>Symbol</w:t>
            </w:r>
          </w:p>
        </w:tc>
        <w:tc>
          <w:tcPr>
            <w:tcW w:w="4869" w:type="dxa"/>
            <w:tcBorders>
              <w:top w:val="single" w:color="auto" w:sz="2" w:space="0"/>
              <w:bottom w:val="single" w:color="000000" w:sz="12" w:space="0"/>
            </w:tcBorders>
            <w:shd w:val="clear" w:color="auto" w:fill="auto"/>
          </w:tcPr>
          <w:p w:rsidRPr="00B127C3" w:rsidR="00B127C3" w:rsidP="000437BA" w:rsidRDefault="00B127C3" w14:paraId="237F1E95" w14:textId="77777777">
            <w:pPr>
              <w:rPr>
                <w:b/>
                <w:bCs/>
              </w:rPr>
            </w:pPr>
            <w:r w:rsidRPr="00B127C3">
              <w:rPr>
                <w:b/>
                <w:bCs/>
              </w:rPr>
              <w:t>Scientific Name</w:t>
            </w:r>
          </w:p>
        </w:tc>
        <w:tc>
          <w:tcPr>
            <w:tcW w:w="2070" w:type="dxa"/>
            <w:tcBorders>
              <w:top w:val="single" w:color="auto" w:sz="2" w:space="0"/>
              <w:bottom w:val="single" w:color="000000" w:sz="12" w:space="0"/>
            </w:tcBorders>
            <w:shd w:val="clear" w:color="auto" w:fill="auto"/>
          </w:tcPr>
          <w:p w:rsidRPr="00B127C3" w:rsidR="00B127C3" w:rsidP="000437BA" w:rsidRDefault="00B127C3" w14:paraId="5EC50462" w14:textId="77777777">
            <w:pPr>
              <w:rPr>
                <w:b/>
                <w:bCs/>
              </w:rPr>
            </w:pPr>
            <w:r w:rsidRPr="00B127C3">
              <w:rPr>
                <w:b/>
                <w:bCs/>
              </w:rPr>
              <w:t>Common Name</w:t>
            </w:r>
          </w:p>
        </w:tc>
        <w:tc>
          <w:tcPr>
            <w:tcW w:w="1569" w:type="dxa"/>
            <w:tcBorders>
              <w:top w:val="single" w:color="auto" w:sz="2" w:space="0"/>
              <w:bottom w:val="single" w:color="000000" w:sz="12" w:space="0"/>
            </w:tcBorders>
            <w:shd w:val="clear" w:color="auto" w:fill="auto"/>
          </w:tcPr>
          <w:p w:rsidRPr="00B127C3" w:rsidR="00B127C3" w:rsidP="000437BA" w:rsidRDefault="00B127C3" w14:paraId="4745FDAA" w14:textId="77777777">
            <w:pPr>
              <w:rPr>
                <w:b/>
                <w:bCs/>
              </w:rPr>
            </w:pPr>
            <w:r w:rsidRPr="00B127C3">
              <w:rPr>
                <w:b/>
                <w:bCs/>
              </w:rPr>
              <w:t>Canopy Position</w:t>
            </w:r>
          </w:p>
        </w:tc>
      </w:tr>
      <w:tr w:rsidRPr="00B127C3" w:rsidR="00B127C3" w:rsidTr="00CF3C12" w14:paraId="2887D8BF" w14:textId="77777777">
        <w:tc>
          <w:tcPr>
            <w:tcW w:w="1068" w:type="dxa"/>
            <w:tcBorders>
              <w:top w:val="single" w:color="000000" w:sz="12" w:space="0"/>
            </w:tcBorders>
            <w:shd w:val="clear" w:color="auto" w:fill="auto"/>
          </w:tcPr>
          <w:p w:rsidRPr="00B127C3" w:rsidR="00B127C3" w:rsidP="000437BA" w:rsidRDefault="00B127C3" w14:paraId="0F073546" w14:textId="77777777">
            <w:pPr>
              <w:rPr>
                <w:bCs/>
              </w:rPr>
            </w:pPr>
            <w:r w:rsidRPr="00B127C3">
              <w:rPr>
                <w:bCs/>
              </w:rPr>
              <w:t>FEAL</w:t>
            </w:r>
          </w:p>
        </w:tc>
        <w:tc>
          <w:tcPr>
            <w:tcW w:w="4869" w:type="dxa"/>
            <w:tcBorders>
              <w:top w:val="single" w:color="000000" w:sz="12" w:space="0"/>
            </w:tcBorders>
            <w:shd w:val="clear" w:color="auto" w:fill="auto"/>
          </w:tcPr>
          <w:p w:rsidRPr="00CF3C12" w:rsidR="00B127C3" w:rsidP="000437BA" w:rsidRDefault="00B127C3" w14:paraId="2293676B" w14:textId="77777777">
            <w:pPr>
              <w:rPr>
                <w:i/>
                <w:iCs/>
              </w:rPr>
            </w:pPr>
            <w:r w:rsidRPr="00CF3C12">
              <w:rPr>
                <w:i/>
                <w:iCs/>
              </w:rPr>
              <w:t>Festuca altaica</w:t>
            </w:r>
          </w:p>
        </w:tc>
        <w:tc>
          <w:tcPr>
            <w:tcW w:w="2070" w:type="dxa"/>
            <w:tcBorders>
              <w:top w:val="single" w:color="000000" w:sz="12" w:space="0"/>
            </w:tcBorders>
            <w:shd w:val="clear" w:color="auto" w:fill="auto"/>
          </w:tcPr>
          <w:p w:rsidRPr="00B127C3" w:rsidR="00B127C3" w:rsidP="000437BA" w:rsidRDefault="00B127C3" w14:paraId="0BF33510" w14:textId="77777777">
            <w:r w:rsidRPr="00B127C3">
              <w:t>Altai fescue</w:t>
            </w:r>
          </w:p>
        </w:tc>
        <w:tc>
          <w:tcPr>
            <w:tcW w:w="1569" w:type="dxa"/>
            <w:tcBorders>
              <w:top w:val="single" w:color="000000" w:sz="12" w:space="0"/>
            </w:tcBorders>
            <w:shd w:val="clear" w:color="auto" w:fill="auto"/>
          </w:tcPr>
          <w:p w:rsidRPr="00B127C3" w:rsidR="00B127C3" w:rsidP="000437BA" w:rsidRDefault="00B127C3" w14:paraId="0C475B57" w14:textId="77777777">
            <w:r w:rsidRPr="00B127C3">
              <w:t>Upper</w:t>
            </w:r>
          </w:p>
        </w:tc>
      </w:tr>
      <w:tr w:rsidRPr="00B127C3" w:rsidR="00B127C3" w:rsidTr="00CF3C12" w14:paraId="50484F6A" w14:textId="77777777">
        <w:tc>
          <w:tcPr>
            <w:tcW w:w="1068" w:type="dxa"/>
            <w:shd w:val="clear" w:color="auto" w:fill="auto"/>
          </w:tcPr>
          <w:p w:rsidRPr="00B127C3" w:rsidR="00B127C3" w:rsidP="000437BA" w:rsidRDefault="00B127C3" w14:paraId="7E92DD71" w14:textId="77777777">
            <w:pPr>
              <w:rPr>
                <w:bCs/>
              </w:rPr>
            </w:pPr>
            <w:r w:rsidRPr="00B127C3">
              <w:rPr>
                <w:bCs/>
              </w:rPr>
              <w:t>FERU2</w:t>
            </w:r>
          </w:p>
        </w:tc>
        <w:tc>
          <w:tcPr>
            <w:tcW w:w="4869" w:type="dxa"/>
            <w:shd w:val="clear" w:color="auto" w:fill="auto"/>
          </w:tcPr>
          <w:p w:rsidRPr="00CF3C12" w:rsidR="00B127C3" w:rsidP="000437BA" w:rsidRDefault="00B127C3" w14:paraId="634631E2" w14:textId="77777777">
            <w:pPr>
              <w:rPr>
                <w:i/>
                <w:iCs/>
              </w:rPr>
            </w:pPr>
            <w:r w:rsidRPr="00CF3C12">
              <w:rPr>
                <w:i/>
                <w:iCs/>
              </w:rPr>
              <w:t>Festuca rubra</w:t>
            </w:r>
          </w:p>
        </w:tc>
        <w:tc>
          <w:tcPr>
            <w:tcW w:w="2070" w:type="dxa"/>
            <w:shd w:val="clear" w:color="auto" w:fill="auto"/>
          </w:tcPr>
          <w:p w:rsidRPr="00B127C3" w:rsidR="00B127C3" w:rsidP="000437BA" w:rsidRDefault="00B127C3" w14:paraId="16F4926E" w14:textId="77777777">
            <w:r w:rsidRPr="00B127C3">
              <w:t>Red fescue</w:t>
            </w:r>
          </w:p>
        </w:tc>
        <w:tc>
          <w:tcPr>
            <w:tcW w:w="1569" w:type="dxa"/>
            <w:shd w:val="clear" w:color="auto" w:fill="auto"/>
          </w:tcPr>
          <w:p w:rsidRPr="00B127C3" w:rsidR="00B127C3" w:rsidP="000437BA" w:rsidRDefault="00B127C3" w14:paraId="3FA24BF2" w14:textId="77777777">
            <w:r w:rsidRPr="00B127C3">
              <w:t>Upper</w:t>
            </w:r>
          </w:p>
        </w:tc>
      </w:tr>
      <w:tr w:rsidRPr="00B127C3" w:rsidR="00B127C3" w:rsidTr="00CF3C12" w14:paraId="0B44467C" w14:textId="77777777">
        <w:tc>
          <w:tcPr>
            <w:tcW w:w="1068" w:type="dxa"/>
            <w:shd w:val="clear" w:color="auto" w:fill="auto"/>
          </w:tcPr>
          <w:p w:rsidRPr="00B127C3" w:rsidR="00B127C3" w:rsidP="000437BA" w:rsidRDefault="00B127C3" w14:paraId="011B80CF" w14:textId="77777777">
            <w:pPr>
              <w:rPr>
                <w:bCs/>
              </w:rPr>
            </w:pPr>
            <w:r w:rsidRPr="00B127C3">
              <w:rPr>
                <w:bCs/>
              </w:rPr>
              <w:t>CAPU</w:t>
            </w:r>
          </w:p>
        </w:tc>
        <w:tc>
          <w:tcPr>
            <w:tcW w:w="4869" w:type="dxa"/>
            <w:shd w:val="clear" w:color="auto" w:fill="auto"/>
          </w:tcPr>
          <w:p w:rsidRPr="00CF3C12" w:rsidR="00B127C3" w:rsidP="000437BA" w:rsidRDefault="00B127C3" w14:paraId="17293CE0" w14:textId="77777777">
            <w:pPr>
              <w:rPr>
                <w:i/>
                <w:iCs/>
              </w:rPr>
            </w:pPr>
            <w:r w:rsidRPr="00CF3C12">
              <w:rPr>
                <w:i/>
                <w:iCs/>
              </w:rPr>
              <w:t>Calamagrostis purpurascens</w:t>
            </w:r>
          </w:p>
        </w:tc>
        <w:tc>
          <w:tcPr>
            <w:tcW w:w="2070" w:type="dxa"/>
            <w:shd w:val="clear" w:color="auto" w:fill="auto"/>
          </w:tcPr>
          <w:p w:rsidRPr="00B127C3" w:rsidR="00B127C3" w:rsidP="000437BA" w:rsidRDefault="00B127C3" w14:paraId="24110F48" w14:textId="77777777">
            <w:r w:rsidRPr="00B127C3">
              <w:t>Purple reedgrass</w:t>
            </w:r>
          </w:p>
        </w:tc>
        <w:tc>
          <w:tcPr>
            <w:tcW w:w="1569" w:type="dxa"/>
            <w:shd w:val="clear" w:color="auto" w:fill="auto"/>
          </w:tcPr>
          <w:p w:rsidRPr="00B127C3" w:rsidR="00B127C3" w:rsidP="000437BA" w:rsidRDefault="00B127C3" w14:paraId="3D83FB16" w14:textId="77777777">
            <w:r w:rsidRPr="00B127C3">
              <w:t>Upper</w:t>
            </w:r>
          </w:p>
        </w:tc>
      </w:tr>
      <w:tr w:rsidRPr="00B127C3" w:rsidR="00B127C3" w:rsidTr="00CF3C12" w14:paraId="0BE171EF" w14:textId="77777777">
        <w:tc>
          <w:tcPr>
            <w:tcW w:w="1068" w:type="dxa"/>
            <w:shd w:val="clear" w:color="auto" w:fill="auto"/>
          </w:tcPr>
          <w:p w:rsidRPr="00B127C3" w:rsidR="00B127C3" w:rsidP="000437BA" w:rsidRDefault="00B127C3" w14:paraId="5550C9C7" w14:textId="77777777">
            <w:pPr>
              <w:rPr>
                <w:bCs/>
              </w:rPr>
            </w:pPr>
            <w:r w:rsidRPr="00B127C3">
              <w:rPr>
                <w:bCs/>
              </w:rPr>
              <w:t>BRINA</w:t>
            </w:r>
          </w:p>
        </w:tc>
        <w:tc>
          <w:tcPr>
            <w:tcW w:w="4869" w:type="dxa"/>
            <w:shd w:val="clear" w:color="auto" w:fill="auto"/>
          </w:tcPr>
          <w:p w:rsidRPr="00CF3C12" w:rsidR="00B127C3" w:rsidP="000437BA" w:rsidRDefault="00B127C3" w14:paraId="1759C31E" w14:textId="77777777">
            <w:pPr>
              <w:rPr>
                <w:i/>
                <w:iCs/>
              </w:rPr>
            </w:pPr>
            <w:r w:rsidRPr="00CF3C12">
              <w:rPr>
                <w:i/>
                <w:iCs/>
              </w:rPr>
              <w:t xml:space="preserve">Bromus inermis </w:t>
            </w:r>
            <w:r w:rsidRPr="007A3B1A">
              <w:t>ssp</w:t>
            </w:r>
            <w:r w:rsidRPr="00CF3C12">
              <w:rPr>
                <w:i/>
                <w:iCs/>
              </w:rPr>
              <w:t>. pumpellianus var. arcticus</w:t>
            </w:r>
          </w:p>
        </w:tc>
        <w:tc>
          <w:tcPr>
            <w:tcW w:w="2070" w:type="dxa"/>
            <w:shd w:val="clear" w:color="auto" w:fill="auto"/>
          </w:tcPr>
          <w:p w:rsidRPr="00B127C3" w:rsidR="00B127C3" w:rsidP="000437BA" w:rsidRDefault="00B127C3" w14:paraId="699F17FC" w14:textId="77777777">
            <w:r w:rsidRPr="00B127C3">
              <w:t>Pumpelly's brome</w:t>
            </w:r>
          </w:p>
        </w:tc>
        <w:tc>
          <w:tcPr>
            <w:tcW w:w="1569" w:type="dxa"/>
            <w:shd w:val="clear" w:color="auto" w:fill="auto"/>
          </w:tcPr>
          <w:p w:rsidRPr="00B127C3" w:rsidR="00B127C3" w:rsidP="000437BA" w:rsidRDefault="00B127C3" w14:paraId="17680055" w14:textId="77777777">
            <w:r w:rsidRPr="00B127C3">
              <w:t>Upper</w:t>
            </w:r>
          </w:p>
        </w:tc>
      </w:tr>
    </w:tbl>
    <w:p w:rsidR="00B127C3" w:rsidP="00B127C3" w:rsidRDefault="00B127C3" w14:paraId="62DC8203" w14:textId="77777777"/>
    <w:p w:rsidR="00B127C3" w:rsidP="00B127C3" w:rsidRDefault="00B127C3" w14:paraId="4074A307" w14:textId="77777777">
      <w:pPr>
        <w:pStyle w:val="SClassInfoPara"/>
      </w:pPr>
      <w:r>
        <w:t>Description</w:t>
      </w:r>
    </w:p>
    <w:p w:rsidR="00B127C3" w:rsidP="00B127C3" w:rsidRDefault="00B127C3" w14:paraId="559F19A2" w14:textId="182277E3">
      <w:r>
        <w:t xml:space="preserve">This class represents </w:t>
      </w:r>
      <w:r w:rsidR="006B2CAC">
        <w:t>the post-fire grass</w:t>
      </w:r>
      <w:r>
        <w:t xml:space="preserve"> community.</w:t>
      </w:r>
      <w:r w:rsidRPr="001C06D0" w:rsidR="001C06D0">
        <w:t xml:space="preserve"> </w:t>
      </w:r>
      <w:r w:rsidR="00A97C24">
        <w:t>G</w:t>
      </w:r>
      <w:r>
        <w:t>rasses, sedges and/or forbs dominate the site.</w:t>
      </w:r>
      <w:r w:rsidR="00972B07">
        <w:t xml:space="preserve"> </w:t>
      </w:r>
    </w:p>
    <w:p w:rsidR="004E00C6" w:rsidP="00B127C3" w:rsidRDefault="004E00C6" w14:paraId="46C5A02D" w14:textId="77777777"/>
    <w:p>
      <w:r>
        <w:rPr>
          <w:i/>
          <w:u w:val="single"/>
        </w:rPr>
        <w:t>Maximum Tree Size Class</w:t>
      </w:r>
      <w:br/>
      <w:r>
        <w:t>None</w:t>
      </w:r>
    </w:p>
    <w:p w:rsidR="004E00C6" w:rsidP="004E00C6" w:rsidRDefault="004E00C6" w14:paraId="1ADDFD5E" w14:textId="4C16D9CC">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4E00C6" w:rsidP="004E00C6" w:rsidRDefault="004E00C6" w14:paraId="1331D03B" w14:textId="77777777"/>
    <w:p w:rsidR="004E00C6" w:rsidP="004E00C6" w:rsidRDefault="004E00C6" w14:paraId="790E307C"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4452"/>
        <w:gridCol w:w="2100"/>
        <w:gridCol w:w="1956"/>
      </w:tblGrid>
      <w:tr w:rsidRPr="00B127C3" w:rsidR="004E00C6" w:rsidTr="00BA297A" w14:paraId="38359FEA" w14:textId="77777777">
        <w:tc>
          <w:tcPr>
            <w:tcW w:w="1068" w:type="dxa"/>
            <w:tcBorders>
              <w:top w:val="single" w:color="auto" w:sz="2" w:space="0"/>
              <w:bottom w:val="single" w:color="000000" w:sz="12" w:space="0"/>
            </w:tcBorders>
            <w:shd w:val="clear" w:color="auto" w:fill="auto"/>
          </w:tcPr>
          <w:p w:rsidRPr="00B127C3" w:rsidR="004E00C6" w:rsidP="00BA297A" w:rsidRDefault="004E00C6" w14:paraId="30670912" w14:textId="77777777">
            <w:pPr>
              <w:rPr>
                <w:b/>
                <w:bCs/>
              </w:rPr>
            </w:pPr>
            <w:r w:rsidRPr="00B127C3">
              <w:rPr>
                <w:b/>
                <w:bCs/>
              </w:rPr>
              <w:t>Symbol</w:t>
            </w:r>
          </w:p>
        </w:tc>
        <w:tc>
          <w:tcPr>
            <w:tcW w:w="4452" w:type="dxa"/>
            <w:tcBorders>
              <w:top w:val="single" w:color="auto" w:sz="2" w:space="0"/>
              <w:bottom w:val="single" w:color="000000" w:sz="12" w:space="0"/>
            </w:tcBorders>
            <w:shd w:val="clear" w:color="auto" w:fill="auto"/>
          </w:tcPr>
          <w:p w:rsidRPr="00B127C3" w:rsidR="004E00C6" w:rsidP="00BA297A" w:rsidRDefault="004E00C6" w14:paraId="7BD3D379" w14:textId="77777777">
            <w:pPr>
              <w:rPr>
                <w:b/>
                <w:bCs/>
              </w:rPr>
            </w:pPr>
            <w:r w:rsidRPr="00B127C3">
              <w:rPr>
                <w:b/>
                <w:bCs/>
              </w:rPr>
              <w:t>Scientific Name</w:t>
            </w:r>
          </w:p>
        </w:tc>
        <w:tc>
          <w:tcPr>
            <w:tcW w:w="2100" w:type="dxa"/>
            <w:tcBorders>
              <w:top w:val="single" w:color="auto" w:sz="2" w:space="0"/>
              <w:bottom w:val="single" w:color="000000" w:sz="12" w:space="0"/>
            </w:tcBorders>
            <w:shd w:val="clear" w:color="auto" w:fill="auto"/>
          </w:tcPr>
          <w:p w:rsidRPr="00B127C3" w:rsidR="004E00C6" w:rsidP="00BA297A" w:rsidRDefault="004E00C6" w14:paraId="0864C44B" w14:textId="77777777">
            <w:pPr>
              <w:rPr>
                <w:b/>
                <w:bCs/>
              </w:rPr>
            </w:pPr>
            <w:r w:rsidRPr="00B127C3">
              <w:rPr>
                <w:b/>
                <w:bCs/>
              </w:rPr>
              <w:t>Common Name</w:t>
            </w:r>
          </w:p>
        </w:tc>
        <w:tc>
          <w:tcPr>
            <w:tcW w:w="1956" w:type="dxa"/>
            <w:tcBorders>
              <w:top w:val="single" w:color="auto" w:sz="2" w:space="0"/>
              <w:bottom w:val="single" w:color="000000" w:sz="12" w:space="0"/>
            </w:tcBorders>
            <w:shd w:val="clear" w:color="auto" w:fill="auto"/>
          </w:tcPr>
          <w:p w:rsidRPr="00B127C3" w:rsidR="004E00C6" w:rsidP="00BA297A" w:rsidRDefault="004E00C6" w14:paraId="1CCB2420" w14:textId="77777777">
            <w:pPr>
              <w:rPr>
                <w:b/>
                <w:bCs/>
              </w:rPr>
            </w:pPr>
            <w:r w:rsidRPr="00B127C3">
              <w:rPr>
                <w:b/>
                <w:bCs/>
              </w:rPr>
              <w:t>Canopy Position</w:t>
            </w:r>
          </w:p>
        </w:tc>
      </w:tr>
      <w:tr w:rsidRPr="00B127C3" w:rsidR="004E00C6" w:rsidTr="00BA297A" w14:paraId="30F9CD06" w14:textId="77777777">
        <w:tc>
          <w:tcPr>
            <w:tcW w:w="1068" w:type="dxa"/>
            <w:tcBorders>
              <w:top w:val="single" w:color="000000" w:sz="12" w:space="0"/>
            </w:tcBorders>
            <w:shd w:val="clear" w:color="auto" w:fill="auto"/>
          </w:tcPr>
          <w:p w:rsidRPr="00B127C3" w:rsidR="004E00C6" w:rsidP="00BA297A" w:rsidRDefault="004E00C6" w14:paraId="7C44A800" w14:textId="77777777">
            <w:pPr>
              <w:rPr>
                <w:bCs/>
              </w:rPr>
            </w:pPr>
            <w:r w:rsidRPr="00B127C3">
              <w:rPr>
                <w:bCs/>
              </w:rPr>
              <w:t>FEAL</w:t>
            </w:r>
          </w:p>
        </w:tc>
        <w:tc>
          <w:tcPr>
            <w:tcW w:w="4452" w:type="dxa"/>
            <w:tcBorders>
              <w:top w:val="single" w:color="000000" w:sz="12" w:space="0"/>
            </w:tcBorders>
            <w:shd w:val="clear" w:color="auto" w:fill="auto"/>
          </w:tcPr>
          <w:p w:rsidRPr="00CF3C12" w:rsidR="004E00C6" w:rsidP="00BA297A" w:rsidRDefault="004E00C6" w14:paraId="70EDF997" w14:textId="77777777">
            <w:pPr>
              <w:rPr>
                <w:i/>
                <w:iCs/>
              </w:rPr>
            </w:pPr>
            <w:r w:rsidRPr="00CF3C12">
              <w:rPr>
                <w:i/>
                <w:iCs/>
              </w:rPr>
              <w:t>Festuca altaica</w:t>
            </w:r>
          </w:p>
        </w:tc>
        <w:tc>
          <w:tcPr>
            <w:tcW w:w="2100" w:type="dxa"/>
            <w:tcBorders>
              <w:top w:val="single" w:color="000000" w:sz="12" w:space="0"/>
            </w:tcBorders>
            <w:shd w:val="clear" w:color="auto" w:fill="auto"/>
          </w:tcPr>
          <w:p w:rsidRPr="00B127C3" w:rsidR="004E00C6" w:rsidP="00BA297A" w:rsidRDefault="004E00C6" w14:paraId="748CFDC7" w14:textId="77777777">
            <w:r w:rsidRPr="00B127C3">
              <w:t>Altai fescue</w:t>
            </w:r>
          </w:p>
        </w:tc>
        <w:tc>
          <w:tcPr>
            <w:tcW w:w="1956" w:type="dxa"/>
            <w:tcBorders>
              <w:top w:val="single" w:color="000000" w:sz="12" w:space="0"/>
            </w:tcBorders>
            <w:shd w:val="clear" w:color="auto" w:fill="auto"/>
          </w:tcPr>
          <w:p w:rsidRPr="00B127C3" w:rsidR="004E00C6" w:rsidP="00BA297A" w:rsidRDefault="004E00C6" w14:paraId="5FF0B919" w14:textId="77777777">
            <w:r w:rsidRPr="00B127C3">
              <w:t>Upper</w:t>
            </w:r>
          </w:p>
        </w:tc>
      </w:tr>
      <w:tr w:rsidRPr="00B127C3" w:rsidR="001B363F" w:rsidTr="00BA297A" w14:paraId="13BC2F81" w14:textId="77777777">
        <w:tc>
          <w:tcPr>
            <w:tcW w:w="1068" w:type="dxa"/>
            <w:shd w:val="clear" w:color="auto" w:fill="auto"/>
          </w:tcPr>
          <w:p w:rsidRPr="00B127C3" w:rsidR="001B363F" w:rsidP="001B363F" w:rsidRDefault="001B363F" w14:paraId="7A3B29F4" w14:textId="7F374C7E">
            <w:pPr>
              <w:rPr>
                <w:bCs/>
              </w:rPr>
            </w:pPr>
            <w:r w:rsidRPr="00B127C3">
              <w:rPr>
                <w:bCs/>
              </w:rPr>
              <w:t>CAPU</w:t>
            </w:r>
          </w:p>
        </w:tc>
        <w:tc>
          <w:tcPr>
            <w:tcW w:w="4452" w:type="dxa"/>
            <w:shd w:val="clear" w:color="auto" w:fill="auto"/>
          </w:tcPr>
          <w:p w:rsidRPr="00CF3C12" w:rsidR="001B363F" w:rsidP="001B363F" w:rsidRDefault="001B363F" w14:paraId="4AC5807B" w14:textId="1C741D65">
            <w:pPr>
              <w:rPr>
                <w:i/>
                <w:iCs/>
              </w:rPr>
            </w:pPr>
            <w:r w:rsidRPr="00CF3C12">
              <w:rPr>
                <w:i/>
                <w:iCs/>
              </w:rPr>
              <w:t>Calamagrostis purpurascens</w:t>
            </w:r>
          </w:p>
        </w:tc>
        <w:tc>
          <w:tcPr>
            <w:tcW w:w="2100" w:type="dxa"/>
            <w:shd w:val="clear" w:color="auto" w:fill="auto"/>
          </w:tcPr>
          <w:p w:rsidRPr="00B127C3" w:rsidR="001B363F" w:rsidP="001B363F" w:rsidRDefault="001B363F" w14:paraId="15DEDEDB" w14:textId="4BE64B01">
            <w:r w:rsidRPr="00B127C3">
              <w:t>Purple reedgrass</w:t>
            </w:r>
          </w:p>
        </w:tc>
        <w:tc>
          <w:tcPr>
            <w:tcW w:w="1956" w:type="dxa"/>
            <w:shd w:val="clear" w:color="auto" w:fill="auto"/>
          </w:tcPr>
          <w:p w:rsidRPr="00B127C3" w:rsidR="001B363F" w:rsidP="001B363F" w:rsidRDefault="001B363F" w14:paraId="221827D1" w14:textId="70D7CA39">
            <w:r w:rsidRPr="00B127C3">
              <w:t>Upper</w:t>
            </w:r>
          </w:p>
        </w:tc>
      </w:tr>
      <w:tr w:rsidRPr="00B127C3" w:rsidR="004E00C6" w:rsidTr="00BA297A" w14:paraId="7E57457B" w14:textId="77777777">
        <w:tc>
          <w:tcPr>
            <w:tcW w:w="1068" w:type="dxa"/>
            <w:shd w:val="clear" w:color="auto" w:fill="auto"/>
          </w:tcPr>
          <w:p w:rsidRPr="00B127C3" w:rsidR="004E00C6" w:rsidP="00BA297A" w:rsidRDefault="001B363F" w14:paraId="357732A5" w14:textId="6A1AB98A">
            <w:pPr>
              <w:rPr>
                <w:bCs/>
              </w:rPr>
            </w:pPr>
            <w:r>
              <w:rPr>
                <w:bCs/>
              </w:rPr>
              <w:t>VAVI</w:t>
            </w:r>
          </w:p>
        </w:tc>
        <w:tc>
          <w:tcPr>
            <w:tcW w:w="4452" w:type="dxa"/>
            <w:shd w:val="clear" w:color="auto" w:fill="auto"/>
          </w:tcPr>
          <w:p w:rsidRPr="00CF3C12" w:rsidR="004E00C6" w:rsidP="00BA297A" w:rsidRDefault="001B363F" w14:paraId="38DEA20F" w14:textId="511F0695">
            <w:pPr>
              <w:rPr>
                <w:i/>
                <w:iCs/>
              </w:rPr>
            </w:pPr>
            <w:r w:rsidRPr="00CF3C12">
              <w:rPr>
                <w:i/>
                <w:iCs/>
              </w:rPr>
              <w:t>Vaccinium vitis-idaea</w:t>
            </w:r>
          </w:p>
        </w:tc>
        <w:tc>
          <w:tcPr>
            <w:tcW w:w="2100" w:type="dxa"/>
            <w:shd w:val="clear" w:color="auto" w:fill="auto"/>
          </w:tcPr>
          <w:p w:rsidRPr="001B363F" w:rsidR="004E00C6" w:rsidP="00BA297A" w:rsidRDefault="001B363F" w14:paraId="4FFBE32E" w14:textId="66BBC5A0">
            <w:r>
              <w:t>L</w:t>
            </w:r>
            <w:r w:rsidRPr="001B363F">
              <w:t>ingonberry</w:t>
            </w:r>
          </w:p>
        </w:tc>
        <w:tc>
          <w:tcPr>
            <w:tcW w:w="1956" w:type="dxa"/>
            <w:shd w:val="clear" w:color="auto" w:fill="auto"/>
          </w:tcPr>
          <w:p w:rsidRPr="00B127C3" w:rsidR="004E00C6" w:rsidP="00BA297A" w:rsidRDefault="004E00C6" w14:paraId="0D472B5D" w14:textId="77777777">
            <w:r w:rsidRPr="00B127C3">
              <w:t>Upper</w:t>
            </w:r>
          </w:p>
        </w:tc>
      </w:tr>
      <w:tr w:rsidRPr="00B127C3" w:rsidR="0044650B" w:rsidTr="00BA297A" w14:paraId="1017781B" w14:textId="77777777">
        <w:tc>
          <w:tcPr>
            <w:tcW w:w="1068" w:type="dxa"/>
            <w:shd w:val="clear" w:color="auto" w:fill="auto"/>
          </w:tcPr>
          <w:p w:rsidRPr="00B127C3" w:rsidR="0044650B" w:rsidP="0044650B" w:rsidRDefault="0044650B" w14:paraId="75117073" w14:textId="3B127F29">
            <w:pPr>
              <w:rPr>
                <w:bCs/>
              </w:rPr>
            </w:pPr>
            <w:r w:rsidRPr="00B127C3">
              <w:rPr>
                <w:bCs/>
              </w:rPr>
              <w:t>ARFR4</w:t>
            </w:r>
          </w:p>
        </w:tc>
        <w:tc>
          <w:tcPr>
            <w:tcW w:w="4452" w:type="dxa"/>
            <w:shd w:val="clear" w:color="auto" w:fill="auto"/>
          </w:tcPr>
          <w:p w:rsidRPr="00CF3C12" w:rsidR="0044650B" w:rsidP="0044650B" w:rsidRDefault="0044650B" w14:paraId="3913D3DA" w14:textId="4FA512D2">
            <w:pPr>
              <w:rPr>
                <w:i/>
                <w:iCs/>
              </w:rPr>
            </w:pPr>
            <w:r w:rsidRPr="00CF3C12">
              <w:rPr>
                <w:i/>
                <w:iCs/>
              </w:rPr>
              <w:t>Artemisia frigida</w:t>
            </w:r>
          </w:p>
        </w:tc>
        <w:tc>
          <w:tcPr>
            <w:tcW w:w="2100" w:type="dxa"/>
            <w:shd w:val="clear" w:color="auto" w:fill="auto"/>
          </w:tcPr>
          <w:p w:rsidRPr="001B363F" w:rsidR="0044650B" w:rsidP="0044650B" w:rsidRDefault="0044650B" w14:paraId="48B33793" w14:textId="66EB853D">
            <w:r w:rsidRPr="00B127C3">
              <w:t>Prairie sagewort</w:t>
            </w:r>
          </w:p>
        </w:tc>
        <w:tc>
          <w:tcPr>
            <w:tcW w:w="1956" w:type="dxa"/>
            <w:shd w:val="clear" w:color="auto" w:fill="auto"/>
          </w:tcPr>
          <w:p w:rsidRPr="00B127C3" w:rsidR="0044650B" w:rsidP="0044650B" w:rsidRDefault="0044650B" w14:paraId="1E67D307" w14:textId="77777777">
            <w:r w:rsidRPr="00B127C3">
              <w:t>Upper</w:t>
            </w:r>
          </w:p>
        </w:tc>
      </w:tr>
      <w:tr w:rsidRPr="00B127C3" w:rsidR="0044650B" w:rsidTr="00BA297A" w14:paraId="5ACA3A53" w14:textId="77777777">
        <w:tc>
          <w:tcPr>
            <w:tcW w:w="1068" w:type="dxa"/>
            <w:shd w:val="clear" w:color="auto" w:fill="auto"/>
          </w:tcPr>
          <w:p w:rsidR="0044650B" w:rsidP="00BA297A" w:rsidRDefault="0044650B" w14:paraId="6827823B" w14:textId="7A7D157D">
            <w:pPr>
              <w:rPr>
                <w:bCs/>
              </w:rPr>
            </w:pPr>
            <w:r>
              <w:rPr>
                <w:bCs/>
              </w:rPr>
              <w:t>ARUV</w:t>
            </w:r>
          </w:p>
        </w:tc>
        <w:tc>
          <w:tcPr>
            <w:tcW w:w="4452" w:type="dxa"/>
            <w:shd w:val="clear" w:color="auto" w:fill="auto"/>
          </w:tcPr>
          <w:p w:rsidRPr="00CF3C12" w:rsidR="0044650B" w:rsidP="00BA297A" w:rsidRDefault="0044650B" w14:paraId="4EBC0546" w14:textId="63D457AD">
            <w:pPr>
              <w:rPr>
                <w:i/>
                <w:iCs/>
              </w:rPr>
            </w:pPr>
            <w:r w:rsidRPr="00CF3C12">
              <w:rPr>
                <w:i/>
                <w:iCs/>
              </w:rPr>
              <w:t>Arctostaphylos uva-ursi</w:t>
            </w:r>
          </w:p>
        </w:tc>
        <w:tc>
          <w:tcPr>
            <w:tcW w:w="2100" w:type="dxa"/>
            <w:shd w:val="clear" w:color="auto" w:fill="auto"/>
          </w:tcPr>
          <w:p w:rsidR="0044650B" w:rsidP="00BA297A" w:rsidRDefault="0044650B" w14:paraId="1E23213A" w14:textId="66AC80A8">
            <w:r>
              <w:t>K</w:t>
            </w:r>
            <w:r w:rsidRPr="0044650B">
              <w:t>innikinnick</w:t>
            </w:r>
          </w:p>
        </w:tc>
        <w:tc>
          <w:tcPr>
            <w:tcW w:w="1956" w:type="dxa"/>
            <w:shd w:val="clear" w:color="auto" w:fill="auto"/>
          </w:tcPr>
          <w:p w:rsidRPr="00B127C3" w:rsidR="0044650B" w:rsidP="00BA297A" w:rsidRDefault="0044650B" w14:paraId="44BE7CE5" w14:textId="450FFD58">
            <w:r>
              <w:t>Upper</w:t>
            </w:r>
          </w:p>
        </w:tc>
      </w:tr>
    </w:tbl>
    <w:p w:rsidR="004E00C6" w:rsidP="004E00C6" w:rsidRDefault="004E00C6" w14:paraId="6F675F00" w14:textId="77777777"/>
    <w:p w:rsidR="004E00C6" w:rsidP="004E00C6" w:rsidRDefault="004E00C6" w14:paraId="6BB46FDE" w14:textId="77777777">
      <w:pPr>
        <w:pStyle w:val="SClassInfoPara"/>
      </w:pPr>
      <w:r>
        <w:t>Description</w:t>
      </w:r>
    </w:p>
    <w:p w:rsidR="006B2CAC" w:rsidP="004E00C6" w:rsidRDefault="006B2CAC" w14:paraId="07ABDC5E" w14:textId="5A178C4D">
      <w:r>
        <w:t>Grass cover reaches pre-fire levels within two to three years following fire (</w:t>
      </w:r>
      <w:r w:rsidRPr="006B2CAC">
        <w:t>Tirmenstein, 2000</w:t>
      </w:r>
      <w:r>
        <w:t>). Shrub cover up to 25% is possible (Viereck et al. 1992).</w:t>
      </w:r>
    </w:p>
    <w:p w:rsidR="004E00C6" w:rsidP="00B127C3" w:rsidRDefault="004E00C6" w14:paraId="2AE590B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Late1:ALL</w:t>
            </w:r>
          </w:p>
        </w:tc>
        <w:tc>
          <w:p>
            <w:pPr>
              <w:jc w:val="center"/>
            </w:pPr>
            <w:r>
              <w:rPr>
                <w:sz w:val="20"/>
              </w:rPr>
              <w:t>2</w:t>
            </w:r>
          </w:p>
        </w:tc>
      </w:tr>
      <w:tr>
        <w:tc>
          <w:p>
            <w:pPr>
              <w:jc w:val="center"/>
            </w:pPr>
            <w:r>
              <w:rPr>
                <w:sz w:val="20"/>
              </w:rPr>
              <w:t>Late1:ALL</w:t>
            </w:r>
          </w:p>
        </w:tc>
        <w:tc>
          <w:p>
            <w:pPr>
              <w:jc w:val="center"/>
            </w:pPr>
            <w:r>
              <w:rPr>
                <w:sz w:val="20"/>
              </w:rPr>
              <w:t>3</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0D1CA5" w:rsidR="009B7167" w:rsidP="009B7167" w:rsidRDefault="009B7167" w14:paraId="4C57F9B4" w14:textId="38C4076F">
      <w:pPr>
        <w:spacing w:after="120"/>
        <w:rPr>
          <w:color w:val="222222"/>
          <w:shd w:val="clear" w:color="auto" w:fill="FFFFFF"/>
        </w:rPr>
      </w:pPr>
      <w:r w:rsidRPr="000D1CA5">
        <w:rPr>
          <w:color w:val="222222"/>
          <w:shd w:val="clear" w:color="auto" w:fill="FFFFFF"/>
        </w:rPr>
        <w:t>Bliss, L.C., Courtin, G.M., Pattie, D.L., Riewe, R.R., Whitfield, D.W.A. and Widden, P., 1973. Arctic tundra ecosystems. Annual Review of Ecology and Systematic</w:t>
      </w:r>
      <w:r>
        <w:rPr>
          <w:color w:val="222222"/>
          <w:shd w:val="clear" w:color="auto" w:fill="FFFFFF"/>
        </w:rPr>
        <w:t>s</w:t>
      </w:r>
      <w:r w:rsidRPr="000D1CA5">
        <w:rPr>
          <w:color w:val="222222"/>
          <w:shd w:val="clear" w:color="auto" w:fill="FFFFFF"/>
        </w:rPr>
        <w:t>, pp.359-399.</w:t>
      </w:r>
    </w:p>
    <w:p w:rsidRPr="008F63D8" w:rsidR="009B7167" w:rsidP="009B7167" w:rsidRDefault="009B7167" w14:paraId="1BAADE74" w14:textId="77777777">
      <w:pPr>
        <w:autoSpaceDE w:val="0"/>
        <w:autoSpaceDN w:val="0"/>
        <w:adjustRightInd w:val="0"/>
      </w:pPr>
      <w:r w:rsidRPr="008F63D8">
        <w:t>Boggs, K., and M. Sturdy. 2005. Plant associations and post-fire vegetation succession in</w:t>
      </w:r>
    </w:p>
    <w:p w:rsidRPr="008F63D8" w:rsidR="009B7167" w:rsidP="009B7167" w:rsidRDefault="009B7167" w14:paraId="0524C61C" w14:textId="77777777">
      <w:pPr>
        <w:autoSpaceDE w:val="0"/>
        <w:autoSpaceDN w:val="0"/>
        <w:adjustRightInd w:val="0"/>
      </w:pPr>
      <w:r w:rsidRPr="008F63D8">
        <w:t>Yukon-Charley Rivers National Preserve. Natural Resource Technical Report</w:t>
      </w:r>
    </w:p>
    <w:p w:rsidRPr="000D1CA5" w:rsidR="009B7167" w:rsidP="009B7167" w:rsidRDefault="009B7167" w14:paraId="5D936A9F" w14:textId="535E0C8F">
      <w:pPr>
        <w:spacing w:after="120"/>
      </w:pPr>
      <w:r w:rsidRPr="008F63D8">
        <w:t>NPS/YUCH/NRTR</w:t>
      </w:r>
      <w:r w:rsidRPr="000D1CA5">
        <w:t>—2005/001. National Park Service, Fort Collins, Colorado.</w:t>
      </w:r>
    </w:p>
    <w:p w:rsidRPr="008F63D8" w:rsidR="009B7167" w:rsidP="009B7167" w:rsidRDefault="009B7167" w14:paraId="7B6E3225" w14:textId="77777777">
      <w:pPr>
        <w:spacing w:after="120"/>
      </w:pPr>
      <w:r w:rsidRPr="000D1CA5">
        <w:lastRenderedPageBreak/>
        <w:t>Boggs, K., L. Flagstad, T. Boucher, M. Carlson, A. Steer, B. Bernard, M. Aisu, P. Lema, B. Heitz, and T. Kuo. 2019. Alaska Ecosystems of Conservation Concern: Biophysical Settings and Plant Associations. Report prepared by the Alaska Center for Conservation Science, University of Alaska, Anchorage for the Alaska Department of Fish and Game. 300 pp.</w:t>
      </w:r>
    </w:p>
    <w:p w:rsidRPr="000D1CA5" w:rsidR="009B7167" w:rsidP="009B7167" w:rsidRDefault="009B7167" w14:paraId="4D86B438" w14:textId="50D9DA82">
      <w:pPr>
        <w:spacing w:before="100" w:beforeAutospacing="1" w:after="100" w:afterAutospacing="1"/>
      </w:pPr>
      <w:r w:rsidRPr="008F63D8">
        <w:t xml:space="preserve">Chapin, F. Stuart. 2006. Alaska's changing boreal forest / edited by F. Stuart Chapin III ... [et al.] ; illustration editor, Melissa C. Chapin. Oxford; New York : Oxford University Press, 2006.  xiv, 354 p.: ill., maps ; 24 cm. </w:t>
      </w:r>
    </w:p>
    <w:p w:rsidRPr="000D1CA5" w:rsidR="009B7167" w:rsidP="009B7167" w:rsidRDefault="009B7167" w14:paraId="43BCAF12" w14:textId="77777777">
      <w:pPr>
        <w:spacing w:before="100" w:beforeAutospacing="1" w:after="100" w:afterAutospacing="1"/>
      </w:pPr>
      <w:r w:rsidRPr="008F63D8">
        <w:t>Dickson, L.G. 2000. Constraints to nitrogen fixation by cyanobacterial crusts in a polar desert ecosystem. Arc</w:t>
      </w:r>
      <w:r w:rsidRPr="000D1CA5">
        <w:t>tic, Antarctic and Alpine Research 32:40-45.</w:t>
      </w:r>
    </w:p>
    <w:p w:rsidR="008F2775" w:rsidP="008F3079" w:rsidRDefault="008F2775" w14:paraId="12323B0C" w14:textId="26B6AA8F">
      <w:pPr>
        <w:autoSpaceDE w:val="0"/>
        <w:autoSpaceDN w:val="0"/>
        <w:adjustRightInd w:val="0"/>
      </w:pPr>
      <w:r w:rsidRPr="008F2775">
        <w:t>Edwards, M. E.</w:t>
      </w:r>
      <w:r>
        <w:t>, and W.S.</w:t>
      </w:r>
      <w:r w:rsidRPr="008F2775">
        <w:t xml:space="preserve"> Armbruster</w:t>
      </w:r>
      <w:r>
        <w:t>.</w:t>
      </w:r>
      <w:r w:rsidRPr="008F2775">
        <w:t xml:space="preserve"> 1989. A tundra-steppe transition on Kathul Mountain, Alaska, U.S.A. Arctic and Alpine Research. 21(3): 296-304. </w:t>
      </w:r>
    </w:p>
    <w:p w:rsidR="008F2775" w:rsidP="008F3079" w:rsidRDefault="008F2775" w14:paraId="7F263491" w14:textId="684A8C5C">
      <w:pPr>
        <w:autoSpaceDE w:val="0"/>
        <w:autoSpaceDN w:val="0"/>
        <w:adjustRightInd w:val="0"/>
      </w:pPr>
    </w:p>
    <w:p w:rsidRPr="000D1CA5" w:rsidR="008F63D8" w:rsidP="008F63D8" w:rsidRDefault="008F63D8" w14:paraId="49470E96" w14:textId="77777777">
      <w:r w:rsidRPr="008F63D8">
        <w:t>Howenstein</w:t>
      </w:r>
      <w:r w:rsidRPr="000D1CA5">
        <w:t xml:space="preserve">, R.E., D.F. Murray, and W.S. Armbruster. 1985. Vegetation ecology of south-facing bluffs in subarctic interior Alaska. Proceedings of the 1985 Arctic Science Conference. Sept 27-29, 1985. University of Alaska-Fairbanks. </w:t>
      </w:r>
    </w:p>
    <w:p w:rsidR="008F63D8" w:rsidP="008F3079" w:rsidRDefault="008F63D8" w14:paraId="0EF788C8" w14:textId="77777777">
      <w:pPr>
        <w:autoSpaceDE w:val="0"/>
        <w:autoSpaceDN w:val="0"/>
        <w:adjustRightInd w:val="0"/>
      </w:pPr>
    </w:p>
    <w:p w:rsidR="008F3079" w:rsidP="008F3079" w:rsidRDefault="008F3079" w14:paraId="7C1BB45F" w14:textId="1F9520CA">
      <w:pPr>
        <w:autoSpaceDE w:val="0"/>
        <w:autoSpaceDN w:val="0"/>
        <w:adjustRightInd w:val="0"/>
      </w:pPr>
      <w:r>
        <w:t>Innes, Robin J. 2014. Fire regimes of Alaskan dry grassland communities. In: Fire Effects Information System, [Online]. U.S. Department of Agriculture, Forest Service, Rocky Mountain Research Station, Missoula Fire Sciences Laboratory (Producer). Available: http://www.fs.fed.us/database/feis/fire_regimes/AK_dry_grassland/all.html [ 2016, June 28].</w:t>
      </w:r>
    </w:p>
    <w:p w:rsidR="008F63D8" w:rsidP="008F63D8" w:rsidRDefault="008F63D8" w14:paraId="0FC1E5BA" w14:textId="77777777"/>
    <w:p w:rsidR="008F63D8" w:rsidP="008F63D8" w:rsidRDefault="008F63D8" w14:paraId="3717A9CB" w14:textId="59846671">
      <w:r w:rsidRPr="008F63D8">
        <w:t>Kassler, K.C.</w:t>
      </w:r>
      <w:r w:rsidRPr="000D1CA5">
        <w:t xml:space="preserve"> 1979. Relicts of the late Pleistocene arctic-steppe: investigations of certain south-facing slopes in interior Alaska. </w:t>
      </w:r>
    </w:p>
    <w:p w:rsidR="008F63D8" w:rsidP="008F63D8" w:rsidRDefault="008F63D8" w14:paraId="475AE98C" w14:textId="05BE7A4D"/>
    <w:p w:rsidR="009B7167" w:rsidP="008F63D8" w:rsidRDefault="008F63D8" w14:paraId="11E20A8B" w14:textId="50A08890">
      <w:pPr>
        <w:rPr>
          <w:color w:val="222222"/>
          <w:shd w:val="clear" w:color="auto" w:fill="FFFFFF"/>
        </w:rPr>
      </w:pPr>
      <w:r w:rsidRPr="000D1CA5">
        <w:rPr>
          <w:color w:val="222222"/>
          <w:shd w:val="clear" w:color="auto" w:fill="FFFFFF"/>
        </w:rPr>
        <w:t>Lewis, N.K. 1998. Landslide-driven distribution of aspen and steppe on Kathul Mountain, Alaska. Journal of arid environments 38(3), pp.421-435.</w:t>
      </w:r>
    </w:p>
    <w:p w:rsidR="008F3079" w:rsidP="00492D9D" w:rsidRDefault="009B7167" w14:paraId="4DE3A941" w14:textId="39A3E643">
      <w:pPr>
        <w:spacing w:before="100" w:beforeAutospacing="1" w:after="100" w:afterAutospacing="1"/>
      </w:pPr>
      <w:r w:rsidRPr="009B7167">
        <w:t>Lipkin, R., and J. Tande. 1991. Field report: Botanical survey of the Salmon Fork of the Black River. Alaska Natural Heritage Program, University of Alaska Anchorage, Anchorage, Alaska.</w:t>
      </w:r>
    </w:p>
    <w:p w:rsidR="008F2775" w:rsidP="008F3079" w:rsidRDefault="008F2775" w14:paraId="22437842" w14:textId="7ACE3AA5">
      <w:r w:rsidRPr="008F2775">
        <w:t>Lloyd, Andrea H.</w:t>
      </w:r>
      <w:r>
        <w:t>, W.</w:t>
      </w:r>
      <w:r w:rsidRPr="008F2775">
        <w:t xml:space="preserve"> Ambruster, </w:t>
      </w:r>
      <w:r>
        <w:t xml:space="preserve">E. </w:t>
      </w:r>
      <w:r w:rsidRPr="008F2775">
        <w:t xml:space="preserve">Scott, </w:t>
      </w:r>
      <w:r>
        <w:t xml:space="preserve">E. </w:t>
      </w:r>
      <w:r w:rsidRPr="008F2775">
        <w:t>Mary</w:t>
      </w:r>
      <w:r>
        <w:t xml:space="preserve">. </w:t>
      </w:r>
      <w:r w:rsidRPr="008F2775">
        <w:t>1994. Ecology of a steppe-tundra gradient in interior Alaska. Journal of Vegetation Science. 5(6): 897-912.</w:t>
      </w:r>
    </w:p>
    <w:p w:rsidR="008F2775" w:rsidP="008F3079" w:rsidRDefault="008F2775" w14:paraId="753DF7BB" w14:textId="728BC8AE"/>
    <w:p w:rsidRPr="000D1CA5" w:rsidR="008F63D8" w:rsidP="008F63D8" w:rsidRDefault="008F63D8" w14:paraId="1FA561F7" w14:textId="77777777">
      <w:r w:rsidRPr="000D1CA5">
        <w:t xml:space="preserve">Murray, D.F. 1981. The role of arctic refugia in the evolution of the arctic vascular flora – a Beringian perspective. Evolution Today, Proceedings of the second International Congress of Systematic and Evolutionary Biology, pp. 11-20. </w:t>
      </w:r>
    </w:p>
    <w:p w:rsidRPr="000D1CA5" w:rsidR="008F63D8" w:rsidP="008F63D8" w:rsidRDefault="008F63D8" w14:paraId="26ABF7F4" w14:textId="77777777">
      <w:r w:rsidRPr="000D1CA5">
        <w:t xml:space="preserve"> </w:t>
      </w:r>
    </w:p>
    <w:p w:rsidR="008F63D8" w:rsidP="008F3079" w:rsidRDefault="008F63D8" w14:paraId="779EBC29" w14:textId="5FC56C08">
      <w:r w:rsidRPr="000D1CA5">
        <w:t xml:space="preserve">Murray, D.F., B.M. Murray, B.A. Yurtsev, and R. Howenstein. 1983. Biogeographic significance of steppe vegetation in subarctic Alaska. Proceedings Permafrost Fourth International Conference. July 17-22, 1983. </w:t>
      </w:r>
    </w:p>
    <w:p w:rsidR="008F2775" w:rsidP="008F3079" w:rsidRDefault="008F2775" w14:paraId="6FD5F891" w14:textId="77777777"/>
    <w:p w:rsidR="00B127C3" w:rsidP="00B127C3" w:rsidRDefault="00B127C3" w14:paraId="31E10F7C" w14:textId="77777777">
      <w:r>
        <w:t xml:space="preserve">NatureServe. 2008. International Ecological Classification Standard: Terrestrial Ecological Classifications. Draft Ecological Systems Description for Alaska Boreal and Sub-boreal Regions. </w:t>
      </w:r>
    </w:p>
    <w:p w:rsidR="00B127C3" w:rsidP="00B127C3" w:rsidRDefault="00B127C3" w14:paraId="221BDEF7" w14:textId="159C2BFC"/>
    <w:p w:rsidRPr="00A43E41" w:rsidR="0044650B" w:rsidP="0044650B" w:rsidRDefault="0044650B" w14:paraId="56914600" w14:textId="77777777">
      <w:r w:rsidRPr="008F2775">
        <w:t>Redmann, R</w:t>
      </w:r>
      <w:r>
        <w:t>.</w:t>
      </w:r>
      <w:r w:rsidRPr="008F2775">
        <w:t>E.</w:t>
      </w:r>
      <w:r>
        <w:t xml:space="preserve">, and A. G. </w:t>
      </w:r>
      <w:r w:rsidRPr="008F2775">
        <w:t>Schwarz. 1986. Dry grassland plant communities in Wood Buffalo National Park, Alberta. The Canadian Field-Naturalist. 100(4): 526-532. </w:t>
      </w:r>
    </w:p>
    <w:p w:rsidR="0044650B" w:rsidP="00B127C3" w:rsidRDefault="0044650B" w14:paraId="235031C0" w14:textId="1C9A2261"/>
    <w:p w:rsidRPr="000D1CA5" w:rsidR="008F63D8" w:rsidP="008F63D8" w:rsidRDefault="008F63D8" w14:paraId="20E23050" w14:textId="77777777">
      <w:r w:rsidRPr="000D1CA5">
        <w:t xml:space="preserve">Roland. C. 1996. The floristics and community ecology of extrazonal steppe in the Yukon and Kolyma River drainages. M.S. Thesis. University of Alaska Fairbanks.  </w:t>
      </w:r>
    </w:p>
    <w:p w:rsidRPr="000D1CA5" w:rsidR="008F63D8" w:rsidP="008F63D8" w:rsidRDefault="008F63D8" w14:paraId="2064367F" w14:textId="77777777"/>
    <w:p w:rsidRPr="000D1CA5" w:rsidR="008F63D8" w:rsidP="008F63D8" w:rsidRDefault="008F63D8" w14:paraId="3F8B59EA" w14:textId="77777777">
      <w:r w:rsidRPr="000D1CA5">
        <w:t>Roland, C. 1990. Arctic steppe survey Yukon River sites. Research and Resource Management Report Series 90-04. National Park Service. Yukon-Charley Rivers National Preserve.</w:t>
      </w:r>
    </w:p>
    <w:p w:rsidR="008F63D8" w:rsidP="00B127C3" w:rsidRDefault="008F63D8" w14:paraId="6025B01D" w14:textId="77777777"/>
    <w:p w:rsidR="00A97C24" w:rsidP="00A97C24" w:rsidRDefault="00A97C24" w14:paraId="600FBCE9" w14:textId="1612BDFB">
      <w:r w:rsidRPr="00A97C24">
        <w:t>Rupp, T.</w:t>
      </w:r>
      <w:r>
        <w:t>S.</w:t>
      </w:r>
      <w:r w:rsidRPr="00A97C24">
        <w:t xml:space="preserve">; </w:t>
      </w:r>
      <w:r>
        <w:t xml:space="preserve">F.S. </w:t>
      </w:r>
      <w:r w:rsidRPr="00A97C24">
        <w:t>Chapin</w:t>
      </w:r>
      <w:r>
        <w:t xml:space="preserve"> </w:t>
      </w:r>
      <w:r w:rsidRPr="00A97C24">
        <w:t>III</w:t>
      </w:r>
      <w:r>
        <w:t>, and A.M.</w:t>
      </w:r>
      <w:r w:rsidRPr="00A97C24">
        <w:t xml:space="preserve"> Starfield</w:t>
      </w:r>
      <w:r>
        <w:t>.</w:t>
      </w:r>
      <w:r w:rsidRPr="00A97C24">
        <w:t xml:space="preserve"> 2000</w:t>
      </w:r>
      <w:r>
        <w:t>a</w:t>
      </w:r>
      <w:r w:rsidRPr="00A97C24">
        <w:t>. Response of subarctic vegetation to transient climatic change on the Seward Peninsula in north-west Alaska. Global Change Biology. 6(5): 541-555.</w:t>
      </w:r>
    </w:p>
    <w:p w:rsidRPr="00A97C24" w:rsidR="00A97C24" w:rsidP="00A97C24" w:rsidRDefault="00A97C24" w14:paraId="0893768F" w14:textId="77777777"/>
    <w:p w:rsidRPr="00A97C24" w:rsidR="00A97C24" w:rsidP="00A97C24" w:rsidRDefault="00A97C24" w14:paraId="56CF30A0" w14:textId="680F05A5">
      <w:r w:rsidRPr="00A97C24">
        <w:t>Rupp, T.</w:t>
      </w:r>
      <w:r>
        <w:t>S., A.M.</w:t>
      </w:r>
      <w:r w:rsidRPr="00A97C24">
        <w:t xml:space="preserve"> Starfield, </w:t>
      </w:r>
      <w:r>
        <w:t>and S.F.</w:t>
      </w:r>
      <w:r w:rsidRPr="00A97C24">
        <w:t xml:space="preserve"> Chapin III. 2000</w:t>
      </w:r>
      <w:r>
        <w:t>b</w:t>
      </w:r>
      <w:r w:rsidRPr="00A97C24">
        <w:t xml:space="preserve">. A frame-based spatially explicit model of subarctic vegetation response to climate change: a comparison with a point model. Landscape Ecology. 15(4): 383-400. </w:t>
      </w:r>
    </w:p>
    <w:p w:rsidR="00A97C24" w:rsidP="00B127C3" w:rsidRDefault="00A97C24" w14:paraId="60EB31CE" w14:textId="432CC775"/>
    <w:p w:rsidRPr="000D1CA5" w:rsidR="008F63D8" w:rsidP="008F63D8" w:rsidRDefault="008F63D8" w14:paraId="3FC8435D" w14:textId="77777777">
      <w:r w:rsidRPr="000D1CA5">
        <w:t xml:space="preserve">Shacklette, H.T.1966. Phytoecology of a greenstone habitat at Eagle, Alaska. Geological Survey Bulletin 1198-F. </w:t>
      </w:r>
    </w:p>
    <w:p w:rsidRPr="00972B07" w:rsidR="008F63D8" w:rsidP="00B127C3" w:rsidRDefault="008F63D8" w14:paraId="27ECBAD5" w14:textId="77777777"/>
    <w:p w:rsidRPr="00972B07" w:rsidR="00972B07" w:rsidP="00B127C3" w:rsidRDefault="00972B07" w14:paraId="32F8C207" w14:textId="6B184829">
      <w:pPr>
        <w:rPr>
          <w:color w:val="000000"/>
          <w:shd w:val="clear" w:color="auto" w:fill="FFFFFF"/>
        </w:rPr>
      </w:pPr>
      <w:r w:rsidRPr="00972B07">
        <w:rPr>
          <w:color w:val="000000"/>
          <w:shd w:val="clear" w:color="auto" w:fill="FFFFFF"/>
        </w:rPr>
        <w:t>Starfield, A</w:t>
      </w:r>
      <w:r>
        <w:rPr>
          <w:color w:val="000000"/>
          <w:shd w:val="clear" w:color="auto" w:fill="FFFFFF"/>
        </w:rPr>
        <w:t>.</w:t>
      </w:r>
      <w:r w:rsidRPr="00972B07">
        <w:rPr>
          <w:color w:val="000000"/>
          <w:shd w:val="clear" w:color="auto" w:fill="FFFFFF"/>
        </w:rPr>
        <w:t>M.</w:t>
      </w:r>
      <w:r>
        <w:rPr>
          <w:color w:val="000000"/>
          <w:shd w:val="clear" w:color="auto" w:fill="FFFFFF"/>
        </w:rPr>
        <w:t>, and S.F.</w:t>
      </w:r>
      <w:r w:rsidRPr="00972B07">
        <w:rPr>
          <w:color w:val="000000"/>
          <w:shd w:val="clear" w:color="auto" w:fill="FFFFFF"/>
        </w:rPr>
        <w:t xml:space="preserve"> Chapin III. 1996. Model of transient changes in arctic and boreal vegetation in response to climate and land use change. Ecological Applications. 6(3): 842-864. </w:t>
      </w:r>
    </w:p>
    <w:p w:rsidR="00972B07" w:rsidP="00B127C3" w:rsidRDefault="00972B07" w14:paraId="53ACD369" w14:textId="2651F68C"/>
    <w:p w:rsidR="009B7167" w:rsidP="00B127C3" w:rsidRDefault="006B2CAC" w14:paraId="72988157" w14:textId="33CE6AFD">
      <w:r w:rsidRPr="006B2CAC">
        <w:t>Tirmenstein, D. 2000. Festuca altaica, F. campestris, F. hallii. In: Fire Effects Information System, [Online]. U.S. Department of Agriculture, Forest Service, Rocky Mountain Research Station, Fire Sciences Laboratory (Producer). Available: https://www.fs.fed.us/database/feis/plants/graminoid/fesspp/all.html [2021, April 22].</w:t>
      </w:r>
    </w:p>
    <w:p w:rsidR="006B2CAC" w:rsidP="00492D9D" w:rsidRDefault="009B7167" w14:paraId="07094E83" w14:textId="2BB4B5E0">
      <w:pPr>
        <w:spacing w:before="100" w:beforeAutospacing="1" w:after="100" w:afterAutospacing="1"/>
      </w:pPr>
      <w:r w:rsidRPr="009B7167">
        <w:t>Vetter, MA. 2000.  Grasslands of th</w:t>
      </w:r>
      <w:r>
        <w:t xml:space="preserve">e </w:t>
      </w:r>
      <w:r w:rsidRPr="009B7167">
        <w:t>Marsh J., S. Nouvet, P. Sanborn, and D. Coxson. 2006. Composition and function of biological crust communities along topographic gradients in grasslands of central interior British Columbia (Chilcotin) and southwestern Yukon (Kluane). Canadian Jo</w:t>
      </w:r>
      <w:r w:rsidRPr="000D1CA5">
        <w:t>urnal of Botany 84:713–731.e Aishihik-Sekulmun Lakes Area, Yukon Territory, Canada. Arctic [Arctic]. Vol. 53, no. 2, pp. 165-173. Jun 2000.</w:t>
      </w:r>
    </w:p>
    <w:p w:rsidR="00B127C3" w:rsidP="00B127C3" w:rsidRDefault="001C06D0" w14:paraId="2245782F" w14:textId="51BC19A9">
      <w:r>
        <w:t>Viereck, L.A., C.T. Dyrness, A.R. Batten, and K.J. Wenzlick.</w:t>
      </w:r>
      <w:r w:rsidR="00B127C3">
        <w:t xml:space="preserve"> 1992. The Alaska vegetation classification. Pacific Northwest Research Station, USDA Forest Service, Portland, OR. Gen. Tech. Rep. PNW-GTR286. 278 pp.</w:t>
      </w:r>
    </w:p>
    <w:p w:rsidRPr="0062252F" w:rsidR="008F63D8" w:rsidP="00A10A2E" w:rsidRDefault="008F63D8" w14:paraId="73A62906" w14:textId="77777777"/>
    <w:p w:rsidRPr="0062252F" w:rsidR="008F63D8" w:rsidP="00B127C3" w:rsidRDefault="008F63D8" w14:paraId="759E03D5" w14:textId="00CD134B">
      <w:pPr>
        <w:rPr>
          <w:color w:val="222222"/>
          <w:shd w:val="clear" w:color="auto" w:fill="FFFFFF"/>
        </w:rPr>
      </w:pPr>
      <w:r w:rsidRPr="0062252F">
        <w:rPr>
          <w:color w:val="222222"/>
          <w:shd w:val="clear" w:color="auto" w:fill="FFFFFF"/>
        </w:rPr>
        <w:t>Walker, M.D., Walker, D.A., Everett, K.R. and Short, S.K., 1991. Steppe vegetation on south-facing slopes of pingos, central Arctic Coastal Plain, Alaska, USA. Arctic and Alpine Research 23(2), pp.170-188.</w:t>
      </w:r>
    </w:p>
    <w:p w:rsidRPr="0062252F" w:rsidR="008F63D8" w:rsidP="00B127C3" w:rsidRDefault="008F63D8" w14:paraId="5F7C1B01" w14:textId="77777777">
      <w:pPr>
        <w:rPr>
          <w:color w:val="222222"/>
          <w:shd w:val="clear" w:color="auto" w:fill="FFFFFF"/>
        </w:rPr>
      </w:pPr>
    </w:p>
    <w:p w:rsidRPr="008F63D8" w:rsidR="00A10A2E" w:rsidP="0062252F" w:rsidRDefault="008F63D8" w14:paraId="165F0764" w14:textId="0C7F46FC">
      <w:r w:rsidRPr="0062252F">
        <w:rPr>
          <w:color w:val="222222"/>
          <w:shd w:val="clear" w:color="auto" w:fill="FFFFFF"/>
        </w:rPr>
        <w:t>Wesser, S.D., 1991. The effects of light and moisture on two species from contiguous communities of south-facing bluffs in interior Alaska, USA. Arctic and Alpine Research</w:t>
      </w:r>
      <w:r>
        <w:rPr>
          <w:color w:val="222222"/>
          <w:shd w:val="clear" w:color="auto" w:fill="FFFFFF"/>
        </w:rPr>
        <w:t xml:space="preserve"> </w:t>
      </w:r>
      <w:r w:rsidRPr="0062252F">
        <w:rPr>
          <w:color w:val="222222"/>
          <w:shd w:val="clear" w:color="auto" w:fill="FFFFFF"/>
        </w:rPr>
        <w:t>23(1), pp.99-103.</w:t>
      </w:r>
    </w:p>
    <w:p w:rsidRPr="0062252F" w:rsidR="00F6710C" w:rsidP="0062252F" w:rsidRDefault="00F6710C" w14:paraId="4183A165" w14:textId="77777777">
      <w:pPr>
        <w:spacing w:before="100" w:beforeAutospacing="1" w:after="100" w:afterAutospacing="1"/>
      </w:pPr>
      <w:r w:rsidRPr="009B7167">
        <w:lastRenderedPageBreak/>
        <w:t>Zazula, G. D., D. G. Froese, A. M. Telka, R. W. Mathewes, and J. A. Westgate. 2002. Plants, bugs, and a giant mammo</w:t>
      </w:r>
      <w:r w:rsidRPr="0062252F">
        <w:t>th tusk: Paleoecology of Last Chance Creek, Yukon Territory. In Yukon Exploration and Geology. D. S. Edmond, and L.L. Lewis (eds.). Exploration and Geological Services Division, Yukon Region, Indian and Northern Affairs Canada, Whitehorse, Y.T., Canada.</w:t>
      </w:r>
    </w:p>
    <w:p w:rsidRPr="0062252F" w:rsidR="00A10A2E" w:rsidP="00A10A2E" w:rsidRDefault="00A10A2E" w14:paraId="7488B775" w14:textId="33A172F0">
      <w:pPr>
        <w:spacing w:after="120"/>
      </w:pPr>
    </w:p>
    <w:p w:rsidRPr="0062252F" w:rsidR="00A10A2E" w:rsidP="0044650B" w:rsidRDefault="00A10A2E" w14:paraId="52752E94" w14:textId="6D4CA323"/>
    <w:sectPr w:rsidRPr="0062252F" w:rsidR="00A10A2E"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DD37" w14:textId="77777777" w:rsidR="002B6437" w:rsidRDefault="002B6437">
      <w:r>
        <w:separator/>
      </w:r>
    </w:p>
  </w:endnote>
  <w:endnote w:type="continuationSeparator" w:id="0">
    <w:p w14:paraId="5CFD2922" w14:textId="77777777" w:rsidR="002B6437" w:rsidRDefault="002B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D6E1" w14:textId="77777777" w:rsidR="00B127C3" w:rsidRDefault="00B127C3" w:rsidP="00B127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C427" w14:textId="77777777" w:rsidR="002B6437" w:rsidRDefault="002B6437">
      <w:r>
        <w:separator/>
      </w:r>
    </w:p>
  </w:footnote>
  <w:footnote w:type="continuationSeparator" w:id="0">
    <w:p w14:paraId="6B08CB8C" w14:textId="77777777" w:rsidR="002B6437" w:rsidRDefault="002B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F0E9" w14:textId="77777777" w:rsidR="00A43E41" w:rsidRDefault="00A43E41" w:rsidP="00B127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C3D8C"/>
    <w:multiLevelType w:val="multilevel"/>
    <w:tmpl w:val="A31A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3501151">
    <w:abstractNumId w:val="2"/>
  </w:num>
  <w:num w:numId="2" w16cid:durableId="820540933">
    <w:abstractNumId w:val="0"/>
  </w:num>
  <w:num w:numId="3" w16cid:durableId="1676345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81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7C3"/>
    <w:rsid w:val="00021862"/>
    <w:rsid w:val="0003202F"/>
    <w:rsid w:val="00034537"/>
    <w:rsid w:val="0004797F"/>
    <w:rsid w:val="0006459C"/>
    <w:rsid w:val="00077A85"/>
    <w:rsid w:val="00090EA5"/>
    <w:rsid w:val="00097251"/>
    <w:rsid w:val="000B41AE"/>
    <w:rsid w:val="000E1EC5"/>
    <w:rsid w:val="000E759B"/>
    <w:rsid w:val="00110079"/>
    <w:rsid w:val="00117805"/>
    <w:rsid w:val="00131179"/>
    <w:rsid w:val="00174486"/>
    <w:rsid w:val="00196C68"/>
    <w:rsid w:val="001A5277"/>
    <w:rsid w:val="001B363F"/>
    <w:rsid w:val="001C06D0"/>
    <w:rsid w:val="001E43F5"/>
    <w:rsid w:val="001F3C77"/>
    <w:rsid w:val="002206B7"/>
    <w:rsid w:val="00220975"/>
    <w:rsid w:val="0023405C"/>
    <w:rsid w:val="002371DB"/>
    <w:rsid w:val="00255C17"/>
    <w:rsid w:val="00272B25"/>
    <w:rsid w:val="00277DC4"/>
    <w:rsid w:val="00292706"/>
    <w:rsid w:val="002A69B2"/>
    <w:rsid w:val="002B1262"/>
    <w:rsid w:val="002B6437"/>
    <w:rsid w:val="002E41A1"/>
    <w:rsid w:val="002E7FFC"/>
    <w:rsid w:val="00300000"/>
    <w:rsid w:val="00315531"/>
    <w:rsid w:val="0031662A"/>
    <w:rsid w:val="003172E2"/>
    <w:rsid w:val="00320910"/>
    <w:rsid w:val="003B0319"/>
    <w:rsid w:val="003C703C"/>
    <w:rsid w:val="003F322E"/>
    <w:rsid w:val="00414DA8"/>
    <w:rsid w:val="00415DEA"/>
    <w:rsid w:val="00424E99"/>
    <w:rsid w:val="0042550C"/>
    <w:rsid w:val="0042737A"/>
    <w:rsid w:val="004310FF"/>
    <w:rsid w:val="00444E3B"/>
    <w:rsid w:val="0044650B"/>
    <w:rsid w:val="00447BAA"/>
    <w:rsid w:val="00452B5E"/>
    <w:rsid w:val="00455D4C"/>
    <w:rsid w:val="00476F39"/>
    <w:rsid w:val="00491F12"/>
    <w:rsid w:val="00492D9D"/>
    <w:rsid w:val="004D5F12"/>
    <w:rsid w:val="004D7DCF"/>
    <w:rsid w:val="004E00C6"/>
    <w:rsid w:val="004E110F"/>
    <w:rsid w:val="004E7DB5"/>
    <w:rsid w:val="004F19D2"/>
    <w:rsid w:val="005035F5"/>
    <w:rsid w:val="00503C61"/>
    <w:rsid w:val="00513848"/>
    <w:rsid w:val="00513AFB"/>
    <w:rsid w:val="0052386E"/>
    <w:rsid w:val="00530D3E"/>
    <w:rsid w:val="00537D33"/>
    <w:rsid w:val="0054090D"/>
    <w:rsid w:val="005446EB"/>
    <w:rsid w:val="00553DA4"/>
    <w:rsid w:val="00557492"/>
    <w:rsid w:val="00570FE3"/>
    <w:rsid w:val="00582E66"/>
    <w:rsid w:val="005B1DDE"/>
    <w:rsid w:val="005B30C4"/>
    <w:rsid w:val="005C7A42"/>
    <w:rsid w:val="005D242C"/>
    <w:rsid w:val="005E6650"/>
    <w:rsid w:val="005E7804"/>
    <w:rsid w:val="005F3253"/>
    <w:rsid w:val="00605473"/>
    <w:rsid w:val="00616941"/>
    <w:rsid w:val="00621C0C"/>
    <w:rsid w:val="0062252F"/>
    <w:rsid w:val="00646981"/>
    <w:rsid w:val="006B2CAC"/>
    <w:rsid w:val="006D615C"/>
    <w:rsid w:val="006E57D4"/>
    <w:rsid w:val="006F39FC"/>
    <w:rsid w:val="00722B5D"/>
    <w:rsid w:val="00740E0B"/>
    <w:rsid w:val="00746F97"/>
    <w:rsid w:val="00747459"/>
    <w:rsid w:val="00763A16"/>
    <w:rsid w:val="007742B4"/>
    <w:rsid w:val="00776F2C"/>
    <w:rsid w:val="007A0313"/>
    <w:rsid w:val="007A3B1A"/>
    <w:rsid w:val="007A721A"/>
    <w:rsid w:val="007B11B3"/>
    <w:rsid w:val="007B5284"/>
    <w:rsid w:val="007C7863"/>
    <w:rsid w:val="008020A7"/>
    <w:rsid w:val="00820371"/>
    <w:rsid w:val="00821A9F"/>
    <w:rsid w:val="008779C3"/>
    <w:rsid w:val="0088580F"/>
    <w:rsid w:val="008D15EC"/>
    <w:rsid w:val="008D436B"/>
    <w:rsid w:val="008D61AE"/>
    <w:rsid w:val="008E7A5F"/>
    <w:rsid w:val="008F01B1"/>
    <w:rsid w:val="008F2775"/>
    <w:rsid w:val="008F3079"/>
    <w:rsid w:val="008F63D8"/>
    <w:rsid w:val="00901CA2"/>
    <w:rsid w:val="00907797"/>
    <w:rsid w:val="00911129"/>
    <w:rsid w:val="00945DBA"/>
    <w:rsid w:val="00966095"/>
    <w:rsid w:val="00972B07"/>
    <w:rsid w:val="00986A7A"/>
    <w:rsid w:val="009A639D"/>
    <w:rsid w:val="009B03E6"/>
    <w:rsid w:val="009B232E"/>
    <w:rsid w:val="009B7167"/>
    <w:rsid w:val="009D25CD"/>
    <w:rsid w:val="009D674B"/>
    <w:rsid w:val="009D7F8E"/>
    <w:rsid w:val="009E0DB5"/>
    <w:rsid w:val="00A10A2E"/>
    <w:rsid w:val="00A16194"/>
    <w:rsid w:val="00A2791D"/>
    <w:rsid w:val="00A309E2"/>
    <w:rsid w:val="00A33088"/>
    <w:rsid w:val="00A36D75"/>
    <w:rsid w:val="00A40B47"/>
    <w:rsid w:val="00A43E41"/>
    <w:rsid w:val="00A563F2"/>
    <w:rsid w:val="00A6020D"/>
    <w:rsid w:val="00A7708A"/>
    <w:rsid w:val="00A77FC6"/>
    <w:rsid w:val="00A97C24"/>
    <w:rsid w:val="00AA26BF"/>
    <w:rsid w:val="00AA69F8"/>
    <w:rsid w:val="00AB3795"/>
    <w:rsid w:val="00AB5DAC"/>
    <w:rsid w:val="00AF067C"/>
    <w:rsid w:val="00AF1CDE"/>
    <w:rsid w:val="00AF1E11"/>
    <w:rsid w:val="00AF1ED0"/>
    <w:rsid w:val="00AF4366"/>
    <w:rsid w:val="00AF4430"/>
    <w:rsid w:val="00AF4B2B"/>
    <w:rsid w:val="00B127C3"/>
    <w:rsid w:val="00B30030"/>
    <w:rsid w:val="00B42637"/>
    <w:rsid w:val="00B44A3C"/>
    <w:rsid w:val="00B823AE"/>
    <w:rsid w:val="00B84C7B"/>
    <w:rsid w:val="00BC14B6"/>
    <w:rsid w:val="00BC56D9"/>
    <w:rsid w:val="00BE13E8"/>
    <w:rsid w:val="00C0407C"/>
    <w:rsid w:val="00C07F5E"/>
    <w:rsid w:val="00C46380"/>
    <w:rsid w:val="00C50B12"/>
    <w:rsid w:val="00C5204F"/>
    <w:rsid w:val="00C66E45"/>
    <w:rsid w:val="00CA0BB9"/>
    <w:rsid w:val="00CA1418"/>
    <w:rsid w:val="00CA2426"/>
    <w:rsid w:val="00CA7964"/>
    <w:rsid w:val="00CD6118"/>
    <w:rsid w:val="00CD68F6"/>
    <w:rsid w:val="00CE79FF"/>
    <w:rsid w:val="00CF2056"/>
    <w:rsid w:val="00CF3C12"/>
    <w:rsid w:val="00D060DC"/>
    <w:rsid w:val="00D16916"/>
    <w:rsid w:val="00D178C7"/>
    <w:rsid w:val="00D25F58"/>
    <w:rsid w:val="00D26CE9"/>
    <w:rsid w:val="00D306FA"/>
    <w:rsid w:val="00D30BF7"/>
    <w:rsid w:val="00D367FB"/>
    <w:rsid w:val="00D46D39"/>
    <w:rsid w:val="00D52C2E"/>
    <w:rsid w:val="00D534D2"/>
    <w:rsid w:val="00D553D0"/>
    <w:rsid w:val="00D5635D"/>
    <w:rsid w:val="00D62775"/>
    <w:rsid w:val="00D81349"/>
    <w:rsid w:val="00D92158"/>
    <w:rsid w:val="00D95971"/>
    <w:rsid w:val="00DA63B1"/>
    <w:rsid w:val="00DB16CA"/>
    <w:rsid w:val="00DC4BA7"/>
    <w:rsid w:val="00DD3902"/>
    <w:rsid w:val="00DE0F2D"/>
    <w:rsid w:val="00DE40A7"/>
    <w:rsid w:val="00DE7AB5"/>
    <w:rsid w:val="00E109E9"/>
    <w:rsid w:val="00E112E2"/>
    <w:rsid w:val="00E309F2"/>
    <w:rsid w:val="00E4718F"/>
    <w:rsid w:val="00E50BB8"/>
    <w:rsid w:val="00E61C50"/>
    <w:rsid w:val="00E7520B"/>
    <w:rsid w:val="00EB2776"/>
    <w:rsid w:val="00EC4A14"/>
    <w:rsid w:val="00ED705C"/>
    <w:rsid w:val="00EF02EA"/>
    <w:rsid w:val="00F01828"/>
    <w:rsid w:val="00F10DD4"/>
    <w:rsid w:val="00F21DA4"/>
    <w:rsid w:val="00F2327F"/>
    <w:rsid w:val="00F43204"/>
    <w:rsid w:val="00F6710C"/>
    <w:rsid w:val="00F86C13"/>
    <w:rsid w:val="00F948F2"/>
    <w:rsid w:val="00FC451E"/>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DCA99"/>
  <w15:docId w15:val="{A4F725A4-E420-4D29-A2E4-C5AB5760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10DD4"/>
    <w:rPr>
      <w:rFonts w:ascii="Tahoma" w:hAnsi="Tahoma" w:cs="Tahoma"/>
      <w:sz w:val="16"/>
      <w:szCs w:val="16"/>
    </w:rPr>
  </w:style>
  <w:style w:type="character" w:customStyle="1" w:styleId="BalloonTextChar">
    <w:name w:val="Balloon Text Char"/>
    <w:link w:val="BalloonText"/>
    <w:uiPriority w:val="99"/>
    <w:semiHidden/>
    <w:rsid w:val="00F10DD4"/>
    <w:rPr>
      <w:rFonts w:ascii="Tahoma" w:hAnsi="Tahoma" w:cs="Tahoma"/>
      <w:sz w:val="16"/>
      <w:szCs w:val="16"/>
    </w:rPr>
  </w:style>
  <w:style w:type="paragraph" w:styleId="ListParagraph">
    <w:name w:val="List Paragraph"/>
    <w:basedOn w:val="Normal"/>
    <w:uiPriority w:val="34"/>
    <w:qFormat/>
    <w:rsid w:val="00F2327F"/>
    <w:pPr>
      <w:ind w:left="720"/>
    </w:pPr>
    <w:rPr>
      <w:rFonts w:ascii="Calibri" w:eastAsia="Calibri" w:hAnsi="Calibri"/>
      <w:sz w:val="22"/>
      <w:szCs w:val="22"/>
    </w:rPr>
  </w:style>
  <w:style w:type="character" w:styleId="Hyperlink">
    <w:name w:val="Hyperlink"/>
    <w:rsid w:val="00F2327F"/>
    <w:rPr>
      <w:color w:val="0000FF"/>
      <w:u w:val="single"/>
    </w:rPr>
  </w:style>
  <w:style w:type="character" w:styleId="CommentReference">
    <w:name w:val="annotation reference"/>
    <w:basedOn w:val="DefaultParagraphFont"/>
    <w:uiPriority w:val="99"/>
    <w:semiHidden/>
    <w:unhideWhenUsed/>
    <w:rsid w:val="00ED705C"/>
    <w:rPr>
      <w:sz w:val="16"/>
      <w:szCs w:val="16"/>
    </w:rPr>
  </w:style>
  <w:style w:type="paragraph" w:styleId="CommentText">
    <w:name w:val="annotation text"/>
    <w:basedOn w:val="Normal"/>
    <w:link w:val="CommentTextChar"/>
    <w:uiPriority w:val="99"/>
    <w:semiHidden/>
    <w:unhideWhenUsed/>
    <w:rsid w:val="00ED705C"/>
    <w:rPr>
      <w:sz w:val="20"/>
      <w:szCs w:val="20"/>
    </w:rPr>
  </w:style>
  <w:style w:type="character" w:customStyle="1" w:styleId="CommentTextChar">
    <w:name w:val="Comment Text Char"/>
    <w:basedOn w:val="DefaultParagraphFont"/>
    <w:link w:val="CommentText"/>
    <w:uiPriority w:val="99"/>
    <w:semiHidden/>
    <w:rsid w:val="00ED705C"/>
  </w:style>
  <w:style w:type="paragraph" w:styleId="CommentSubject">
    <w:name w:val="annotation subject"/>
    <w:basedOn w:val="CommentText"/>
    <w:next w:val="CommentText"/>
    <w:link w:val="CommentSubjectChar"/>
    <w:uiPriority w:val="99"/>
    <w:semiHidden/>
    <w:unhideWhenUsed/>
    <w:rsid w:val="00776F2C"/>
    <w:rPr>
      <w:b/>
      <w:bCs/>
    </w:rPr>
  </w:style>
  <w:style w:type="character" w:customStyle="1" w:styleId="CommentSubjectChar">
    <w:name w:val="Comment Subject Char"/>
    <w:basedOn w:val="CommentTextChar"/>
    <w:link w:val="CommentSubject"/>
    <w:uiPriority w:val="99"/>
    <w:semiHidden/>
    <w:rsid w:val="00776F2C"/>
    <w:rPr>
      <w:b/>
      <w:bCs/>
    </w:rPr>
  </w:style>
  <w:style w:type="character" w:styleId="UnresolvedMention">
    <w:name w:val="Unresolved Mention"/>
    <w:basedOn w:val="DefaultParagraphFont"/>
    <w:uiPriority w:val="99"/>
    <w:semiHidden/>
    <w:unhideWhenUsed/>
    <w:rsid w:val="00B42637"/>
    <w:rPr>
      <w:color w:val="605E5C"/>
      <w:shd w:val="clear" w:color="auto" w:fill="E1DFDD"/>
    </w:rPr>
  </w:style>
  <w:style w:type="table" w:styleId="TableGrid">
    <w:name w:val="Table Grid"/>
    <w:basedOn w:val="TableNormal"/>
    <w:uiPriority w:val="59"/>
    <w:rsid w:val="00AA2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6031">
      <w:bodyDiv w:val="1"/>
      <w:marLeft w:val="0"/>
      <w:marRight w:val="0"/>
      <w:marTop w:val="0"/>
      <w:marBottom w:val="0"/>
      <w:divBdr>
        <w:top w:val="none" w:sz="0" w:space="0" w:color="auto"/>
        <w:left w:val="none" w:sz="0" w:space="0" w:color="auto"/>
        <w:bottom w:val="none" w:sz="0" w:space="0" w:color="auto"/>
        <w:right w:val="none" w:sz="0" w:space="0" w:color="auto"/>
      </w:divBdr>
    </w:div>
    <w:div w:id="459811377">
      <w:bodyDiv w:val="1"/>
      <w:marLeft w:val="0"/>
      <w:marRight w:val="0"/>
      <w:marTop w:val="0"/>
      <w:marBottom w:val="0"/>
      <w:divBdr>
        <w:top w:val="none" w:sz="0" w:space="0" w:color="auto"/>
        <w:left w:val="none" w:sz="0" w:space="0" w:color="auto"/>
        <w:bottom w:val="none" w:sz="0" w:space="0" w:color="auto"/>
        <w:right w:val="none" w:sz="0" w:space="0" w:color="auto"/>
      </w:divBdr>
    </w:div>
    <w:div w:id="645665206">
      <w:bodyDiv w:val="1"/>
      <w:marLeft w:val="0"/>
      <w:marRight w:val="0"/>
      <w:marTop w:val="0"/>
      <w:marBottom w:val="0"/>
      <w:divBdr>
        <w:top w:val="none" w:sz="0" w:space="0" w:color="auto"/>
        <w:left w:val="none" w:sz="0" w:space="0" w:color="auto"/>
        <w:bottom w:val="none" w:sz="0" w:space="0" w:color="auto"/>
        <w:right w:val="none" w:sz="0" w:space="0" w:color="auto"/>
      </w:divBdr>
    </w:div>
    <w:div w:id="694695870">
      <w:bodyDiv w:val="1"/>
      <w:marLeft w:val="0"/>
      <w:marRight w:val="0"/>
      <w:marTop w:val="0"/>
      <w:marBottom w:val="0"/>
      <w:divBdr>
        <w:top w:val="none" w:sz="0" w:space="0" w:color="auto"/>
        <w:left w:val="none" w:sz="0" w:space="0" w:color="auto"/>
        <w:bottom w:val="none" w:sz="0" w:space="0" w:color="auto"/>
        <w:right w:val="none" w:sz="0" w:space="0" w:color="auto"/>
      </w:divBdr>
      <w:divsChild>
        <w:div w:id="156987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61171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241781">
      <w:bodyDiv w:val="1"/>
      <w:marLeft w:val="0"/>
      <w:marRight w:val="0"/>
      <w:marTop w:val="0"/>
      <w:marBottom w:val="0"/>
      <w:divBdr>
        <w:top w:val="none" w:sz="0" w:space="0" w:color="auto"/>
        <w:left w:val="none" w:sz="0" w:space="0" w:color="auto"/>
        <w:bottom w:val="none" w:sz="0" w:space="0" w:color="auto"/>
        <w:right w:val="none" w:sz="0" w:space="0" w:color="auto"/>
      </w:divBdr>
    </w:div>
    <w:div w:id="1229418502">
      <w:bodyDiv w:val="1"/>
      <w:marLeft w:val="0"/>
      <w:marRight w:val="0"/>
      <w:marTop w:val="0"/>
      <w:marBottom w:val="0"/>
      <w:divBdr>
        <w:top w:val="none" w:sz="0" w:space="0" w:color="auto"/>
        <w:left w:val="none" w:sz="0" w:space="0" w:color="auto"/>
        <w:bottom w:val="none" w:sz="0" w:space="0" w:color="auto"/>
        <w:right w:val="none" w:sz="0" w:space="0" w:color="auto"/>
      </w:divBdr>
    </w:div>
    <w:div w:id="1482229883">
      <w:bodyDiv w:val="1"/>
      <w:marLeft w:val="0"/>
      <w:marRight w:val="0"/>
      <w:marTop w:val="0"/>
      <w:marBottom w:val="0"/>
      <w:divBdr>
        <w:top w:val="none" w:sz="0" w:space="0" w:color="auto"/>
        <w:left w:val="none" w:sz="0" w:space="0" w:color="auto"/>
        <w:bottom w:val="none" w:sz="0" w:space="0" w:color="auto"/>
        <w:right w:val="none" w:sz="0" w:space="0" w:color="auto"/>
      </w:divBdr>
    </w:div>
    <w:div w:id="1496728051">
      <w:bodyDiv w:val="1"/>
      <w:marLeft w:val="0"/>
      <w:marRight w:val="0"/>
      <w:marTop w:val="0"/>
      <w:marBottom w:val="0"/>
      <w:divBdr>
        <w:top w:val="none" w:sz="0" w:space="0" w:color="auto"/>
        <w:left w:val="none" w:sz="0" w:space="0" w:color="auto"/>
        <w:bottom w:val="none" w:sz="0" w:space="0" w:color="auto"/>
        <w:right w:val="none" w:sz="0" w:space="0" w:color="auto"/>
      </w:divBdr>
    </w:div>
    <w:div w:id="1933971182">
      <w:bodyDiv w:val="1"/>
      <w:marLeft w:val="0"/>
      <w:marRight w:val="0"/>
      <w:marTop w:val="0"/>
      <w:marBottom w:val="0"/>
      <w:divBdr>
        <w:top w:val="none" w:sz="0" w:space="0" w:color="auto"/>
        <w:left w:val="none" w:sz="0" w:space="0" w:color="auto"/>
        <w:bottom w:val="none" w:sz="0" w:space="0" w:color="auto"/>
        <w:right w:val="none" w:sz="0" w:space="0" w:color="auto"/>
      </w:divBdr>
    </w:div>
    <w:div w:id="2000884063">
      <w:bodyDiv w:val="1"/>
      <w:marLeft w:val="0"/>
      <w:marRight w:val="0"/>
      <w:marTop w:val="0"/>
      <w:marBottom w:val="0"/>
      <w:divBdr>
        <w:top w:val="none" w:sz="0" w:space="0" w:color="auto"/>
        <w:left w:val="none" w:sz="0" w:space="0" w:color="auto"/>
        <w:bottom w:val="none" w:sz="0" w:space="0" w:color="auto"/>
        <w:right w:val="none" w:sz="0" w:space="0" w:color="auto"/>
      </w:divBdr>
      <w:divsChild>
        <w:div w:id="196195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9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70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s.fed.us/database/feis/fire_regimes/AK_dry_grassland/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30</TotalTime>
  <Pages>7</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24</cp:revision>
  <cp:lastPrinted>2015-09-11T19:35:00Z</cp:lastPrinted>
  <dcterms:created xsi:type="dcterms:W3CDTF">2022-12-20T22:10:00Z</dcterms:created>
  <dcterms:modified xsi:type="dcterms:W3CDTF">2024-09-27T18:36:00Z</dcterms:modified>
</cp:coreProperties>
</file>