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8DC" w:rsidP="00AA6973" w:rsidRDefault="00BA08DC" w14:paraId="65337CC9" w14:textId="16E29C8B">
      <w:pPr>
        <w:pStyle w:val="Heading1"/>
      </w:pPr>
      <w:r>
        <w:t>16810</w:t>
      </w:r>
    </w:p>
    <w:p w:rsidR="00562ED5" w:rsidP="00BA08DC" w:rsidRDefault="00562ED5" w14:paraId="018A8BCF" w14:textId="77777777">
      <w:pPr>
        <w:rPr>
          <w:rFonts w:ascii="Arial" w:hAnsi="Arial" w:cs="Arial"/>
          <w:b/>
          <w:bCs/>
          <w:kern w:val="32"/>
          <w:sz w:val="28"/>
          <w:szCs w:val="32"/>
        </w:rPr>
      </w:pPr>
      <w:r w:rsidRPr="00562ED5">
        <w:rPr>
          <w:rFonts w:ascii="Arial" w:hAnsi="Arial" w:cs="Arial"/>
          <w:b/>
          <w:bCs/>
          <w:kern w:val="32"/>
          <w:sz w:val="28"/>
          <w:szCs w:val="32"/>
        </w:rPr>
        <w:t>Alaskan Pacific Poorly Drained Conifer Woodland</w:t>
      </w:r>
    </w:p>
    <w:p w:rsidR="00BA08DC" w:rsidP="00BA08DC" w:rsidRDefault="00BA08DC" w14:paraId="58EDE26F" w14:textId="7EB504EA">
      <w:r>
        <w:t xmlns:w="http://schemas.openxmlformats.org/wordprocessingml/2006/main">BpS Model/Description Version: Nov. 2024</w:t>
      </w:r>
      <w:r>
        <w:tab/>
      </w:r>
      <w:r>
        <w:tab/>
      </w:r>
      <w:r>
        <w:tab/>
      </w:r>
      <w:r>
        <w:tab/>
      </w:r>
      <w:r>
        <w:tab/>
      </w:r>
      <w:r>
        <w:tab/>
      </w:r>
      <w:r>
        <w:tab/>
      </w:r>
      <w:r>
        <w:tab/>
      </w:r>
    </w:p>
    <w:p w:rsidR="00BA08DC" w:rsidP="00BA08DC" w:rsidRDefault="00BA08DC" w14:paraId="3914A6A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100"/>
        <w:gridCol w:w="1668"/>
        <w:gridCol w:w="3144"/>
      </w:tblGrid>
      <w:tr w:rsidRPr="00BA08DC" w:rsidR="00BA08DC" w:rsidTr="00BA08DC" w14:paraId="39047775" w14:textId="77777777">
        <w:tc>
          <w:tcPr>
            <w:tcW w:w="1584" w:type="dxa"/>
            <w:tcBorders>
              <w:top w:val="single" w:color="auto" w:sz="2" w:space="0"/>
              <w:left w:val="single" w:color="auto" w:sz="12" w:space="0"/>
              <w:bottom w:val="single" w:color="000000" w:sz="12" w:space="0"/>
            </w:tcBorders>
            <w:shd w:val="clear" w:color="auto" w:fill="auto"/>
          </w:tcPr>
          <w:p w:rsidRPr="00BA08DC" w:rsidR="00BA08DC" w:rsidP="00406CBD" w:rsidRDefault="00BA08DC" w14:paraId="684A157B" w14:textId="77777777">
            <w:pPr>
              <w:rPr>
                <w:b/>
                <w:bCs/>
              </w:rPr>
            </w:pPr>
            <w:r w:rsidRPr="00BA08DC">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BA08DC" w:rsidR="00BA08DC" w:rsidP="00406CBD" w:rsidRDefault="00BA08DC" w14:paraId="7D26EE17" w14:textId="77777777">
            <w:pPr>
              <w:rPr>
                <w:b/>
                <w:bCs/>
              </w:rPr>
            </w:pPr>
          </w:p>
        </w:tc>
        <w:tc>
          <w:tcPr>
            <w:tcW w:w="1668" w:type="dxa"/>
            <w:tcBorders>
              <w:top w:val="single" w:color="auto" w:sz="2" w:space="0"/>
              <w:left w:val="single" w:color="000000" w:sz="12" w:space="0"/>
              <w:bottom w:val="single" w:color="000000" w:sz="12" w:space="0"/>
            </w:tcBorders>
            <w:shd w:val="clear" w:color="auto" w:fill="auto"/>
          </w:tcPr>
          <w:p w:rsidRPr="00BA08DC" w:rsidR="00BA08DC" w:rsidP="00406CBD" w:rsidRDefault="00BA08DC" w14:paraId="5988E376" w14:textId="77777777">
            <w:pPr>
              <w:rPr>
                <w:b/>
                <w:bCs/>
              </w:rPr>
            </w:pPr>
            <w:r w:rsidRPr="00BA08DC">
              <w:rPr>
                <w:b/>
                <w:bCs/>
              </w:rPr>
              <w:t>Reviewers</w:t>
            </w:r>
          </w:p>
        </w:tc>
        <w:tc>
          <w:tcPr>
            <w:tcW w:w="3144" w:type="dxa"/>
            <w:tcBorders>
              <w:top w:val="single" w:color="auto" w:sz="2" w:space="0"/>
              <w:bottom w:val="single" w:color="000000" w:sz="12" w:space="0"/>
            </w:tcBorders>
            <w:shd w:val="clear" w:color="auto" w:fill="auto"/>
          </w:tcPr>
          <w:p w:rsidRPr="00BA08DC" w:rsidR="00BA08DC" w:rsidP="00406CBD" w:rsidRDefault="00BA08DC" w14:paraId="738B107D" w14:textId="77777777">
            <w:pPr>
              <w:rPr>
                <w:b/>
                <w:bCs/>
              </w:rPr>
            </w:pPr>
          </w:p>
        </w:tc>
      </w:tr>
      <w:tr w:rsidRPr="00BA08DC" w:rsidR="00BA08DC" w:rsidTr="00BA08DC" w14:paraId="1528B60B" w14:textId="77777777">
        <w:tc>
          <w:tcPr>
            <w:tcW w:w="1584" w:type="dxa"/>
            <w:tcBorders>
              <w:top w:val="single" w:color="000000" w:sz="12" w:space="0"/>
              <w:left w:val="single" w:color="auto" w:sz="12" w:space="0"/>
            </w:tcBorders>
            <w:shd w:val="clear" w:color="auto" w:fill="auto"/>
          </w:tcPr>
          <w:p w:rsidRPr="00BA08DC" w:rsidR="00BA08DC" w:rsidP="00406CBD" w:rsidRDefault="00BA08DC" w14:paraId="7B679AA4" w14:textId="77777777">
            <w:pPr>
              <w:rPr>
                <w:bCs/>
              </w:rPr>
            </w:pPr>
            <w:r w:rsidRPr="00BA08DC">
              <w:rPr>
                <w:bCs/>
              </w:rPr>
              <w:t>Tom DeMeo</w:t>
            </w:r>
          </w:p>
        </w:tc>
        <w:tc>
          <w:tcPr>
            <w:tcW w:w="2100" w:type="dxa"/>
            <w:tcBorders>
              <w:top w:val="single" w:color="000000" w:sz="12" w:space="0"/>
              <w:right w:val="single" w:color="000000" w:sz="12" w:space="0"/>
            </w:tcBorders>
            <w:shd w:val="clear" w:color="auto" w:fill="auto"/>
          </w:tcPr>
          <w:p w:rsidRPr="00BA08DC" w:rsidR="00BA08DC" w:rsidP="00406CBD" w:rsidRDefault="00BA08DC" w14:paraId="50A48F4C" w14:textId="77777777">
            <w:r w:rsidRPr="00BA08DC">
              <w:t>tdemeo@fs.fed.us</w:t>
            </w:r>
          </w:p>
        </w:tc>
        <w:tc>
          <w:tcPr>
            <w:tcW w:w="1668" w:type="dxa"/>
            <w:tcBorders>
              <w:top w:val="single" w:color="000000" w:sz="12" w:space="0"/>
              <w:left w:val="single" w:color="000000" w:sz="12" w:space="0"/>
            </w:tcBorders>
            <w:shd w:val="clear" w:color="auto" w:fill="auto"/>
          </w:tcPr>
          <w:p w:rsidRPr="00BA08DC" w:rsidR="00BA08DC" w:rsidP="00406CBD" w:rsidRDefault="00BA08DC" w14:paraId="541A2B0D" w14:textId="77777777">
            <w:r w:rsidRPr="00BA08DC">
              <w:t>Paul Alaback</w:t>
            </w:r>
          </w:p>
        </w:tc>
        <w:tc>
          <w:tcPr>
            <w:tcW w:w="3144" w:type="dxa"/>
            <w:tcBorders>
              <w:top w:val="single" w:color="000000" w:sz="12" w:space="0"/>
            </w:tcBorders>
            <w:shd w:val="clear" w:color="auto" w:fill="auto"/>
          </w:tcPr>
          <w:p w:rsidRPr="00BA08DC" w:rsidR="00BA08DC" w:rsidP="00406CBD" w:rsidRDefault="00BA08DC" w14:paraId="0AF286C4" w14:textId="77777777">
            <w:r w:rsidRPr="00BA08DC">
              <w:t>paul.alaback@umontana.edu</w:t>
            </w:r>
          </w:p>
        </w:tc>
      </w:tr>
      <w:tr w:rsidRPr="00BA08DC" w:rsidR="00BA08DC" w:rsidTr="00BA08DC" w14:paraId="5D210160" w14:textId="77777777">
        <w:tc>
          <w:tcPr>
            <w:tcW w:w="1584" w:type="dxa"/>
            <w:tcBorders>
              <w:left w:val="single" w:color="auto" w:sz="12" w:space="0"/>
            </w:tcBorders>
            <w:shd w:val="clear" w:color="auto" w:fill="auto"/>
          </w:tcPr>
          <w:p w:rsidRPr="00BA08DC" w:rsidR="00BA08DC" w:rsidP="00406CBD" w:rsidRDefault="00BA08DC" w14:paraId="55DC773F" w14:textId="77777777">
            <w:pPr>
              <w:rPr>
                <w:bCs/>
              </w:rPr>
            </w:pPr>
            <w:r w:rsidRPr="00BA08DC">
              <w:rPr>
                <w:bCs/>
              </w:rPr>
              <w:t>None</w:t>
            </w:r>
          </w:p>
        </w:tc>
        <w:tc>
          <w:tcPr>
            <w:tcW w:w="2100" w:type="dxa"/>
            <w:tcBorders>
              <w:right w:val="single" w:color="000000" w:sz="12" w:space="0"/>
            </w:tcBorders>
            <w:shd w:val="clear" w:color="auto" w:fill="auto"/>
          </w:tcPr>
          <w:p w:rsidRPr="00BA08DC" w:rsidR="00BA08DC" w:rsidP="00406CBD" w:rsidRDefault="00BA08DC" w14:paraId="05D78F05" w14:textId="77777777">
            <w:r w:rsidRPr="00BA08DC">
              <w:t>None</w:t>
            </w:r>
          </w:p>
        </w:tc>
        <w:tc>
          <w:tcPr>
            <w:tcW w:w="1668" w:type="dxa"/>
            <w:tcBorders>
              <w:left w:val="single" w:color="000000" w:sz="12" w:space="0"/>
            </w:tcBorders>
            <w:shd w:val="clear" w:color="auto" w:fill="auto"/>
          </w:tcPr>
          <w:p w:rsidRPr="00BA08DC" w:rsidR="00BA08DC" w:rsidP="00406CBD" w:rsidRDefault="00BA08DC" w14:paraId="39967235" w14:textId="77777777">
            <w:r w:rsidRPr="00BA08DC">
              <w:t>Sheila Spores</w:t>
            </w:r>
          </w:p>
        </w:tc>
        <w:tc>
          <w:tcPr>
            <w:tcW w:w="3144" w:type="dxa"/>
            <w:shd w:val="clear" w:color="auto" w:fill="auto"/>
          </w:tcPr>
          <w:p w:rsidRPr="00BA08DC" w:rsidR="00BA08DC" w:rsidP="00406CBD" w:rsidRDefault="00BA08DC" w14:paraId="5BA8285B" w14:textId="77777777">
            <w:r w:rsidRPr="00BA08DC">
              <w:t>sspores@fs.fed.us</w:t>
            </w:r>
          </w:p>
        </w:tc>
      </w:tr>
      <w:tr w:rsidRPr="00BA08DC" w:rsidR="00BA08DC" w:rsidTr="00BA08DC" w14:paraId="44141D55" w14:textId="77777777">
        <w:tc>
          <w:tcPr>
            <w:tcW w:w="1584" w:type="dxa"/>
            <w:tcBorders>
              <w:left w:val="single" w:color="auto" w:sz="12" w:space="0"/>
              <w:bottom w:val="single" w:color="auto" w:sz="2" w:space="0"/>
            </w:tcBorders>
            <w:shd w:val="clear" w:color="auto" w:fill="auto"/>
          </w:tcPr>
          <w:p w:rsidRPr="00BA08DC" w:rsidR="00BA08DC" w:rsidP="00406CBD" w:rsidRDefault="00BA08DC" w14:paraId="563EA34E" w14:textId="77777777">
            <w:pPr>
              <w:rPr>
                <w:bCs/>
              </w:rPr>
            </w:pPr>
            <w:r w:rsidRPr="00BA08DC">
              <w:rPr>
                <w:bCs/>
              </w:rPr>
              <w:t>None</w:t>
            </w:r>
          </w:p>
        </w:tc>
        <w:tc>
          <w:tcPr>
            <w:tcW w:w="2100" w:type="dxa"/>
            <w:tcBorders>
              <w:right w:val="single" w:color="000000" w:sz="12" w:space="0"/>
            </w:tcBorders>
            <w:shd w:val="clear" w:color="auto" w:fill="auto"/>
          </w:tcPr>
          <w:p w:rsidRPr="00BA08DC" w:rsidR="00BA08DC" w:rsidP="00406CBD" w:rsidRDefault="00BA08DC" w14:paraId="3C0BC299" w14:textId="77777777">
            <w:r w:rsidRPr="00BA08DC">
              <w:t>None</w:t>
            </w:r>
          </w:p>
        </w:tc>
        <w:tc>
          <w:tcPr>
            <w:tcW w:w="1668" w:type="dxa"/>
            <w:tcBorders>
              <w:left w:val="single" w:color="000000" w:sz="12" w:space="0"/>
              <w:bottom w:val="single" w:color="auto" w:sz="2" w:space="0"/>
            </w:tcBorders>
            <w:shd w:val="clear" w:color="auto" w:fill="auto"/>
          </w:tcPr>
          <w:p w:rsidRPr="00BA08DC" w:rsidR="00BA08DC" w:rsidP="00406CBD" w:rsidRDefault="00BA08DC" w14:paraId="2A354A90" w14:textId="77777777">
            <w:r w:rsidRPr="00BA08DC">
              <w:t>Sue Kesti</w:t>
            </w:r>
          </w:p>
        </w:tc>
        <w:tc>
          <w:tcPr>
            <w:tcW w:w="3144" w:type="dxa"/>
            <w:shd w:val="clear" w:color="auto" w:fill="auto"/>
          </w:tcPr>
          <w:p w:rsidRPr="00BA08DC" w:rsidR="00BA08DC" w:rsidP="00406CBD" w:rsidRDefault="00BA08DC" w14:paraId="597A4E21" w14:textId="77777777">
            <w:r w:rsidRPr="00BA08DC">
              <w:t>skesti@fs.fed.us</w:t>
            </w:r>
          </w:p>
        </w:tc>
      </w:tr>
    </w:tbl>
    <w:p w:rsidR="00BA08DC" w:rsidP="00BA08DC" w:rsidRDefault="00BA08DC" w14:paraId="52B61B72" w14:textId="77777777"/>
    <w:p w:rsidR="00BA08DC" w:rsidP="00BA08DC" w:rsidRDefault="00BA08DC" w14:paraId="2F47CEE3" w14:textId="77777777">
      <w:pPr>
        <w:pStyle w:val="InfoPara"/>
      </w:pPr>
      <w:r>
        <w:t>Vegetation Type</w:t>
      </w:r>
    </w:p>
    <w:p w:rsidR="00BA08DC" w:rsidP="00BA08DC" w:rsidRDefault="00BA08DC" w14:paraId="70D8B892" w14:textId="77777777">
      <w:r>
        <w:t>Forest and Woodland</w:t>
      </w:r>
    </w:p>
    <w:p w:rsidR="00BA08DC" w:rsidP="00BA08DC" w:rsidRDefault="00BA08DC" w14:paraId="452DBEA3" w14:textId="77777777">
      <w:pPr>
        <w:pStyle w:val="InfoPara"/>
      </w:pPr>
      <w:r w:rsidR="1968C9C5">
        <w:rPr/>
        <w:t>Map Zones</w:t>
      </w:r>
    </w:p>
    <w:p w:rsidR="1968C9C5" w:rsidP="1968C9C5" w:rsidRDefault="1968C9C5" w14:paraId="5231CC15" w14:textId="54835A67">
      <w:pPr>
        <w:pStyle w:val="Normal"/>
      </w:pPr>
      <w:r w:rsidR="1968C9C5">
        <w:rPr/>
        <w:t>73, 75, 76, 77, 78</w:t>
      </w:r>
    </w:p>
    <w:p w:rsidR="00BA08DC" w:rsidP="00BA08DC" w:rsidRDefault="00BA08DC" w14:paraId="57906C8D" w14:textId="77777777">
      <w:pPr>
        <w:pStyle w:val="InfoPara"/>
      </w:pPr>
      <w:r>
        <w:t>Geographic Range</w:t>
      </w:r>
    </w:p>
    <w:p w:rsidR="00BA08DC" w:rsidP="00BA08DC" w:rsidRDefault="00BA08DC" w14:paraId="5AA1424D" w14:textId="174322AA">
      <w:r>
        <w:t xml:space="preserve">This </w:t>
      </w:r>
      <w:r w:rsidR="00372B39">
        <w:t>Biophysical Setting (BpS)</w:t>
      </w:r>
      <w:r>
        <w:t xml:space="preserve"> is found in the subpolar and perhumid rainforest regions (defined by Alaback 1991, 1995</w:t>
      </w:r>
      <w:r w:rsidR="00372B39">
        <w:t>)</w:t>
      </w:r>
      <w:r>
        <w:t xml:space="preserve"> of the AK maritime regions from Kenai Fjords and Prince William Sound to Yakutat, and south through southeastern AK.</w:t>
      </w:r>
    </w:p>
    <w:p w:rsidR="00BA08DC" w:rsidP="00BA08DC" w:rsidRDefault="00BA08DC" w14:paraId="77795F15" w14:textId="77777777">
      <w:pPr>
        <w:pStyle w:val="InfoPara"/>
      </w:pPr>
      <w:r>
        <w:t>Biophysical Site Description</w:t>
      </w:r>
    </w:p>
    <w:p w:rsidR="00BA08DC" w:rsidP="00BA08DC" w:rsidRDefault="00BA08DC" w14:paraId="0641A40A" w14:textId="57D9E94E">
      <w:r>
        <w:t>In the perhumid rainforest region</w:t>
      </w:r>
      <w:r w:rsidR="00423145">
        <w:t>,</w:t>
      </w:r>
      <w:r>
        <w:t xml:space="preserve"> this </w:t>
      </w:r>
      <w:r w:rsidR="00423145">
        <w:t>BpS</w:t>
      </w:r>
      <w:r>
        <w:t xml:space="preserve"> is common on rolling terrain, benches, and gentle slopes with restricted drainage. Soils are poorly drained and usually have a thick organic layer. In the subpolar rainforest region this system occurs on low to mid elevations on poorly drained sites. Soils may be shallow to deep and usually have at least some peat development. In some places, stands are often a fine mosaic of peatlands and better-drained inclusions. These are low-productivity sites that are intermediate between shore pine or mountain hemlock peatland sites and productive western hemlock - western Red-cedar sites. </w:t>
      </w:r>
    </w:p>
    <w:p w:rsidR="00BA08DC" w:rsidP="00BA08DC" w:rsidRDefault="00BA08DC" w14:paraId="1F3ECD68" w14:textId="77777777"/>
    <w:p w:rsidR="00BA08DC" w:rsidP="00BA08DC" w:rsidRDefault="00BA08DC" w14:paraId="475AC3FB" w14:textId="3595E1FA">
      <w:r>
        <w:t xml:space="preserve">The poorly drained conifer community includes the concept of </w:t>
      </w:r>
      <w:r w:rsidR="00423145">
        <w:t>w</w:t>
      </w:r>
      <w:r>
        <w:t xml:space="preserve">estern hemlock small tree old-growth (see Caouette and DeGayner 2008). The Western Hemlock BpS represents the western hemlock large tree </w:t>
      </w:r>
      <w:r w:rsidR="006B1862">
        <w:t>old growth</w:t>
      </w:r>
      <w:r>
        <w:t xml:space="preserve"> found on more productive sites.</w:t>
      </w:r>
    </w:p>
    <w:p w:rsidR="00BA08DC" w:rsidP="00BA08DC" w:rsidRDefault="00BA08DC" w14:paraId="001D4CAE" w14:textId="77777777">
      <w:pPr>
        <w:pStyle w:val="InfoPara"/>
      </w:pPr>
      <w:r>
        <w:t>Vegetation Description</w:t>
      </w:r>
    </w:p>
    <w:p w:rsidR="00BA08DC" w:rsidP="00BA08DC" w:rsidRDefault="00BA08DC" w14:paraId="7F13502D" w14:textId="25FA141B">
      <w:r>
        <w:t xml:space="preserve">Open canopy (typically &lt;45% canopy cover) conifer stands tend to dominate these low productivity sites. Trees often show signs of stress such as spike-top or chlorotic foliage (especially spruce) and standing dead trees are common. Average overstory tree height ranges from 18-21m (DeMeo et al. 1992) and dbh averages 25-50cm (Viereck et al. 1992). Overstory trees may include several of the following species: </w:t>
      </w:r>
      <w:r w:rsidRPr="0007754C">
        <w:rPr>
          <w:i/>
          <w:iCs/>
        </w:rPr>
        <w:t xml:space="preserve">Tsuga heterophylla, T. mertensiana, Thuja plicata </w:t>
      </w:r>
      <w:r>
        <w:t>(found only in the southern most portion of the range of this BpS)</w:t>
      </w:r>
      <w:r w:rsidR="0007754C">
        <w:t>,</w:t>
      </w:r>
      <w:r>
        <w:t xml:space="preserve"> and </w:t>
      </w:r>
      <w:r w:rsidRPr="0007754C">
        <w:rPr>
          <w:i/>
          <w:iCs/>
        </w:rPr>
        <w:t>Chamaecyparis nootkatensis</w:t>
      </w:r>
      <w:r>
        <w:t xml:space="preserve"> (= </w:t>
      </w:r>
      <w:r w:rsidRPr="0007754C">
        <w:rPr>
          <w:i/>
          <w:iCs/>
        </w:rPr>
        <w:t>Cupressus nootkatensis</w:t>
      </w:r>
      <w:r>
        <w:t xml:space="preserve">). </w:t>
      </w:r>
      <w:r w:rsidRPr="0007754C">
        <w:rPr>
          <w:i/>
          <w:iCs/>
        </w:rPr>
        <w:t>Picea sitchensis</w:t>
      </w:r>
      <w:r>
        <w:t xml:space="preserve"> and </w:t>
      </w:r>
      <w:r w:rsidRPr="0007754C">
        <w:rPr>
          <w:i/>
          <w:iCs/>
        </w:rPr>
        <w:t>Pinus contorta</w:t>
      </w:r>
      <w:r>
        <w:t xml:space="preserve"> may also be </w:t>
      </w:r>
      <w:r w:rsidR="0007754C">
        <w:t>present but</w:t>
      </w:r>
      <w:r>
        <w:t xml:space="preserve"> are not dominant and are nearly always stunted. </w:t>
      </w:r>
      <w:r w:rsidRPr="0007754C">
        <w:rPr>
          <w:i/>
          <w:iCs/>
        </w:rPr>
        <w:t>T. mertensiana</w:t>
      </w:r>
      <w:r>
        <w:t xml:space="preserve"> becomes the dominant overstory species in the northern portion of the maritime region (subpolar rainforest) while most other species, except </w:t>
      </w:r>
      <w:r w:rsidRPr="004413EE">
        <w:rPr>
          <w:i/>
          <w:iCs/>
        </w:rPr>
        <w:t>Picea sitchensis</w:t>
      </w:r>
      <w:r>
        <w:t xml:space="preserve">, drop out. Common understory species include </w:t>
      </w:r>
      <w:r w:rsidRPr="004413EE">
        <w:rPr>
          <w:i/>
          <w:iCs/>
        </w:rPr>
        <w:t>Nephrophyllidium crista-galli, Elliottia pyroliflorus, Gaultheria shallon</w:t>
      </w:r>
      <w:r>
        <w:t xml:space="preserve"> (found only in the southern most portion of the range of this BpS), </w:t>
      </w:r>
      <w:r w:rsidRPr="004413EE">
        <w:rPr>
          <w:i/>
          <w:iCs/>
        </w:rPr>
        <w:t xml:space="preserve">Lysichiton americanus, </w:t>
      </w:r>
      <w:r w:rsidR="004413EE">
        <w:t xml:space="preserve">and </w:t>
      </w:r>
      <w:r w:rsidRPr="004413EE">
        <w:rPr>
          <w:i/>
          <w:iCs/>
        </w:rPr>
        <w:t xml:space="preserve">Vaccinium </w:t>
      </w:r>
      <w:r w:rsidRPr="004413EE">
        <w:rPr>
          <w:i/>
          <w:iCs/>
        </w:rPr>
        <w:t>ovalifolium</w:t>
      </w:r>
      <w:r w:rsidR="004413EE">
        <w:t xml:space="preserve"> </w:t>
      </w:r>
      <w:r>
        <w:t>(Demeo et al. 1992</w:t>
      </w:r>
      <w:r w:rsidR="004413EE">
        <w:t>;</w:t>
      </w:r>
      <w:r>
        <w:t xml:space="preserve"> Martin et al. 1995</w:t>
      </w:r>
      <w:r w:rsidR="004413EE">
        <w:t>;</w:t>
      </w:r>
      <w:r>
        <w:t xml:space="preserve"> Shephard et al. 1995). Further north where</w:t>
      </w:r>
      <w:r w:rsidR="004413EE">
        <w:t xml:space="preserve"> mountain</w:t>
      </w:r>
      <w:r>
        <w:t xml:space="preserve"> hemlock dominates</w:t>
      </w:r>
      <w:r w:rsidR="004413EE">
        <w:t>,</w:t>
      </w:r>
      <w:r>
        <w:t xml:space="preserve"> common understory species include </w:t>
      </w:r>
      <w:r w:rsidRPr="004413EE">
        <w:rPr>
          <w:i/>
          <w:iCs/>
        </w:rPr>
        <w:t>Vaccinium ovalifolium, Elliottia pyroliflora, Nephrophyllidium crista-galli, Thelypteris quelpaertensis, Phegopteris connectilis, Trichophorum caespitosum, Carex anthoxanthea C. pluriflora, C. stylosa, Eriophorum</w:t>
      </w:r>
      <w:r>
        <w:t xml:space="preserve"> spp</w:t>
      </w:r>
      <w:r w:rsidRPr="004413EE">
        <w:rPr>
          <w:i/>
          <w:iCs/>
        </w:rPr>
        <w:t>., Lysichiton americanus</w:t>
      </w:r>
      <w:r w:rsidR="004413EE">
        <w:t>,</w:t>
      </w:r>
      <w:r>
        <w:t xml:space="preserve"> and </w:t>
      </w:r>
      <w:r w:rsidRPr="004413EE">
        <w:rPr>
          <w:i/>
          <w:iCs/>
        </w:rPr>
        <w:t>Sphagnum</w:t>
      </w:r>
      <w:r>
        <w:t xml:space="preserve"> spp.</w:t>
      </w:r>
    </w:p>
    <w:p w:rsidR="00BA08DC" w:rsidP="00BA08DC" w:rsidRDefault="00BA08DC" w14:paraId="22F7CB8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NECR2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Nephrophyllidium crista-galli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Deercabbage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Elliottia pyroliflorus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Copperbush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LYAM3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Lysichiton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skunkcabbage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bl>
    <w:p>
      <w:r>
        <w:rPr>
          <w:sz w:val="16"/>
        </w:rPr>
        <w:t>Species names are from the NRCS PLANTS database. Check species codes at http://plants.usda.gov.</w:t>
      </w:r>
    </w:p>
    <w:p w:rsidR="00BA08DC" w:rsidP="00BA08DC" w:rsidRDefault="00BA08DC" w14:paraId="4BAE4737" w14:textId="77777777">
      <w:pPr>
        <w:pStyle w:val="InfoPara"/>
      </w:pPr>
      <w:r>
        <w:t>Disturbance Description</w:t>
      </w:r>
    </w:p>
    <w:p w:rsidR="00BA08DC" w:rsidP="00BA08DC" w:rsidRDefault="00BA08DC" w14:paraId="77EEE092" w14:textId="77777777">
      <w:r>
        <w:t>According to Viereck et al. (1992) secondary succession in this type is largely unknown because disturbance is rare. However, Paul Hennon offered the following information related to the successional dynamics of this system:</w:t>
      </w:r>
    </w:p>
    <w:p w:rsidR="00BA08DC" w:rsidP="00BA08DC" w:rsidRDefault="00BA08DC" w14:paraId="222A334F" w14:textId="20A4DDF9">
      <w:r>
        <w:t xml:space="preserve">Short term succession occurs from single tree mortality from a variety of causes [Note: this is not included in the </w:t>
      </w:r>
      <w:r w:rsidR="0031509E">
        <w:t xml:space="preserve">state-and-transition simulation </w:t>
      </w:r>
      <w:r>
        <w:t xml:space="preserve">model because these </w:t>
      </w:r>
      <w:r w:rsidR="000C2807">
        <w:t>small-scale</w:t>
      </w:r>
      <w:r>
        <w:t xml:space="preserve"> dynamics </w:t>
      </w:r>
      <w:r w:rsidR="000C2807">
        <w:t>cannot</w:t>
      </w:r>
      <w:r>
        <w:t xml:space="preserve"> be mapped into seral stages by LANDFIRE; therefore, the model is represented by a single seral stage]. Tree regeneration frequently occurs on raised organic microsites on the remains of previous trees. Tree growth is generally very slow. Longer term succession is probably influenced by climatic patterns that dictate drainage</w:t>
      </w:r>
      <w:r w:rsidR="005522B5">
        <w:t xml:space="preserve">, </w:t>
      </w:r>
      <w:r>
        <w:t>either favoring poorer drainage, increased tree mortality, and more open canopy</w:t>
      </w:r>
      <w:r w:rsidR="005522B5">
        <w:t>,</w:t>
      </w:r>
      <w:r>
        <w:t xml:space="preserve"> or improved drainage, greater tree growth, and a more closed canopy. These patterns can also favor individual tree species based on their tolerance or intolerance of wet soils. </w:t>
      </w:r>
    </w:p>
    <w:p w:rsidR="00BA08DC" w:rsidP="00BA08DC" w:rsidRDefault="00BA08DC" w14:paraId="47FF1153" w14:textId="77777777"/>
    <w:p w:rsidR="00BA08DC" w:rsidP="00BA08DC" w:rsidRDefault="00BA08DC" w14:paraId="1F487CC3" w14:textId="48E37339">
      <w:r>
        <w:t xml:space="preserve">There is some anecdotal evidence of anthropogenic fire in southern </w:t>
      </w:r>
      <w:r w:rsidR="001F6975">
        <w:t>southeast</w:t>
      </w:r>
      <w:r>
        <w:t xml:space="preserve"> </w:t>
      </w:r>
      <w:r w:rsidR="006B1862">
        <w:t>Alaska,</w:t>
      </w:r>
      <w:r>
        <w:t xml:space="preserve"> but it remains largely unstudied. Fire may become a more important factor in this type as climate warms [Note: a reviewer commented that the effects of climate warming are still uncertain and that the assumption of increased fire activity in some areas, particularly Prince William Sound, may not be well founded]. The widespread yellow-cedar decline, which covers 200,000 ha of this type in southeast Alaska, is an example of a climate-induced tree death that has resulted in a composition shift away from yellow-cedar due to this mortality (Hennon et al. 2008).</w:t>
      </w:r>
    </w:p>
    <w:p w:rsidR="00BA08DC" w:rsidP="00BA08DC" w:rsidRDefault="00BA08DC" w14:paraId="3AE715FD" w14:textId="165A6AC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08DC" w:rsidP="00BA08DC" w:rsidRDefault="00BA08DC" w14:paraId="172F3FAD" w14:textId="77777777">
      <w:pPr>
        <w:pStyle w:val="InfoPara"/>
      </w:pPr>
      <w:r>
        <w:t>Scale Description</w:t>
      </w:r>
    </w:p>
    <w:p w:rsidR="00BA08DC" w:rsidP="00BA08DC" w:rsidRDefault="00BA08DC" w14:paraId="0AAA8D41" w14:textId="77777777">
      <w:r>
        <w:t>Matrix</w:t>
      </w:r>
    </w:p>
    <w:p w:rsidR="00BA08DC" w:rsidP="00BA08DC" w:rsidRDefault="00BA08DC" w14:paraId="4608BE8E" w14:textId="77777777">
      <w:pPr>
        <w:pStyle w:val="InfoPara"/>
      </w:pPr>
      <w:r>
        <w:t>Adjacency or Identification Concerns</w:t>
      </w:r>
    </w:p>
    <w:p w:rsidR="00BA08DC" w:rsidP="00BA08DC" w:rsidRDefault="00BA08DC" w14:paraId="5883270D" w14:textId="2A9716B1">
      <w:r>
        <w:t xml:space="preserve">This </w:t>
      </w:r>
      <w:r w:rsidR="0013598C">
        <w:t>BpS</w:t>
      </w:r>
      <w:r>
        <w:t xml:space="preserve"> is found adjacent to low productivity shore pine peatland and higher productivity western hemlock-western red cedar communities.</w:t>
      </w:r>
    </w:p>
    <w:p w:rsidR="00BA08DC" w:rsidP="00BA08DC" w:rsidRDefault="00BA08DC" w14:paraId="3A7DF2EB" w14:textId="77777777"/>
    <w:p w:rsidR="00BA08DC" w:rsidP="00BA08DC" w:rsidRDefault="00BA08DC" w14:paraId="0CDCE902" w14:textId="2529C8F8">
      <w:r>
        <w:t xml:space="preserve">This BpS is referred to as mixed conifer in the </w:t>
      </w:r>
      <w:r w:rsidR="0013598C">
        <w:t>southeast</w:t>
      </w:r>
      <w:r>
        <w:t xml:space="preserve"> AK plant association guides.</w:t>
      </w:r>
    </w:p>
    <w:p w:rsidR="00BA08DC" w:rsidP="00BA08DC" w:rsidRDefault="00BA08DC" w14:paraId="11E397B8" w14:textId="77777777">
      <w:pPr>
        <w:pStyle w:val="InfoPara"/>
      </w:pPr>
      <w:r>
        <w:t>Issues or Problems</w:t>
      </w:r>
    </w:p>
    <w:p w:rsidR="00BA08DC" w:rsidP="00BA08DC" w:rsidRDefault="00BA08DC" w14:paraId="634024D7" w14:textId="77777777"/>
    <w:p w:rsidR="00BA08DC" w:rsidP="00BA08DC" w:rsidRDefault="00BA08DC" w14:paraId="2ED23262" w14:textId="77777777">
      <w:pPr>
        <w:pStyle w:val="InfoPara"/>
      </w:pPr>
      <w:r>
        <w:t>Native Uncharacteristic Conditions</w:t>
      </w:r>
    </w:p>
    <w:p w:rsidR="00BA08DC" w:rsidP="00BA08DC" w:rsidRDefault="00BA08DC" w14:paraId="50E3B11E" w14:textId="77777777">
      <w:r>
        <w:t>This type is sensitive to changes in climate and hydrology. Neiland (1971) documents the shift between forest and bog noting that climate and surface physical features determine the vegetation on a site at a particular time.</w:t>
      </w:r>
    </w:p>
    <w:p w:rsidR="00BA08DC" w:rsidP="00BA08DC" w:rsidRDefault="00BA08DC" w14:paraId="4A0EABBB" w14:textId="77777777">
      <w:pPr>
        <w:pStyle w:val="InfoPara"/>
      </w:pPr>
      <w:r>
        <w:t>Comments</w:t>
      </w:r>
    </w:p>
    <w:p w:rsidR="00BA08DC" w:rsidP="00BA08DC" w:rsidRDefault="00BA08DC" w14:paraId="2FDF0AFD" w14:textId="3BDFC789">
      <w:r>
        <w:t xml:space="preserve">This model was developed by Tom DeMeo for </w:t>
      </w:r>
      <w:r w:rsidR="00E0514E">
        <w:t>southeast</w:t>
      </w:r>
      <w:r>
        <w:t xml:space="preserve"> AK. Review comments resulted in minor descriptive changes to the general description and expanding the description to include poorly drained </w:t>
      </w:r>
      <w:r w:rsidR="00E0514E">
        <w:t>mountain</w:t>
      </w:r>
      <w:r>
        <w:t xml:space="preserve"> hemlock sites that occur in the northern portion of the maritime region (subpolar rainforest). Comments made by Paul Hennon related to the successional dynamics of this system were added to the Disturbance Description. Patricia Krosse (pkrosse@fs.fed.us) also provided review comments on this model.</w:t>
      </w:r>
    </w:p>
    <w:p w:rsidR="00A57AF2" w:rsidP="00BA08DC" w:rsidRDefault="00A57AF2" w14:paraId="48AD73A2" w14:textId="04F3E061"/>
    <w:p w:rsidR="00BA08DC" w:rsidP="00BA08DC" w:rsidRDefault="00BA08DC" w14:paraId="1AB54E86"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08DC" w:rsidP="00BA08DC" w:rsidRDefault="00BA08DC" w14:paraId="5B5BF684" w14:textId="2A459D46">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A08DC" w:rsidP="00BA08DC" w:rsidRDefault="00BA08DC" w14:paraId="58CE36F1" w14:textId="77777777"/>
    <w:p w:rsidR="00BA08DC" w:rsidP="00BA08DC" w:rsidRDefault="00BA08DC" w14:paraId="7A1E8F9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20"/>
        <w:gridCol w:w="2184"/>
        <w:gridCol w:w="1956"/>
      </w:tblGrid>
      <w:tr w:rsidRPr="00BA08DC" w:rsidR="00BA08DC" w:rsidTr="00BA08DC" w14:paraId="0D9D1F41" w14:textId="77777777">
        <w:tc>
          <w:tcPr>
            <w:tcW w:w="1056" w:type="dxa"/>
            <w:tcBorders>
              <w:top w:val="single" w:color="auto" w:sz="2" w:space="0"/>
              <w:bottom w:val="single" w:color="000000" w:sz="12" w:space="0"/>
            </w:tcBorders>
            <w:shd w:val="clear" w:color="auto" w:fill="auto"/>
          </w:tcPr>
          <w:p w:rsidRPr="00BA08DC" w:rsidR="00BA08DC" w:rsidP="00096277" w:rsidRDefault="00BA08DC" w14:paraId="017898F6" w14:textId="77777777">
            <w:pPr>
              <w:rPr>
                <w:b/>
                <w:bCs/>
              </w:rPr>
            </w:pPr>
            <w:r w:rsidRPr="00BA08DC">
              <w:rPr>
                <w:b/>
                <w:bCs/>
              </w:rPr>
              <w:t>Symbol</w:t>
            </w:r>
          </w:p>
        </w:tc>
        <w:tc>
          <w:tcPr>
            <w:tcW w:w="3120" w:type="dxa"/>
            <w:tcBorders>
              <w:top w:val="single" w:color="auto" w:sz="2" w:space="0"/>
              <w:bottom w:val="single" w:color="000000" w:sz="12" w:space="0"/>
            </w:tcBorders>
            <w:shd w:val="clear" w:color="auto" w:fill="auto"/>
          </w:tcPr>
          <w:p w:rsidRPr="00BA08DC" w:rsidR="00BA08DC" w:rsidP="00096277" w:rsidRDefault="00BA08DC" w14:paraId="0A90D2E3" w14:textId="77777777">
            <w:pPr>
              <w:rPr>
                <w:b/>
                <w:bCs/>
              </w:rPr>
            </w:pPr>
            <w:r w:rsidRPr="00BA08DC">
              <w:rPr>
                <w:b/>
                <w:bCs/>
              </w:rPr>
              <w:t>Scientific Name</w:t>
            </w:r>
          </w:p>
        </w:tc>
        <w:tc>
          <w:tcPr>
            <w:tcW w:w="2184" w:type="dxa"/>
            <w:tcBorders>
              <w:top w:val="single" w:color="auto" w:sz="2" w:space="0"/>
              <w:bottom w:val="single" w:color="000000" w:sz="12" w:space="0"/>
            </w:tcBorders>
            <w:shd w:val="clear" w:color="auto" w:fill="auto"/>
          </w:tcPr>
          <w:p w:rsidRPr="00BA08DC" w:rsidR="00BA08DC" w:rsidP="00096277" w:rsidRDefault="00BA08DC" w14:paraId="70F706CF" w14:textId="77777777">
            <w:pPr>
              <w:rPr>
                <w:b/>
                <w:bCs/>
              </w:rPr>
            </w:pPr>
            <w:r w:rsidRPr="00BA08DC">
              <w:rPr>
                <w:b/>
                <w:bCs/>
              </w:rPr>
              <w:t>Common Name</w:t>
            </w:r>
          </w:p>
        </w:tc>
        <w:tc>
          <w:tcPr>
            <w:tcW w:w="1956" w:type="dxa"/>
            <w:tcBorders>
              <w:top w:val="single" w:color="auto" w:sz="2" w:space="0"/>
              <w:bottom w:val="single" w:color="000000" w:sz="12" w:space="0"/>
            </w:tcBorders>
            <w:shd w:val="clear" w:color="auto" w:fill="auto"/>
          </w:tcPr>
          <w:p w:rsidRPr="00BA08DC" w:rsidR="00BA08DC" w:rsidP="00096277" w:rsidRDefault="00BA08DC" w14:paraId="4FCD2F51" w14:textId="77777777">
            <w:pPr>
              <w:rPr>
                <w:b/>
                <w:bCs/>
              </w:rPr>
            </w:pPr>
            <w:r w:rsidRPr="00BA08DC">
              <w:rPr>
                <w:b/>
                <w:bCs/>
              </w:rPr>
              <w:t>Canopy Position</w:t>
            </w:r>
          </w:p>
        </w:tc>
      </w:tr>
      <w:tr w:rsidRPr="00BA08DC" w:rsidR="00BA08DC" w:rsidTr="00BA08DC" w14:paraId="31D23952" w14:textId="77777777">
        <w:tc>
          <w:tcPr>
            <w:tcW w:w="1056" w:type="dxa"/>
            <w:tcBorders>
              <w:top w:val="single" w:color="000000" w:sz="12" w:space="0"/>
            </w:tcBorders>
            <w:shd w:val="clear" w:color="auto" w:fill="auto"/>
          </w:tcPr>
          <w:p w:rsidRPr="00BA08DC" w:rsidR="00BA08DC" w:rsidP="00096277" w:rsidRDefault="00BA08DC" w14:paraId="5FC4B882" w14:textId="77777777">
            <w:pPr>
              <w:rPr>
                <w:bCs/>
              </w:rPr>
            </w:pPr>
            <w:r w:rsidRPr="00BA08DC">
              <w:rPr>
                <w:bCs/>
              </w:rPr>
              <w:t>TSHE</w:t>
            </w:r>
          </w:p>
        </w:tc>
        <w:tc>
          <w:tcPr>
            <w:tcW w:w="3120" w:type="dxa"/>
            <w:tcBorders>
              <w:top w:val="single" w:color="000000" w:sz="12" w:space="0"/>
            </w:tcBorders>
            <w:shd w:val="clear" w:color="auto" w:fill="auto"/>
          </w:tcPr>
          <w:p w:rsidRPr="00E0514E" w:rsidR="00BA08DC" w:rsidP="00096277" w:rsidRDefault="00BA08DC" w14:paraId="18E74066" w14:textId="77777777">
            <w:pPr>
              <w:rPr>
                <w:i/>
                <w:iCs/>
              </w:rPr>
            </w:pPr>
            <w:r w:rsidRPr="00E0514E">
              <w:rPr>
                <w:i/>
                <w:iCs/>
              </w:rPr>
              <w:t>Tsuga heterophylla</w:t>
            </w:r>
          </w:p>
        </w:tc>
        <w:tc>
          <w:tcPr>
            <w:tcW w:w="2184" w:type="dxa"/>
            <w:tcBorders>
              <w:top w:val="single" w:color="000000" w:sz="12" w:space="0"/>
            </w:tcBorders>
            <w:shd w:val="clear" w:color="auto" w:fill="auto"/>
          </w:tcPr>
          <w:p w:rsidRPr="00BA08DC" w:rsidR="00BA08DC" w:rsidP="00096277" w:rsidRDefault="00BA08DC" w14:paraId="7A9E557A" w14:textId="77777777">
            <w:r w:rsidRPr="00BA08DC">
              <w:t>Western hemlock</w:t>
            </w:r>
          </w:p>
        </w:tc>
        <w:tc>
          <w:tcPr>
            <w:tcW w:w="1956" w:type="dxa"/>
            <w:tcBorders>
              <w:top w:val="single" w:color="000000" w:sz="12" w:space="0"/>
            </w:tcBorders>
            <w:shd w:val="clear" w:color="auto" w:fill="auto"/>
          </w:tcPr>
          <w:p w:rsidRPr="00BA08DC" w:rsidR="00BA08DC" w:rsidP="00096277" w:rsidRDefault="00BA08DC" w14:paraId="27423404" w14:textId="77777777">
            <w:r w:rsidRPr="00BA08DC">
              <w:t>Upper</w:t>
            </w:r>
          </w:p>
        </w:tc>
      </w:tr>
      <w:tr w:rsidRPr="00BA08DC" w:rsidR="00BA08DC" w:rsidTr="00BA08DC" w14:paraId="35634EF0" w14:textId="77777777">
        <w:tc>
          <w:tcPr>
            <w:tcW w:w="1056" w:type="dxa"/>
            <w:shd w:val="clear" w:color="auto" w:fill="auto"/>
          </w:tcPr>
          <w:p w:rsidRPr="00BA08DC" w:rsidR="00BA08DC" w:rsidP="00096277" w:rsidRDefault="00BA08DC" w14:paraId="68EDDDA5" w14:textId="77777777">
            <w:pPr>
              <w:rPr>
                <w:bCs/>
              </w:rPr>
            </w:pPr>
            <w:r w:rsidRPr="00BA08DC">
              <w:rPr>
                <w:bCs/>
              </w:rPr>
              <w:t>TSME</w:t>
            </w:r>
          </w:p>
        </w:tc>
        <w:tc>
          <w:tcPr>
            <w:tcW w:w="3120" w:type="dxa"/>
            <w:shd w:val="clear" w:color="auto" w:fill="auto"/>
          </w:tcPr>
          <w:p w:rsidRPr="00E0514E" w:rsidR="00BA08DC" w:rsidP="00096277" w:rsidRDefault="00BA08DC" w14:paraId="085D0180" w14:textId="77777777">
            <w:pPr>
              <w:rPr>
                <w:i/>
                <w:iCs/>
              </w:rPr>
            </w:pPr>
            <w:r w:rsidRPr="00E0514E">
              <w:rPr>
                <w:i/>
                <w:iCs/>
              </w:rPr>
              <w:t>Tsuga mertensiana</w:t>
            </w:r>
          </w:p>
        </w:tc>
        <w:tc>
          <w:tcPr>
            <w:tcW w:w="2184" w:type="dxa"/>
            <w:shd w:val="clear" w:color="auto" w:fill="auto"/>
          </w:tcPr>
          <w:p w:rsidRPr="00BA08DC" w:rsidR="00BA08DC" w:rsidP="00096277" w:rsidRDefault="00BA08DC" w14:paraId="730F36F5" w14:textId="77777777">
            <w:r w:rsidRPr="00BA08DC">
              <w:t>Mountain hemlock</w:t>
            </w:r>
          </w:p>
        </w:tc>
        <w:tc>
          <w:tcPr>
            <w:tcW w:w="1956" w:type="dxa"/>
            <w:shd w:val="clear" w:color="auto" w:fill="auto"/>
          </w:tcPr>
          <w:p w:rsidRPr="00BA08DC" w:rsidR="00BA08DC" w:rsidP="00096277" w:rsidRDefault="00BA08DC" w14:paraId="29BC3C55" w14:textId="77777777">
            <w:r w:rsidRPr="00BA08DC">
              <w:t>Upper</w:t>
            </w:r>
          </w:p>
        </w:tc>
      </w:tr>
      <w:tr w:rsidRPr="00BA08DC" w:rsidR="00BA08DC" w:rsidTr="00BA08DC" w14:paraId="6E787A0C" w14:textId="77777777">
        <w:tc>
          <w:tcPr>
            <w:tcW w:w="1056" w:type="dxa"/>
            <w:shd w:val="clear" w:color="auto" w:fill="auto"/>
          </w:tcPr>
          <w:p w:rsidRPr="00BA08DC" w:rsidR="00BA08DC" w:rsidP="00096277" w:rsidRDefault="00BA08DC" w14:paraId="3DD820A8" w14:textId="77777777">
            <w:pPr>
              <w:rPr>
                <w:bCs/>
              </w:rPr>
            </w:pPr>
            <w:r w:rsidRPr="00BA08DC">
              <w:rPr>
                <w:bCs/>
              </w:rPr>
              <w:t>THPL</w:t>
            </w:r>
          </w:p>
        </w:tc>
        <w:tc>
          <w:tcPr>
            <w:tcW w:w="3120" w:type="dxa"/>
            <w:shd w:val="clear" w:color="auto" w:fill="auto"/>
          </w:tcPr>
          <w:p w:rsidRPr="00E0514E" w:rsidR="00BA08DC" w:rsidP="00096277" w:rsidRDefault="00BA08DC" w14:paraId="2769B436" w14:textId="77777777">
            <w:pPr>
              <w:rPr>
                <w:i/>
                <w:iCs/>
              </w:rPr>
            </w:pPr>
            <w:r w:rsidRPr="00E0514E">
              <w:rPr>
                <w:i/>
                <w:iCs/>
              </w:rPr>
              <w:t>Thuja plicata</w:t>
            </w:r>
          </w:p>
        </w:tc>
        <w:tc>
          <w:tcPr>
            <w:tcW w:w="2184" w:type="dxa"/>
            <w:shd w:val="clear" w:color="auto" w:fill="auto"/>
          </w:tcPr>
          <w:p w:rsidRPr="00BA08DC" w:rsidR="00BA08DC" w:rsidP="00096277" w:rsidRDefault="00BA08DC" w14:paraId="1D3333AA" w14:textId="77777777">
            <w:r w:rsidRPr="00BA08DC">
              <w:t>Western red cedar</w:t>
            </w:r>
          </w:p>
        </w:tc>
        <w:tc>
          <w:tcPr>
            <w:tcW w:w="1956" w:type="dxa"/>
            <w:shd w:val="clear" w:color="auto" w:fill="auto"/>
          </w:tcPr>
          <w:p w:rsidRPr="00BA08DC" w:rsidR="00BA08DC" w:rsidP="00096277" w:rsidRDefault="00BA08DC" w14:paraId="5051D580" w14:textId="77777777">
            <w:r w:rsidRPr="00BA08DC">
              <w:t>Upper</w:t>
            </w:r>
          </w:p>
        </w:tc>
      </w:tr>
      <w:tr w:rsidRPr="00BA08DC" w:rsidR="00BA08DC" w:rsidTr="00BA08DC" w14:paraId="54B3F6E3" w14:textId="77777777">
        <w:tc>
          <w:tcPr>
            <w:tcW w:w="1056" w:type="dxa"/>
            <w:shd w:val="clear" w:color="auto" w:fill="auto"/>
          </w:tcPr>
          <w:p w:rsidRPr="00BA08DC" w:rsidR="00BA08DC" w:rsidP="00096277" w:rsidRDefault="00BA08DC" w14:paraId="1EEF0371" w14:textId="77777777">
            <w:pPr>
              <w:rPr>
                <w:bCs/>
              </w:rPr>
            </w:pPr>
            <w:r w:rsidRPr="00BA08DC">
              <w:rPr>
                <w:bCs/>
              </w:rPr>
              <w:t>CHNO</w:t>
            </w:r>
          </w:p>
        </w:tc>
        <w:tc>
          <w:tcPr>
            <w:tcW w:w="3120" w:type="dxa"/>
            <w:shd w:val="clear" w:color="auto" w:fill="auto"/>
          </w:tcPr>
          <w:p w:rsidRPr="00E0514E" w:rsidR="00BA08DC" w:rsidP="00096277" w:rsidRDefault="00BA08DC" w14:paraId="5263BAE0" w14:textId="77777777">
            <w:pPr>
              <w:rPr>
                <w:i/>
                <w:iCs/>
              </w:rPr>
            </w:pPr>
            <w:r w:rsidRPr="00E0514E">
              <w:rPr>
                <w:i/>
                <w:iCs/>
              </w:rPr>
              <w:t>Chamaecyparis nootkatensis</w:t>
            </w:r>
          </w:p>
        </w:tc>
        <w:tc>
          <w:tcPr>
            <w:tcW w:w="2184" w:type="dxa"/>
            <w:shd w:val="clear" w:color="auto" w:fill="auto"/>
          </w:tcPr>
          <w:p w:rsidRPr="00BA08DC" w:rsidR="00BA08DC" w:rsidP="00096277" w:rsidRDefault="00BA08DC" w14:paraId="5704FF63" w14:textId="77777777">
            <w:r w:rsidRPr="00BA08DC">
              <w:t>Alaska cedar</w:t>
            </w:r>
          </w:p>
        </w:tc>
        <w:tc>
          <w:tcPr>
            <w:tcW w:w="1956" w:type="dxa"/>
            <w:shd w:val="clear" w:color="auto" w:fill="auto"/>
          </w:tcPr>
          <w:p w:rsidRPr="00BA08DC" w:rsidR="00BA08DC" w:rsidP="00096277" w:rsidRDefault="00BA08DC" w14:paraId="75C654E6" w14:textId="77777777">
            <w:r w:rsidRPr="00BA08DC">
              <w:t>Upper</w:t>
            </w:r>
          </w:p>
        </w:tc>
      </w:tr>
    </w:tbl>
    <w:p w:rsidR="00BA08DC" w:rsidP="00BA08DC" w:rsidRDefault="00BA08DC" w14:paraId="17133BB5" w14:textId="77777777"/>
    <w:p w:rsidR="00BA08DC" w:rsidP="00BA08DC" w:rsidRDefault="00BA08DC" w14:paraId="57E64F0B" w14:textId="77777777">
      <w:pPr>
        <w:pStyle w:val="SClassInfoPara"/>
      </w:pPr>
      <w:r>
        <w:t>Description</w:t>
      </w:r>
    </w:p>
    <w:p w:rsidR="00BA08DC" w:rsidP="00BA08DC" w:rsidRDefault="00BA08DC" w14:paraId="0005316E" w14:textId="6DDC9FFD">
      <w:r>
        <w:t xml:space="preserve">This community is characterized by an open canopy and may include several of the following species: </w:t>
      </w:r>
      <w:r w:rsidRPr="0048234B">
        <w:rPr>
          <w:i/>
          <w:iCs/>
        </w:rPr>
        <w:t xml:space="preserve">Tsuga heterophylla, </w:t>
      </w:r>
      <w:r w:rsidR="0048234B">
        <w:rPr>
          <w:i/>
          <w:iCs/>
        </w:rPr>
        <w:t>Tsuga</w:t>
      </w:r>
      <w:r w:rsidRPr="0048234B">
        <w:rPr>
          <w:i/>
          <w:iCs/>
        </w:rPr>
        <w:t xml:space="preserve"> mertensiana, Thuja plicata</w:t>
      </w:r>
      <w:r w:rsidR="0048234B">
        <w:t>,</w:t>
      </w:r>
      <w:r>
        <w:t xml:space="preserve"> and </w:t>
      </w:r>
      <w:r w:rsidRPr="0048234B">
        <w:rPr>
          <w:i/>
          <w:iCs/>
        </w:rPr>
        <w:t>Cupressus nootkatensis</w:t>
      </w:r>
      <w:r>
        <w:t xml:space="preserve">. </w:t>
      </w:r>
      <w:r w:rsidRPr="0048234B">
        <w:rPr>
          <w:i/>
          <w:iCs/>
        </w:rPr>
        <w:t>Picea sitchensis</w:t>
      </w:r>
      <w:r>
        <w:t xml:space="preserve"> and </w:t>
      </w:r>
      <w:r w:rsidRPr="0048234B">
        <w:rPr>
          <w:i/>
          <w:iCs/>
        </w:rPr>
        <w:t>Pinus contorta</w:t>
      </w:r>
      <w:r>
        <w:t xml:space="preserve"> may also be </w:t>
      </w:r>
      <w:r w:rsidR="0048234B">
        <w:t>present but</w:t>
      </w:r>
      <w:r>
        <w:t xml:space="preserve"> are not dominant. </w:t>
      </w:r>
    </w:p>
    <w:p w:rsidR="00BA08DC" w:rsidP="00BA08DC" w:rsidRDefault="00BA08DC" w14:paraId="7AA2D847"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BA08DC" w:rsidP="00BA08DC" w:rsidRDefault="00BA08DC" w14:paraId="202F38BC" w14:textId="77777777">
      <w:r>
        <w:t>Alaback, P.B. 1991. Comparative ecology of temperate rainforests of the Americas along analogous climatic gradients. Rev. Chil. Hist. Nat. 64: 399–412.</w:t>
      </w:r>
    </w:p>
    <w:p w:rsidR="00BA08DC" w:rsidP="00BA08DC" w:rsidRDefault="00BA08DC" w14:paraId="4EA03E4A" w14:textId="77777777"/>
    <w:p w:rsidR="00BA08DC" w:rsidP="00BA08DC" w:rsidRDefault="00BA08DC" w14:paraId="74828D59" w14:textId="77777777">
      <w:r>
        <w:t>Alaback, P.B. 1995. Biodiversity patterns in relation to climate and a genetic base for the rainforests of the west coast of North America. In R. Lawford, P.B. Alaback, and E.R. Fuentes, eds. 1995. High Latitude Rain Forests of the West Coast of the Americas: Climate, Hydrology, Ecology and Conservation. Berlin: Springer-Verlag.</w:t>
      </w:r>
    </w:p>
    <w:p w:rsidR="00BA08DC" w:rsidP="00BA08DC" w:rsidRDefault="00BA08DC" w14:paraId="4F7581D2" w14:textId="77777777"/>
    <w:p w:rsidR="00BA08DC" w:rsidP="00BA08DC" w:rsidRDefault="00BA08DC" w14:paraId="6A02441B" w14:textId="77777777">
      <w:r>
        <w:t>Caouette, J.P. and E.J. DeGayner. 2008. Broad-Scale Classification and Mapping of Tree</w:t>
      </w:r>
    </w:p>
    <w:p w:rsidR="00BA08DC" w:rsidP="00BA08DC" w:rsidRDefault="00BA08DC" w14:paraId="73FBB272" w14:textId="77777777">
      <w:r>
        <w:t>Size and Density Attributes in Productive Old-Growth Forests in Southeast Alaska’s</w:t>
      </w:r>
    </w:p>
    <w:p w:rsidR="00BA08DC" w:rsidP="00BA08DC" w:rsidRDefault="00BA08DC" w14:paraId="19F9BC2C" w14:textId="77777777">
      <w:r>
        <w:t>Tongass National Forest. Western Journal of Applied Forestry. 23(2): 106-112.</w:t>
      </w:r>
    </w:p>
    <w:p w:rsidR="00BA08DC" w:rsidP="00BA08DC" w:rsidRDefault="00BA08DC" w14:paraId="1CB4A819" w14:textId="77777777"/>
    <w:p w:rsidR="00BA08DC" w:rsidP="00BA08DC" w:rsidRDefault="00BA08DC" w14:paraId="59A17ED4" w14:textId="77777777">
      <w:r>
        <w:t>DeMeo, T., J. Martin and R.A. West. 1992. Forest plant association management guide, Ketchikan Area, Tongass National Forest. USDA Forest Service, Alaska Region. R10-MB-210. 405p.</w:t>
      </w:r>
    </w:p>
    <w:p w:rsidR="00BA08DC" w:rsidP="00BA08DC" w:rsidRDefault="00BA08DC" w14:paraId="238B6A40" w14:textId="77777777"/>
    <w:p w:rsidR="00BA08DC" w:rsidP="00BA08DC" w:rsidRDefault="00BA08DC" w14:paraId="3677EDEB" w14:textId="77777777">
      <w:r>
        <w:t>Hennon, P.E.; D’Amore, D.; Wittwer, D.; Caouette, J. 2008. Yellow-cedar decline: conserving a climate-sensitive tree species as Alaska warms. In: Deal. R., ed. Integrated restoration of forested ecosystems to achieve multiresource benefits: proceedings of the 2007 national silviculture workshop. Gen. Tech. Rep. PNW-GTR-733. Portland, OR: USDA Forest Service Pacific Northwest Research Station: 233-245.</w:t>
      </w:r>
    </w:p>
    <w:p w:rsidR="00BA08DC" w:rsidP="00BA08DC" w:rsidRDefault="00BA08DC" w14:paraId="31EF33F4" w14:textId="77777777"/>
    <w:p w:rsidR="00BA08DC" w:rsidP="00BA08DC" w:rsidRDefault="00BA08DC" w14:paraId="40A8DA7A" w14:textId="77777777">
      <w:r>
        <w:t xml:space="preserve">Martin, Jon R., Susan J. Trull, Ward W. Brady, Randolph A. West and Jim M. Downs. 1995. Forest plant association management guide, Chatham Area, Tongass National Forest. USDA Forest Service, Alaska Region. R10-TP-57. </w:t>
      </w:r>
    </w:p>
    <w:p w:rsidR="00BA08DC" w:rsidP="00BA08DC" w:rsidRDefault="00BA08DC" w14:paraId="28D2550F" w14:textId="77777777"/>
    <w:p w:rsidR="00BA08DC" w:rsidP="00BA08DC" w:rsidRDefault="00BA08DC" w14:paraId="2815F904" w14:textId="77777777">
      <w:r>
        <w:t>NatureServe. 2008. International Ecological Classification Standard: Terrestrial Ecological Classifications. Draft Ecological Systems Description for the Alaska Maritime Region.</w:t>
      </w:r>
    </w:p>
    <w:p w:rsidR="00BA08DC" w:rsidP="00BA08DC" w:rsidRDefault="00BA08DC" w14:paraId="6DFEDCC0" w14:textId="77777777"/>
    <w:p w:rsidR="00BA08DC" w:rsidP="00BA08DC" w:rsidRDefault="00BA08DC" w14:paraId="6567AAD5" w14:textId="77777777">
      <w:r>
        <w:t>Neiland, Bonita J. 1971. The forest-bog complex of southeast Alaska. Vegetatio. 22: 1-64.</w:t>
      </w:r>
    </w:p>
    <w:p w:rsidR="00BA08DC" w:rsidP="00BA08DC" w:rsidRDefault="00BA08DC" w14:paraId="55119B99" w14:textId="77777777">
      <w:r>
        <w:t xml:space="preserve"> </w:t>
      </w:r>
    </w:p>
    <w:p w:rsidR="00BA08DC" w:rsidP="00BA08DC" w:rsidRDefault="00BA08DC" w14:paraId="1F8B1DD7" w14:textId="77777777">
      <w:r>
        <w:t>Shephard, M.E. 1995. Plant community ecology and classification of the Yakutat Foreland, Alaska. Technical Report R10-TP-56. Juneau, AK: USDA Forest Service Alaska Region. 206 p.</w:t>
      </w:r>
    </w:p>
    <w:p w:rsidR="00BA08DC" w:rsidP="00BA08DC" w:rsidRDefault="00BA08DC" w14:paraId="3704921B" w14:textId="77777777"/>
    <w:p w:rsidR="00BA08DC" w:rsidP="00BA08DC" w:rsidRDefault="00BA08DC" w14:paraId="4565D6D9" w14:textId="77777777">
      <w:r>
        <w:t>Viereck, L., Dryness, C., Batten A. and K. Wenzlick. 1992. The Alaska vegetation classification. General Technical Report PNW-GTR-286. Portland, Oregon. USDA Forest Service, Pacific Northwest Research Station. 278 p.</w:t>
      </w:r>
    </w:p>
    <w:p w:rsidRPr="00A43E41" w:rsidR="004D5F12" w:rsidP="00BA08DC" w:rsidRDefault="004D5F12" w14:paraId="6EF00FC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76C" w:rsidRDefault="00FD676C" w14:paraId="70D80092" w14:textId="77777777">
      <w:r>
        <w:separator/>
      </w:r>
    </w:p>
  </w:endnote>
  <w:endnote w:type="continuationSeparator" w:id="0">
    <w:p w:rsidR="00FD676C" w:rsidRDefault="00FD676C" w14:paraId="31DA66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8DC" w:rsidP="00BA08DC" w:rsidRDefault="00BA08DC" w14:paraId="0F2BB02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76C" w:rsidRDefault="00FD676C" w14:paraId="60CADF2F" w14:textId="77777777">
      <w:r>
        <w:separator/>
      </w:r>
    </w:p>
  </w:footnote>
  <w:footnote w:type="continuationSeparator" w:id="0">
    <w:p w:rsidR="00FD676C" w:rsidRDefault="00FD676C" w14:paraId="0DCE9A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A08DC" w:rsidRDefault="00A43E41" w14:paraId="1FFCA02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8477484">
    <w:abstractNumId w:val="0"/>
  </w:num>
  <w:num w:numId="2" w16cid:durableId="1409570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8DC"/>
    <w:rsid w:val="00007C48"/>
    <w:rsid w:val="0001761A"/>
    <w:rsid w:val="0003202F"/>
    <w:rsid w:val="0004703B"/>
    <w:rsid w:val="0004797F"/>
    <w:rsid w:val="0007754C"/>
    <w:rsid w:val="00077A85"/>
    <w:rsid w:val="00097251"/>
    <w:rsid w:val="000B5948"/>
    <w:rsid w:val="000C2807"/>
    <w:rsid w:val="000D0B1F"/>
    <w:rsid w:val="000E1EC5"/>
    <w:rsid w:val="000E759B"/>
    <w:rsid w:val="000F3569"/>
    <w:rsid w:val="00110079"/>
    <w:rsid w:val="00116D8D"/>
    <w:rsid w:val="00117805"/>
    <w:rsid w:val="0013598C"/>
    <w:rsid w:val="00144BEF"/>
    <w:rsid w:val="001514F9"/>
    <w:rsid w:val="00155100"/>
    <w:rsid w:val="00174486"/>
    <w:rsid w:val="001824B8"/>
    <w:rsid w:val="00193946"/>
    <w:rsid w:val="00196C68"/>
    <w:rsid w:val="001A07B5"/>
    <w:rsid w:val="001A5277"/>
    <w:rsid w:val="001A6573"/>
    <w:rsid w:val="001B1261"/>
    <w:rsid w:val="001C3560"/>
    <w:rsid w:val="001E43F5"/>
    <w:rsid w:val="001F6975"/>
    <w:rsid w:val="001F77AB"/>
    <w:rsid w:val="002206B7"/>
    <w:rsid w:val="00220975"/>
    <w:rsid w:val="002233CE"/>
    <w:rsid w:val="00242A9C"/>
    <w:rsid w:val="00243E8D"/>
    <w:rsid w:val="00272B25"/>
    <w:rsid w:val="00292706"/>
    <w:rsid w:val="002A69B2"/>
    <w:rsid w:val="002C507C"/>
    <w:rsid w:val="002C5B76"/>
    <w:rsid w:val="002E41A1"/>
    <w:rsid w:val="002F52A4"/>
    <w:rsid w:val="00300000"/>
    <w:rsid w:val="0031509E"/>
    <w:rsid w:val="0031662A"/>
    <w:rsid w:val="00317111"/>
    <w:rsid w:val="003172E2"/>
    <w:rsid w:val="00320910"/>
    <w:rsid w:val="003319D8"/>
    <w:rsid w:val="00372B39"/>
    <w:rsid w:val="0037413E"/>
    <w:rsid w:val="003C703C"/>
    <w:rsid w:val="003E589C"/>
    <w:rsid w:val="003E661A"/>
    <w:rsid w:val="003F322E"/>
    <w:rsid w:val="004148BE"/>
    <w:rsid w:val="00414DA8"/>
    <w:rsid w:val="00423145"/>
    <w:rsid w:val="00424E99"/>
    <w:rsid w:val="0042550C"/>
    <w:rsid w:val="0042737A"/>
    <w:rsid w:val="004375BE"/>
    <w:rsid w:val="004413EE"/>
    <w:rsid w:val="00446F38"/>
    <w:rsid w:val="00447BAA"/>
    <w:rsid w:val="00452B5E"/>
    <w:rsid w:val="00455D4C"/>
    <w:rsid w:val="00467245"/>
    <w:rsid w:val="00476F39"/>
    <w:rsid w:val="00480C6E"/>
    <w:rsid w:val="0048234B"/>
    <w:rsid w:val="00484A16"/>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22B5"/>
    <w:rsid w:val="00557492"/>
    <w:rsid w:val="00562ED5"/>
    <w:rsid w:val="00573E59"/>
    <w:rsid w:val="005B1DDE"/>
    <w:rsid w:val="005C7A42"/>
    <w:rsid w:val="005D242C"/>
    <w:rsid w:val="005E46EE"/>
    <w:rsid w:val="005E6650"/>
    <w:rsid w:val="005F3253"/>
    <w:rsid w:val="00605473"/>
    <w:rsid w:val="006115AB"/>
    <w:rsid w:val="006161B9"/>
    <w:rsid w:val="00616941"/>
    <w:rsid w:val="00621C0C"/>
    <w:rsid w:val="006304F6"/>
    <w:rsid w:val="0063157E"/>
    <w:rsid w:val="00634703"/>
    <w:rsid w:val="00636758"/>
    <w:rsid w:val="0064321F"/>
    <w:rsid w:val="00646981"/>
    <w:rsid w:val="00653235"/>
    <w:rsid w:val="0068076B"/>
    <w:rsid w:val="006B1862"/>
    <w:rsid w:val="006B2CB5"/>
    <w:rsid w:val="006E3BF7"/>
    <w:rsid w:val="006E57D4"/>
    <w:rsid w:val="006F39FC"/>
    <w:rsid w:val="00700604"/>
    <w:rsid w:val="007104A1"/>
    <w:rsid w:val="00722B5D"/>
    <w:rsid w:val="0074072B"/>
    <w:rsid w:val="00740E0B"/>
    <w:rsid w:val="00747459"/>
    <w:rsid w:val="007742B4"/>
    <w:rsid w:val="0078098C"/>
    <w:rsid w:val="00786F8F"/>
    <w:rsid w:val="007A721A"/>
    <w:rsid w:val="007B5284"/>
    <w:rsid w:val="007C1C7A"/>
    <w:rsid w:val="007C7863"/>
    <w:rsid w:val="0080166D"/>
    <w:rsid w:val="00804888"/>
    <w:rsid w:val="00820371"/>
    <w:rsid w:val="00821A9F"/>
    <w:rsid w:val="0083018E"/>
    <w:rsid w:val="0084119C"/>
    <w:rsid w:val="00844388"/>
    <w:rsid w:val="00850C8E"/>
    <w:rsid w:val="0087316E"/>
    <w:rsid w:val="008779C3"/>
    <w:rsid w:val="00877F55"/>
    <w:rsid w:val="008A6770"/>
    <w:rsid w:val="008F01B1"/>
    <w:rsid w:val="00901CA2"/>
    <w:rsid w:val="00907797"/>
    <w:rsid w:val="00933B0F"/>
    <w:rsid w:val="00936F61"/>
    <w:rsid w:val="00945DBA"/>
    <w:rsid w:val="009606C8"/>
    <w:rsid w:val="00966095"/>
    <w:rsid w:val="009732DB"/>
    <w:rsid w:val="00986588"/>
    <w:rsid w:val="00986A7A"/>
    <w:rsid w:val="009903A9"/>
    <w:rsid w:val="009B03E6"/>
    <w:rsid w:val="009B232E"/>
    <w:rsid w:val="009D07C1"/>
    <w:rsid w:val="009D25CD"/>
    <w:rsid w:val="009D674B"/>
    <w:rsid w:val="009E0DB5"/>
    <w:rsid w:val="009E6357"/>
    <w:rsid w:val="009F5F8E"/>
    <w:rsid w:val="009F747E"/>
    <w:rsid w:val="00A16194"/>
    <w:rsid w:val="00A2791D"/>
    <w:rsid w:val="00A309E2"/>
    <w:rsid w:val="00A36D75"/>
    <w:rsid w:val="00A43E41"/>
    <w:rsid w:val="00A57AF2"/>
    <w:rsid w:val="00A6020D"/>
    <w:rsid w:val="00A86285"/>
    <w:rsid w:val="00AA6973"/>
    <w:rsid w:val="00AB3795"/>
    <w:rsid w:val="00AC570D"/>
    <w:rsid w:val="00AC7F16"/>
    <w:rsid w:val="00AF1CDE"/>
    <w:rsid w:val="00AF1E11"/>
    <w:rsid w:val="00AF4B2B"/>
    <w:rsid w:val="00B30030"/>
    <w:rsid w:val="00B44A3C"/>
    <w:rsid w:val="00B54260"/>
    <w:rsid w:val="00B60870"/>
    <w:rsid w:val="00B60C63"/>
    <w:rsid w:val="00B84C7B"/>
    <w:rsid w:val="00BA08DC"/>
    <w:rsid w:val="00BB62CA"/>
    <w:rsid w:val="00BC14B6"/>
    <w:rsid w:val="00BF416D"/>
    <w:rsid w:val="00C07F5E"/>
    <w:rsid w:val="00C10615"/>
    <w:rsid w:val="00C261B7"/>
    <w:rsid w:val="00C50B12"/>
    <w:rsid w:val="00C5204F"/>
    <w:rsid w:val="00C62427"/>
    <w:rsid w:val="00C66E45"/>
    <w:rsid w:val="00C726A0"/>
    <w:rsid w:val="00C74C9B"/>
    <w:rsid w:val="00C827A9"/>
    <w:rsid w:val="00CA0BB9"/>
    <w:rsid w:val="00CA1418"/>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0514E"/>
    <w:rsid w:val="00E109E9"/>
    <w:rsid w:val="00E46890"/>
    <w:rsid w:val="00E50BB8"/>
    <w:rsid w:val="00E61C50"/>
    <w:rsid w:val="00E7520B"/>
    <w:rsid w:val="00EB2776"/>
    <w:rsid w:val="00EC4A14"/>
    <w:rsid w:val="00EE247F"/>
    <w:rsid w:val="00EF02EA"/>
    <w:rsid w:val="00F06F11"/>
    <w:rsid w:val="00F43204"/>
    <w:rsid w:val="00F6336F"/>
    <w:rsid w:val="00F863DE"/>
    <w:rsid w:val="00F86C13"/>
    <w:rsid w:val="00F948F2"/>
    <w:rsid w:val="00FA3931"/>
    <w:rsid w:val="00FD676C"/>
    <w:rsid w:val="00FE2EE9"/>
    <w:rsid w:val="00FE3B73"/>
    <w:rsid w:val="00FE41CA"/>
    <w:rsid w:val="00FE6871"/>
    <w:rsid w:val="00FF0FAC"/>
    <w:rsid w:val="1968C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AD690"/>
  <w15:docId w15:val="{5C93FA28-FEC5-4EDE-964C-4D3F847DC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57AF2"/>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8101">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16</revision>
  <lastPrinted>1900-01-01T08:00:00.0000000Z</lastPrinted>
  <dcterms:created xsi:type="dcterms:W3CDTF">2022-11-05T20:29:00.0000000Z</dcterms:created>
  <dcterms:modified xsi:type="dcterms:W3CDTF">2024-09-27T19:39:57.8560527Z</dcterms:modified>
</coreProperties>
</file>